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4FAE" w14:textId="77777777" w:rsidR="00265121" w:rsidRDefault="00265121" w:rsidP="00265121">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14:paraId="5BFCA332" w14:textId="77777777" w:rsidR="00265121" w:rsidRDefault="00265121" w:rsidP="00265121">
      <w:pPr>
        <w:pBdr>
          <w:bottom w:val="single" w:sz="4" w:space="1" w:color="auto"/>
        </w:pBdr>
        <w:rPr>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5433421C" w:rsidR="0068216A" w:rsidRPr="00265121" w:rsidRDefault="0068216A" w:rsidP="0068216A">
      <w:pPr>
        <w:rPr>
          <w:sz w:val="22"/>
          <w:szCs w:val="22"/>
        </w:rPr>
      </w:pPr>
      <w:r w:rsidRPr="00265121">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862C0F" w:rsidRPr="00265121">
            <w:rPr>
              <w:sz w:val="22"/>
              <w:szCs w:val="22"/>
              <w:lang w:val="nl-BE"/>
            </w:rPr>
            <w:t>275</w:t>
          </w:r>
        </w:sdtContent>
      </w:sdt>
      <w:r w:rsidRPr="00265121">
        <w:rPr>
          <w:sz w:val="22"/>
          <w:szCs w:val="22"/>
        </w:rPr>
        <w:t xml:space="preserve"> </w:t>
      </w:r>
      <w:r w:rsidR="00265121">
        <w:rPr>
          <w:sz w:val="22"/>
          <w:szCs w:val="22"/>
        </w:rPr>
        <w:t>van 1</w:t>
      </w:r>
      <w:r w:rsidR="008711CB">
        <w:rPr>
          <w:sz w:val="22"/>
          <w:szCs w:val="22"/>
        </w:rPr>
        <w:t>5</w:t>
      </w:r>
      <w:r w:rsidR="00265121">
        <w:rPr>
          <w:sz w:val="22"/>
          <w:szCs w:val="22"/>
        </w:rPr>
        <w:t xml:space="preserve"> januari 2013</w:t>
      </w:r>
    </w:p>
    <w:p w14:paraId="012E8E36" w14:textId="28AB3735" w:rsidR="0068216A" w:rsidRPr="005628FF" w:rsidRDefault="00482870" w:rsidP="0068216A">
      <w:pPr>
        <w:rPr>
          <w:sz w:val="22"/>
          <w:szCs w:val="22"/>
        </w:rPr>
      </w:pPr>
      <w:r>
        <w:rPr>
          <w:sz w:val="22"/>
          <w:szCs w:val="22"/>
        </w:rPr>
        <w:t>v</w:t>
      </w:r>
      <w:r w:rsidR="0068216A" w:rsidRPr="005628FF">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265121">
            <w:rPr>
              <w:b/>
              <w:smallCaps/>
              <w:sz w:val="22"/>
              <w:szCs w:val="22"/>
            </w:rPr>
            <w:t>k</w:t>
          </w:r>
          <w:r w:rsidR="00265121">
            <w:rPr>
              <w:b/>
              <w:smallCaps/>
              <w:sz w:val="22"/>
              <w:szCs w:val="22"/>
              <w:lang w:val="nl-BE"/>
            </w:rPr>
            <w:t>oen van den h</w:t>
          </w:r>
          <w:r w:rsidR="00862C0F" w:rsidRPr="00265121">
            <w:rPr>
              <w:b/>
              <w:smallCaps/>
              <w:sz w:val="22"/>
              <w:szCs w:val="22"/>
              <w:lang w:val="nl-BE"/>
            </w:rPr>
            <w:t>euvel</w:t>
          </w:r>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2AFF04CF" w14:textId="77777777" w:rsidR="00503947" w:rsidRPr="005628FF" w:rsidRDefault="00503947" w:rsidP="0068216A">
      <w:pPr>
        <w:jc w:val="both"/>
        <w:rPr>
          <w:i/>
          <w:sz w:val="22"/>
          <w:szCs w:val="22"/>
        </w:rPr>
      </w:pPr>
    </w:p>
    <w:p w14:paraId="5B0B8992" w14:textId="77777777" w:rsidR="008B4ED4" w:rsidRDefault="008B4ED4" w:rsidP="00265121">
      <w:pPr>
        <w:pStyle w:val="Lijstalinea"/>
        <w:numPr>
          <w:ilvl w:val="0"/>
          <w:numId w:val="10"/>
        </w:numPr>
        <w:tabs>
          <w:tab w:val="clear" w:pos="720"/>
          <w:tab w:val="num" w:pos="397"/>
        </w:tabs>
        <w:ind w:left="397" w:right="567" w:hanging="397"/>
        <w:jc w:val="both"/>
        <w:rPr>
          <w:sz w:val="22"/>
          <w:szCs w:val="22"/>
        </w:rPr>
      </w:pPr>
      <w:r w:rsidRPr="00265121">
        <w:rPr>
          <w:sz w:val="22"/>
          <w:szCs w:val="22"/>
        </w:rPr>
        <w:t>Officiële bevolkingscijfers met detaillering naar leeftijd zijn niet beschikbaar voor 2012. Volgens de bevolkingsvooruitzichten 2011-2061, die gebaseerd zijn op de bevolkingscijfers tot en met 2010, zouden er in het Vlaams Gewest op 1 januari 2013 476.670 personen van 50 tot en met 54 jaar wonen.</w:t>
      </w:r>
    </w:p>
    <w:p w14:paraId="7CA3A5BB" w14:textId="77777777" w:rsidR="00265121" w:rsidRPr="00265121" w:rsidRDefault="00265121" w:rsidP="00265121">
      <w:pPr>
        <w:pStyle w:val="Lijstalinea"/>
        <w:ind w:left="397" w:right="567"/>
        <w:jc w:val="both"/>
        <w:rPr>
          <w:sz w:val="22"/>
          <w:szCs w:val="22"/>
        </w:rPr>
      </w:pPr>
    </w:p>
    <w:p w14:paraId="024FA6CC" w14:textId="77777777" w:rsidR="00265121" w:rsidRPr="00265121" w:rsidRDefault="00265121" w:rsidP="00265121">
      <w:pPr>
        <w:pStyle w:val="Lijstalinea"/>
        <w:numPr>
          <w:ilvl w:val="0"/>
          <w:numId w:val="10"/>
        </w:numPr>
        <w:tabs>
          <w:tab w:val="clear" w:pos="720"/>
          <w:tab w:val="num" w:pos="397"/>
        </w:tabs>
        <w:ind w:left="397" w:right="567" w:hanging="397"/>
        <w:jc w:val="both"/>
        <w:rPr>
          <w:sz w:val="22"/>
          <w:szCs w:val="22"/>
        </w:rPr>
      </w:pPr>
    </w:p>
    <w:p w14:paraId="2866C8DF" w14:textId="7599D63F" w:rsidR="008B4ED4" w:rsidRDefault="008B4ED4" w:rsidP="00265121">
      <w:pPr>
        <w:pStyle w:val="StandaardSV"/>
        <w:tabs>
          <w:tab w:val="left" w:pos="284"/>
        </w:tabs>
        <w:ind w:left="709" w:right="567" w:hanging="345"/>
      </w:pPr>
      <w:r w:rsidRPr="00265121">
        <w:t>a</w:t>
      </w:r>
      <w:r w:rsidR="00CF31D7">
        <w:t>)</w:t>
      </w:r>
      <w:r w:rsidRPr="00265121">
        <w:t xml:space="preserve"> </w:t>
      </w:r>
      <w:r w:rsidR="00265121">
        <w:tab/>
      </w:r>
      <w:r w:rsidRPr="00265121">
        <w:t>In 2012 waren 50.582 unieke personen van 50 tot 55</w:t>
      </w:r>
      <w:r w:rsidR="007E1189">
        <w:t xml:space="preserve"> </w:t>
      </w:r>
      <w:r w:rsidRPr="00265121">
        <w:t>jaar minstens 1 dag ingeschreven als NWWZ.</w:t>
      </w:r>
    </w:p>
    <w:p w14:paraId="499A337F" w14:textId="77777777" w:rsidR="00265121" w:rsidRPr="00265121" w:rsidRDefault="00265121" w:rsidP="00265121">
      <w:pPr>
        <w:pStyle w:val="StandaardSV"/>
        <w:tabs>
          <w:tab w:val="left" w:pos="284"/>
        </w:tabs>
        <w:ind w:left="709" w:right="567" w:hanging="345"/>
      </w:pPr>
    </w:p>
    <w:p w14:paraId="0A34E61C" w14:textId="29BD2606" w:rsidR="008B4ED4" w:rsidRDefault="008B4ED4" w:rsidP="00265121">
      <w:pPr>
        <w:pStyle w:val="StandaardSV"/>
        <w:tabs>
          <w:tab w:val="left" w:pos="284"/>
        </w:tabs>
        <w:ind w:left="709" w:right="567" w:hanging="345"/>
      </w:pPr>
      <w:r>
        <w:t>b</w:t>
      </w:r>
      <w:r w:rsidR="00CF31D7">
        <w:t>)</w:t>
      </w:r>
      <w:r>
        <w:t xml:space="preserve"> </w:t>
      </w:r>
      <w:r w:rsidR="00265121">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B4ED4" w14:paraId="2919F99C" w14:textId="77777777" w:rsidTr="00265121">
        <w:tc>
          <w:tcPr>
            <w:tcW w:w="4606" w:type="dxa"/>
            <w:shd w:val="clear" w:color="auto" w:fill="auto"/>
          </w:tcPr>
          <w:p w14:paraId="2A6C8482" w14:textId="77777777" w:rsidR="008B4ED4" w:rsidRPr="002A11FF" w:rsidRDefault="008B4ED4" w:rsidP="008B4ED4">
            <w:pPr>
              <w:pStyle w:val="StandaardSV"/>
              <w:tabs>
                <w:tab w:val="left" w:pos="360"/>
              </w:tabs>
              <w:jc w:val="center"/>
              <w:rPr>
                <w:b/>
              </w:rPr>
            </w:pPr>
            <w:r w:rsidRPr="002A11FF">
              <w:rPr>
                <w:b/>
              </w:rPr>
              <w:t>2012</w:t>
            </w:r>
          </w:p>
        </w:tc>
        <w:tc>
          <w:tcPr>
            <w:tcW w:w="4607" w:type="dxa"/>
            <w:shd w:val="clear" w:color="auto" w:fill="auto"/>
          </w:tcPr>
          <w:p w14:paraId="20243BE1" w14:textId="77777777" w:rsidR="008B4ED4" w:rsidRPr="002A11FF" w:rsidRDefault="008B4ED4" w:rsidP="008B4ED4">
            <w:pPr>
              <w:pStyle w:val="StandaardSV"/>
              <w:tabs>
                <w:tab w:val="left" w:pos="360"/>
                <w:tab w:val="left" w:pos="1350"/>
                <w:tab w:val="center" w:pos="2127"/>
              </w:tabs>
              <w:jc w:val="left"/>
              <w:rPr>
                <w:b/>
              </w:rPr>
            </w:pPr>
            <w:r>
              <w:rPr>
                <w:b/>
              </w:rPr>
              <w:tab/>
            </w:r>
            <w:r>
              <w:rPr>
                <w:b/>
              </w:rPr>
              <w:tab/>
              <w:t xml:space="preserve">Instroom </w:t>
            </w:r>
            <w:r w:rsidRPr="002A11FF">
              <w:rPr>
                <w:b/>
              </w:rPr>
              <w:t>NWWZ</w:t>
            </w:r>
          </w:p>
        </w:tc>
      </w:tr>
      <w:tr w:rsidR="008B4ED4" w14:paraId="2B65BBA3" w14:textId="77777777" w:rsidTr="00265121">
        <w:tc>
          <w:tcPr>
            <w:tcW w:w="4606" w:type="dxa"/>
            <w:shd w:val="clear" w:color="auto" w:fill="auto"/>
          </w:tcPr>
          <w:p w14:paraId="6489AB76" w14:textId="77777777" w:rsidR="008B4ED4" w:rsidRDefault="008B4ED4" w:rsidP="008B4ED4">
            <w:pPr>
              <w:pStyle w:val="StandaardSV"/>
              <w:tabs>
                <w:tab w:val="left" w:pos="360"/>
              </w:tabs>
              <w:jc w:val="center"/>
            </w:pPr>
            <w:r>
              <w:t>1</w:t>
            </w:r>
          </w:p>
        </w:tc>
        <w:tc>
          <w:tcPr>
            <w:tcW w:w="4607" w:type="dxa"/>
            <w:shd w:val="clear" w:color="auto" w:fill="auto"/>
          </w:tcPr>
          <w:p w14:paraId="1083CD40" w14:textId="77777777" w:rsidR="008B4ED4" w:rsidRDefault="008B4ED4" w:rsidP="008B4ED4">
            <w:pPr>
              <w:pStyle w:val="StandaardSV"/>
              <w:tabs>
                <w:tab w:val="left" w:pos="360"/>
              </w:tabs>
              <w:jc w:val="center"/>
            </w:pPr>
            <w:r>
              <w:t>3213</w:t>
            </w:r>
          </w:p>
        </w:tc>
      </w:tr>
      <w:tr w:rsidR="008B4ED4" w14:paraId="562F8868" w14:textId="77777777" w:rsidTr="00265121">
        <w:tc>
          <w:tcPr>
            <w:tcW w:w="4606" w:type="dxa"/>
            <w:shd w:val="clear" w:color="auto" w:fill="auto"/>
          </w:tcPr>
          <w:p w14:paraId="78DC1635" w14:textId="77777777" w:rsidR="008B4ED4" w:rsidRDefault="008B4ED4" w:rsidP="008B4ED4">
            <w:pPr>
              <w:pStyle w:val="StandaardSV"/>
              <w:tabs>
                <w:tab w:val="left" w:pos="360"/>
              </w:tabs>
              <w:jc w:val="center"/>
            </w:pPr>
            <w:r>
              <w:t>2</w:t>
            </w:r>
          </w:p>
        </w:tc>
        <w:tc>
          <w:tcPr>
            <w:tcW w:w="4607" w:type="dxa"/>
            <w:shd w:val="clear" w:color="auto" w:fill="auto"/>
          </w:tcPr>
          <w:p w14:paraId="2E4CDFB9" w14:textId="77777777" w:rsidR="008B4ED4" w:rsidRDefault="008B4ED4" w:rsidP="008B4ED4">
            <w:pPr>
              <w:pStyle w:val="StandaardSV"/>
              <w:tabs>
                <w:tab w:val="left" w:pos="360"/>
              </w:tabs>
              <w:jc w:val="center"/>
            </w:pPr>
            <w:r>
              <w:t>2306</w:t>
            </w:r>
          </w:p>
        </w:tc>
      </w:tr>
      <w:tr w:rsidR="008B4ED4" w14:paraId="15F78502" w14:textId="77777777" w:rsidTr="00265121">
        <w:tc>
          <w:tcPr>
            <w:tcW w:w="4606" w:type="dxa"/>
            <w:shd w:val="clear" w:color="auto" w:fill="auto"/>
          </w:tcPr>
          <w:p w14:paraId="7890F391" w14:textId="77777777" w:rsidR="008B4ED4" w:rsidRDefault="008B4ED4" w:rsidP="008B4ED4">
            <w:pPr>
              <w:pStyle w:val="StandaardSV"/>
              <w:tabs>
                <w:tab w:val="left" w:pos="360"/>
              </w:tabs>
              <w:jc w:val="center"/>
            </w:pPr>
            <w:r>
              <w:t>3</w:t>
            </w:r>
          </w:p>
        </w:tc>
        <w:tc>
          <w:tcPr>
            <w:tcW w:w="4607" w:type="dxa"/>
            <w:shd w:val="clear" w:color="auto" w:fill="auto"/>
          </w:tcPr>
          <w:p w14:paraId="6BDCF031" w14:textId="77777777" w:rsidR="008B4ED4" w:rsidRDefault="008B4ED4" w:rsidP="008B4ED4">
            <w:pPr>
              <w:pStyle w:val="StandaardSV"/>
              <w:tabs>
                <w:tab w:val="left" w:pos="360"/>
              </w:tabs>
              <w:jc w:val="center"/>
            </w:pPr>
            <w:r>
              <w:t>2303</w:t>
            </w:r>
          </w:p>
        </w:tc>
      </w:tr>
      <w:tr w:rsidR="008B4ED4" w14:paraId="35708D67" w14:textId="77777777" w:rsidTr="00265121">
        <w:tc>
          <w:tcPr>
            <w:tcW w:w="4606" w:type="dxa"/>
            <w:shd w:val="clear" w:color="auto" w:fill="auto"/>
          </w:tcPr>
          <w:p w14:paraId="53B66548" w14:textId="77777777" w:rsidR="008B4ED4" w:rsidRDefault="008B4ED4" w:rsidP="008B4ED4">
            <w:pPr>
              <w:pStyle w:val="StandaardSV"/>
              <w:tabs>
                <w:tab w:val="left" w:pos="360"/>
              </w:tabs>
              <w:jc w:val="center"/>
            </w:pPr>
            <w:r>
              <w:t>4</w:t>
            </w:r>
          </w:p>
        </w:tc>
        <w:tc>
          <w:tcPr>
            <w:tcW w:w="4607" w:type="dxa"/>
            <w:shd w:val="clear" w:color="auto" w:fill="auto"/>
          </w:tcPr>
          <w:p w14:paraId="175866E8" w14:textId="77777777" w:rsidR="008B4ED4" w:rsidRDefault="008B4ED4" w:rsidP="008B4ED4">
            <w:pPr>
              <w:pStyle w:val="StandaardSV"/>
              <w:tabs>
                <w:tab w:val="left" w:pos="360"/>
              </w:tabs>
              <w:jc w:val="center"/>
            </w:pPr>
            <w:r>
              <w:t>2311</w:t>
            </w:r>
          </w:p>
        </w:tc>
      </w:tr>
      <w:tr w:rsidR="008B4ED4" w14:paraId="712D5D12" w14:textId="77777777" w:rsidTr="00265121">
        <w:tc>
          <w:tcPr>
            <w:tcW w:w="4606" w:type="dxa"/>
            <w:shd w:val="clear" w:color="auto" w:fill="auto"/>
          </w:tcPr>
          <w:p w14:paraId="39ED67F5" w14:textId="77777777" w:rsidR="008B4ED4" w:rsidRDefault="008B4ED4" w:rsidP="008B4ED4">
            <w:pPr>
              <w:pStyle w:val="StandaardSV"/>
              <w:tabs>
                <w:tab w:val="left" w:pos="360"/>
              </w:tabs>
              <w:jc w:val="center"/>
            </w:pPr>
            <w:r>
              <w:t>5</w:t>
            </w:r>
          </w:p>
        </w:tc>
        <w:tc>
          <w:tcPr>
            <w:tcW w:w="4607" w:type="dxa"/>
            <w:shd w:val="clear" w:color="auto" w:fill="auto"/>
          </w:tcPr>
          <w:p w14:paraId="63B9FD0A" w14:textId="77777777" w:rsidR="008B4ED4" w:rsidRDefault="008B4ED4" w:rsidP="008B4ED4">
            <w:pPr>
              <w:pStyle w:val="StandaardSV"/>
              <w:tabs>
                <w:tab w:val="left" w:pos="360"/>
              </w:tabs>
              <w:jc w:val="center"/>
            </w:pPr>
            <w:r>
              <w:t>2277</w:t>
            </w:r>
          </w:p>
        </w:tc>
      </w:tr>
      <w:tr w:rsidR="008B4ED4" w14:paraId="708F27E3" w14:textId="77777777" w:rsidTr="00265121">
        <w:tc>
          <w:tcPr>
            <w:tcW w:w="4606" w:type="dxa"/>
            <w:shd w:val="clear" w:color="auto" w:fill="auto"/>
          </w:tcPr>
          <w:p w14:paraId="74585FB7" w14:textId="77777777" w:rsidR="008B4ED4" w:rsidRDefault="008B4ED4" w:rsidP="008B4ED4">
            <w:pPr>
              <w:pStyle w:val="StandaardSV"/>
              <w:tabs>
                <w:tab w:val="left" w:pos="360"/>
              </w:tabs>
              <w:jc w:val="center"/>
            </w:pPr>
            <w:r>
              <w:t>6</w:t>
            </w:r>
          </w:p>
        </w:tc>
        <w:tc>
          <w:tcPr>
            <w:tcW w:w="4607" w:type="dxa"/>
            <w:shd w:val="clear" w:color="auto" w:fill="auto"/>
          </w:tcPr>
          <w:p w14:paraId="7D5CEA22" w14:textId="77777777" w:rsidR="008B4ED4" w:rsidRDefault="008B4ED4" w:rsidP="008B4ED4">
            <w:pPr>
              <w:pStyle w:val="StandaardSV"/>
              <w:tabs>
                <w:tab w:val="left" w:pos="360"/>
              </w:tabs>
              <w:jc w:val="center"/>
            </w:pPr>
            <w:r>
              <w:t>2331</w:t>
            </w:r>
          </w:p>
        </w:tc>
      </w:tr>
      <w:tr w:rsidR="008B4ED4" w14:paraId="1A1ABE3B" w14:textId="77777777" w:rsidTr="00265121">
        <w:tc>
          <w:tcPr>
            <w:tcW w:w="4606" w:type="dxa"/>
            <w:shd w:val="clear" w:color="auto" w:fill="auto"/>
          </w:tcPr>
          <w:p w14:paraId="3EFA3450" w14:textId="77777777" w:rsidR="008B4ED4" w:rsidRDefault="008B4ED4" w:rsidP="008B4ED4">
            <w:pPr>
              <w:pStyle w:val="StandaardSV"/>
              <w:tabs>
                <w:tab w:val="left" w:pos="360"/>
              </w:tabs>
              <w:jc w:val="center"/>
            </w:pPr>
            <w:r>
              <w:t>7</w:t>
            </w:r>
          </w:p>
        </w:tc>
        <w:tc>
          <w:tcPr>
            <w:tcW w:w="4607" w:type="dxa"/>
            <w:shd w:val="clear" w:color="auto" w:fill="auto"/>
          </w:tcPr>
          <w:p w14:paraId="1FB5BCDA" w14:textId="77777777" w:rsidR="008B4ED4" w:rsidRDefault="008B4ED4" w:rsidP="008B4ED4">
            <w:pPr>
              <w:pStyle w:val="StandaardSV"/>
              <w:tabs>
                <w:tab w:val="left" w:pos="360"/>
              </w:tabs>
              <w:jc w:val="center"/>
            </w:pPr>
            <w:r>
              <w:t>3119</w:t>
            </w:r>
          </w:p>
        </w:tc>
      </w:tr>
      <w:tr w:rsidR="008B4ED4" w14:paraId="469AB5E2" w14:textId="77777777" w:rsidTr="00265121">
        <w:tc>
          <w:tcPr>
            <w:tcW w:w="4606" w:type="dxa"/>
            <w:shd w:val="clear" w:color="auto" w:fill="auto"/>
          </w:tcPr>
          <w:p w14:paraId="0F009868" w14:textId="77777777" w:rsidR="008B4ED4" w:rsidRDefault="008B4ED4" w:rsidP="008B4ED4">
            <w:pPr>
              <w:pStyle w:val="StandaardSV"/>
              <w:tabs>
                <w:tab w:val="left" w:pos="360"/>
              </w:tabs>
              <w:jc w:val="center"/>
            </w:pPr>
            <w:r>
              <w:t>8</w:t>
            </w:r>
          </w:p>
        </w:tc>
        <w:tc>
          <w:tcPr>
            <w:tcW w:w="4607" w:type="dxa"/>
            <w:shd w:val="clear" w:color="auto" w:fill="auto"/>
          </w:tcPr>
          <w:p w14:paraId="24E37F63" w14:textId="77777777" w:rsidR="008B4ED4" w:rsidRDefault="008B4ED4" w:rsidP="008B4ED4">
            <w:pPr>
              <w:pStyle w:val="StandaardSV"/>
              <w:tabs>
                <w:tab w:val="left" w:pos="360"/>
              </w:tabs>
              <w:jc w:val="center"/>
            </w:pPr>
            <w:r>
              <w:t>2130</w:t>
            </w:r>
          </w:p>
        </w:tc>
      </w:tr>
      <w:tr w:rsidR="008B4ED4" w14:paraId="1A9D5B5C" w14:textId="77777777" w:rsidTr="00265121">
        <w:tc>
          <w:tcPr>
            <w:tcW w:w="4606" w:type="dxa"/>
            <w:shd w:val="clear" w:color="auto" w:fill="auto"/>
          </w:tcPr>
          <w:p w14:paraId="38406C6E" w14:textId="77777777" w:rsidR="008B4ED4" w:rsidRDefault="008B4ED4" w:rsidP="008B4ED4">
            <w:pPr>
              <w:pStyle w:val="StandaardSV"/>
              <w:tabs>
                <w:tab w:val="left" w:pos="360"/>
              </w:tabs>
              <w:jc w:val="center"/>
            </w:pPr>
            <w:r>
              <w:t>9</w:t>
            </w:r>
          </w:p>
        </w:tc>
        <w:tc>
          <w:tcPr>
            <w:tcW w:w="4607" w:type="dxa"/>
            <w:shd w:val="clear" w:color="auto" w:fill="auto"/>
          </w:tcPr>
          <w:p w14:paraId="1A8C7CD3" w14:textId="77777777" w:rsidR="008B4ED4" w:rsidRDefault="008B4ED4" w:rsidP="008B4ED4">
            <w:pPr>
              <w:pStyle w:val="StandaardSV"/>
              <w:tabs>
                <w:tab w:val="left" w:pos="360"/>
              </w:tabs>
              <w:jc w:val="center"/>
            </w:pPr>
            <w:r>
              <w:t>2406</w:t>
            </w:r>
          </w:p>
        </w:tc>
      </w:tr>
      <w:tr w:rsidR="008B4ED4" w14:paraId="73F542BD" w14:textId="77777777" w:rsidTr="00265121">
        <w:tc>
          <w:tcPr>
            <w:tcW w:w="4606" w:type="dxa"/>
            <w:shd w:val="clear" w:color="auto" w:fill="auto"/>
          </w:tcPr>
          <w:p w14:paraId="21C68E73" w14:textId="77777777" w:rsidR="008B4ED4" w:rsidRDefault="008B4ED4" w:rsidP="008B4ED4">
            <w:pPr>
              <w:pStyle w:val="StandaardSV"/>
              <w:tabs>
                <w:tab w:val="left" w:pos="360"/>
              </w:tabs>
              <w:jc w:val="center"/>
            </w:pPr>
            <w:r>
              <w:t>10</w:t>
            </w:r>
          </w:p>
        </w:tc>
        <w:tc>
          <w:tcPr>
            <w:tcW w:w="4607" w:type="dxa"/>
            <w:shd w:val="clear" w:color="auto" w:fill="auto"/>
          </w:tcPr>
          <w:p w14:paraId="595383D4" w14:textId="77777777" w:rsidR="008B4ED4" w:rsidRDefault="008B4ED4" w:rsidP="008B4ED4">
            <w:pPr>
              <w:pStyle w:val="StandaardSV"/>
              <w:tabs>
                <w:tab w:val="left" w:pos="360"/>
              </w:tabs>
              <w:jc w:val="center"/>
            </w:pPr>
            <w:r>
              <w:t>2783</w:t>
            </w:r>
          </w:p>
        </w:tc>
      </w:tr>
      <w:tr w:rsidR="008B4ED4" w14:paraId="0AD70380" w14:textId="77777777" w:rsidTr="00265121">
        <w:tc>
          <w:tcPr>
            <w:tcW w:w="4606" w:type="dxa"/>
            <w:shd w:val="clear" w:color="auto" w:fill="auto"/>
          </w:tcPr>
          <w:p w14:paraId="230E4DFD" w14:textId="77777777" w:rsidR="008B4ED4" w:rsidRDefault="008B4ED4" w:rsidP="008B4ED4">
            <w:pPr>
              <w:pStyle w:val="StandaardSV"/>
              <w:tabs>
                <w:tab w:val="left" w:pos="360"/>
              </w:tabs>
              <w:jc w:val="center"/>
            </w:pPr>
            <w:r>
              <w:t>11</w:t>
            </w:r>
          </w:p>
        </w:tc>
        <w:tc>
          <w:tcPr>
            <w:tcW w:w="4607" w:type="dxa"/>
            <w:shd w:val="clear" w:color="auto" w:fill="auto"/>
          </w:tcPr>
          <w:p w14:paraId="76D2AA2A" w14:textId="77777777" w:rsidR="008B4ED4" w:rsidRDefault="008B4ED4" w:rsidP="008B4ED4">
            <w:pPr>
              <w:pStyle w:val="StandaardSV"/>
              <w:tabs>
                <w:tab w:val="left" w:pos="360"/>
              </w:tabs>
              <w:jc w:val="center"/>
            </w:pPr>
            <w:r>
              <w:t>2517</w:t>
            </w:r>
          </w:p>
        </w:tc>
      </w:tr>
      <w:tr w:rsidR="008B4ED4" w14:paraId="550DD7DE" w14:textId="77777777" w:rsidTr="00265121">
        <w:tc>
          <w:tcPr>
            <w:tcW w:w="4606" w:type="dxa"/>
            <w:shd w:val="clear" w:color="auto" w:fill="auto"/>
          </w:tcPr>
          <w:p w14:paraId="75ADEAE3" w14:textId="77777777" w:rsidR="008B4ED4" w:rsidRDefault="008B4ED4" w:rsidP="008B4ED4">
            <w:pPr>
              <w:pStyle w:val="StandaardSV"/>
              <w:tabs>
                <w:tab w:val="left" w:pos="360"/>
              </w:tabs>
              <w:jc w:val="center"/>
            </w:pPr>
            <w:r>
              <w:t>12</w:t>
            </w:r>
          </w:p>
        </w:tc>
        <w:tc>
          <w:tcPr>
            <w:tcW w:w="4607" w:type="dxa"/>
            <w:shd w:val="clear" w:color="auto" w:fill="auto"/>
          </w:tcPr>
          <w:p w14:paraId="2C18F8CF" w14:textId="77777777" w:rsidR="008B4ED4" w:rsidRDefault="008B4ED4" w:rsidP="008B4ED4">
            <w:pPr>
              <w:pStyle w:val="StandaardSV"/>
              <w:tabs>
                <w:tab w:val="left" w:pos="360"/>
              </w:tabs>
              <w:jc w:val="center"/>
            </w:pPr>
            <w:r>
              <w:t>2552</w:t>
            </w:r>
          </w:p>
        </w:tc>
      </w:tr>
    </w:tbl>
    <w:p w14:paraId="0F1F421C" w14:textId="77777777" w:rsidR="008B4ED4" w:rsidRDefault="008B4ED4" w:rsidP="00265121">
      <w:pPr>
        <w:pStyle w:val="StandaardSV"/>
        <w:tabs>
          <w:tab w:val="left" w:pos="284"/>
        </w:tabs>
        <w:ind w:left="709" w:right="567" w:hanging="345"/>
      </w:pPr>
    </w:p>
    <w:p w14:paraId="245BD661" w14:textId="3D0933E7" w:rsidR="0031173A" w:rsidRPr="008E18B5" w:rsidRDefault="0031173A" w:rsidP="008711CB">
      <w:pPr>
        <w:pStyle w:val="StandaardSV"/>
        <w:tabs>
          <w:tab w:val="left" w:pos="360"/>
        </w:tabs>
        <w:spacing w:before="240"/>
        <w:ind w:left="360" w:right="349"/>
      </w:pPr>
      <w:r>
        <w:t>c</w:t>
      </w:r>
      <w:r w:rsidR="00CF31D7">
        <w:t>)</w:t>
      </w:r>
      <w:r>
        <w:t xml:space="preserve"> en d</w:t>
      </w:r>
      <w:r w:rsidR="00CF31D7">
        <w:t>)</w:t>
      </w:r>
      <w:r>
        <w:t xml:space="preserve"> </w:t>
      </w:r>
      <w:r w:rsidRPr="008E18B5">
        <w:t xml:space="preserve">De tabel dient als volgt gelezen te worden: van de werkzoekenden die in 1/12 ingestroomd waren, zijn er 847 bereikt </w:t>
      </w:r>
      <w:r w:rsidR="00ED21B6">
        <w:t xml:space="preserve">met een traject </w:t>
      </w:r>
      <w:r w:rsidRPr="008E18B5">
        <w:t>binnen de 6 maand na instroom (meetmoment 7/12) en 216 aan het werk</w:t>
      </w:r>
      <w:r>
        <w:t>.</w:t>
      </w:r>
    </w:p>
    <w:p w14:paraId="3D37D336" w14:textId="13D754FC" w:rsidR="008B4ED4" w:rsidRDefault="008B4ED4" w:rsidP="008711CB">
      <w:pPr>
        <w:pStyle w:val="StandaardSV"/>
        <w:tabs>
          <w:tab w:val="left" w:pos="284"/>
        </w:tabs>
        <w:ind w:left="709" w:right="349" w:hanging="345"/>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11"/>
        <w:gridCol w:w="2226"/>
        <w:gridCol w:w="2061"/>
        <w:gridCol w:w="1888"/>
      </w:tblGrid>
      <w:tr w:rsidR="0031173A" w14:paraId="73F4E768" w14:textId="77777777" w:rsidTr="00B85EEB">
        <w:tc>
          <w:tcPr>
            <w:tcW w:w="1084" w:type="dxa"/>
          </w:tcPr>
          <w:p w14:paraId="3FFC22AB" w14:textId="77777777" w:rsidR="0031173A" w:rsidRPr="002A11FF" w:rsidRDefault="0031173A" w:rsidP="008711CB">
            <w:pPr>
              <w:pStyle w:val="StandaardSV"/>
              <w:tabs>
                <w:tab w:val="left" w:pos="360"/>
              </w:tabs>
              <w:ind w:right="349"/>
              <w:jc w:val="center"/>
              <w:rPr>
                <w:b/>
              </w:rPr>
            </w:pPr>
            <w:r w:rsidRPr="002A11FF">
              <w:rPr>
                <w:b/>
              </w:rPr>
              <w:t>2012</w:t>
            </w:r>
            <w:r>
              <w:rPr>
                <w:b/>
              </w:rPr>
              <w:br/>
              <w:t>Instroom</w:t>
            </w:r>
          </w:p>
        </w:tc>
        <w:tc>
          <w:tcPr>
            <w:tcW w:w="1462" w:type="dxa"/>
          </w:tcPr>
          <w:p w14:paraId="46CAD0BD" w14:textId="77777777" w:rsidR="0031173A" w:rsidRPr="002A11FF" w:rsidRDefault="0031173A" w:rsidP="008711CB">
            <w:pPr>
              <w:pStyle w:val="StandaardSV"/>
              <w:tabs>
                <w:tab w:val="left" w:pos="360"/>
              </w:tabs>
              <w:ind w:right="349"/>
              <w:jc w:val="center"/>
              <w:rPr>
                <w:b/>
              </w:rPr>
            </w:pPr>
            <w:r>
              <w:rPr>
                <w:b/>
              </w:rPr>
              <w:t>2012</w:t>
            </w:r>
            <w:r>
              <w:rPr>
                <w:b/>
              </w:rPr>
              <w:br/>
              <w:t>Meetmoment</w:t>
            </w:r>
            <w:r>
              <w:rPr>
                <w:b/>
              </w:rPr>
              <w:br/>
              <w:t>bereik werk</w:t>
            </w:r>
          </w:p>
        </w:tc>
        <w:tc>
          <w:tcPr>
            <w:tcW w:w="2535" w:type="dxa"/>
            <w:shd w:val="clear" w:color="auto" w:fill="auto"/>
          </w:tcPr>
          <w:p w14:paraId="6DB6BB99" w14:textId="77777777" w:rsidR="0031173A" w:rsidRPr="002A11FF" w:rsidRDefault="0031173A" w:rsidP="008711CB">
            <w:pPr>
              <w:pStyle w:val="StandaardSV"/>
              <w:tabs>
                <w:tab w:val="left" w:pos="360"/>
                <w:tab w:val="left" w:pos="1350"/>
                <w:tab w:val="center" w:pos="2127"/>
              </w:tabs>
              <w:ind w:right="349"/>
              <w:jc w:val="center"/>
              <w:rPr>
                <w:b/>
              </w:rPr>
            </w:pPr>
            <w:r>
              <w:rPr>
                <w:b/>
              </w:rPr>
              <w:t xml:space="preserve">Instroom </w:t>
            </w:r>
            <w:r w:rsidRPr="002A11FF">
              <w:rPr>
                <w:b/>
              </w:rPr>
              <w:t>NWWZ</w:t>
            </w:r>
          </w:p>
        </w:tc>
        <w:tc>
          <w:tcPr>
            <w:tcW w:w="2306" w:type="dxa"/>
          </w:tcPr>
          <w:p w14:paraId="1647CDBA" w14:textId="399A4963" w:rsidR="0031173A" w:rsidRDefault="0031173A" w:rsidP="008711CB">
            <w:pPr>
              <w:pStyle w:val="StandaardSV"/>
              <w:tabs>
                <w:tab w:val="left" w:pos="360"/>
                <w:tab w:val="left" w:pos="1350"/>
                <w:tab w:val="center" w:pos="2127"/>
              </w:tabs>
              <w:ind w:right="349"/>
              <w:jc w:val="center"/>
              <w:rPr>
                <w:b/>
              </w:rPr>
            </w:pPr>
            <w:r>
              <w:rPr>
                <w:b/>
              </w:rPr>
              <w:t>Bereikt</w:t>
            </w:r>
            <w:r w:rsidR="006A7657">
              <w:rPr>
                <w:b/>
              </w:rPr>
              <w:t>*</w:t>
            </w:r>
            <w:r>
              <w:rPr>
                <w:b/>
              </w:rPr>
              <w:t xml:space="preserve"> door VDAB binnen 6 maanden na instroom</w:t>
            </w:r>
          </w:p>
        </w:tc>
        <w:tc>
          <w:tcPr>
            <w:tcW w:w="2032" w:type="dxa"/>
          </w:tcPr>
          <w:p w14:paraId="5BAC16D6" w14:textId="77777777" w:rsidR="0031173A" w:rsidRDefault="0031173A" w:rsidP="008711CB">
            <w:pPr>
              <w:pStyle w:val="StandaardSV"/>
              <w:tabs>
                <w:tab w:val="left" w:pos="360"/>
                <w:tab w:val="left" w:pos="1350"/>
                <w:tab w:val="center" w:pos="2127"/>
              </w:tabs>
              <w:ind w:right="349"/>
              <w:jc w:val="center"/>
              <w:rPr>
                <w:b/>
              </w:rPr>
            </w:pPr>
            <w:r>
              <w:rPr>
                <w:b/>
              </w:rPr>
              <w:t>Uitstroom naar werk na 6 maanden</w:t>
            </w:r>
          </w:p>
        </w:tc>
      </w:tr>
      <w:tr w:rsidR="0031173A" w14:paraId="2836FAD6" w14:textId="77777777" w:rsidTr="00B85EEB">
        <w:tc>
          <w:tcPr>
            <w:tcW w:w="1084" w:type="dxa"/>
          </w:tcPr>
          <w:p w14:paraId="155E6E8E" w14:textId="77777777" w:rsidR="0031173A" w:rsidRDefault="0031173A" w:rsidP="008711CB">
            <w:pPr>
              <w:pStyle w:val="StandaardSV"/>
              <w:tabs>
                <w:tab w:val="left" w:pos="360"/>
              </w:tabs>
              <w:ind w:right="349"/>
              <w:jc w:val="center"/>
            </w:pPr>
            <w:r>
              <w:t>1</w:t>
            </w:r>
          </w:p>
        </w:tc>
        <w:tc>
          <w:tcPr>
            <w:tcW w:w="1462" w:type="dxa"/>
            <w:shd w:val="clear" w:color="auto" w:fill="auto"/>
          </w:tcPr>
          <w:p w14:paraId="62C3F51B" w14:textId="77777777" w:rsidR="0031173A" w:rsidRDefault="0031173A" w:rsidP="008711CB">
            <w:pPr>
              <w:pStyle w:val="StandaardSV"/>
              <w:tabs>
                <w:tab w:val="left" w:pos="360"/>
              </w:tabs>
              <w:ind w:right="349"/>
              <w:jc w:val="center"/>
            </w:pPr>
            <w:r>
              <w:t>7</w:t>
            </w:r>
          </w:p>
        </w:tc>
        <w:tc>
          <w:tcPr>
            <w:tcW w:w="2535" w:type="dxa"/>
            <w:shd w:val="clear" w:color="auto" w:fill="auto"/>
          </w:tcPr>
          <w:p w14:paraId="129EFD81" w14:textId="77777777" w:rsidR="0031173A" w:rsidRDefault="0031173A" w:rsidP="008711CB">
            <w:pPr>
              <w:pStyle w:val="StandaardSV"/>
              <w:tabs>
                <w:tab w:val="left" w:pos="360"/>
              </w:tabs>
              <w:ind w:right="349"/>
              <w:jc w:val="center"/>
            </w:pPr>
            <w:r>
              <w:t>3213</w:t>
            </w:r>
          </w:p>
        </w:tc>
        <w:tc>
          <w:tcPr>
            <w:tcW w:w="2306" w:type="dxa"/>
          </w:tcPr>
          <w:p w14:paraId="786FF887" w14:textId="77777777" w:rsidR="0031173A" w:rsidRDefault="0031173A" w:rsidP="008711CB">
            <w:pPr>
              <w:pStyle w:val="StandaardSV"/>
              <w:tabs>
                <w:tab w:val="left" w:pos="360"/>
              </w:tabs>
              <w:ind w:right="349"/>
              <w:jc w:val="center"/>
            </w:pPr>
            <w:r>
              <w:t>847</w:t>
            </w:r>
          </w:p>
        </w:tc>
        <w:tc>
          <w:tcPr>
            <w:tcW w:w="2032" w:type="dxa"/>
          </w:tcPr>
          <w:p w14:paraId="7A9E5BDC" w14:textId="77777777" w:rsidR="0031173A" w:rsidRDefault="0031173A" w:rsidP="008711CB">
            <w:pPr>
              <w:pStyle w:val="StandaardSV"/>
              <w:tabs>
                <w:tab w:val="left" w:pos="360"/>
              </w:tabs>
              <w:ind w:right="349"/>
              <w:jc w:val="center"/>
            </w:pPr>
            <w:r>
              <w:t>216</w:t>
            </w:r>
          </w:p>
        </w:tc>
      </w:tr>
      <w:tr w:rsidR="0031173A" w14:paraId="71B7E3F1" w14:textId="77777777" w:rsidTr="00B85EEB">
        <w:tc>
          <w:tcPr>
            <w:tcW w:w="1084" w:type="dxa"/>
          </w:tcPr>
          <w:p w14:paraId="6041BD94" w14:textId="77777777" w:rsidR="0031173A" w:rsidRDefault="0031173A" w:rsidP="008711CB">
            <w:pPr>
              <w:pStyle w:val="StandaardSV"/>
              <w:tabs>
                <w:tab w:val="left" w:pos="360"/>
              </w:tabs>
              <w:ind w:right="349"/>
              <w:jc w:val="center"/>
            </w:pPr>
            <w:r>
              <w:t>2</w:t>
            </w:r>
          </w:p>
        </w:tc>
        <w:tc>
          <w:tcPr>
            <w:tcW w:w="1462" w:type="dxa"/>
            <w:shd w:val="clear" w:color="auto" w:fill="auto"/>
          </w:tcPr>
          <w:p w14:paraId="5512CECD" w14:textId="77777777" w:rsidR="0031173A" w:rsidRDefault="0031173A" w:rsidP="008711CB">
            <w:pPr>
              <w:pStyle w:val="StandaardSV"/>
              <w:tabs>
                <w:tab w:val="left" w:pos="360"/>
              </w:tabs>
              <w:ind w:right="349"/>
              <w:jc w:val="center"/>
            </w:pPr>
            <w:r>
              <w:t>8</w:t>
            </w:r>
          </w:p>
        </w:tc>
        <w:tc>
          <w:tcPr>
            <w:tcW w:w="2535" w:type="dxa"/>
            <w:shd w:val="clear" w:color="auto" w:fill="auto"/>
          </w:tcPr>
          <w:p w14:paraId="4D9467DD" w14:textId="77777777" w:rsidR="0031173A" w:rsidRDefault="0031173A" w:rsidP="008711CB">
            <w:pPr>
              <w:pStyle w:val="StandaardSV"/>
              <w:tabs>
                <w:tab w:val="left" w:pos="360"/>
              </w:tabs>
              <w:ind w:right="349"/>
              <w:jc w:val="center"/>
            </w:pPr>
            <w:r>
              <w:t>2306</w:t>
            </w:r>
          </w:p>
        </w:tc>
        <w:tc>
          <w:tcPr>
            <w:tcW w:w="2306" w:type="dxa"/>
          </w:tcPr>
          <w:p w14:paraId="51615782" w14:textId="77777777" w:rsidR="0031173A" w:rsidRDefault="0031173A" w:rsidP="008711CB">
            <w:pPr>
              <w:pStyle w:val="StandaardSV"/>
              <w:tabs>
                <w:tab w:val="left" w:pos="360"/>
              </w:tabs>
              <w:ind w:right="349"/>
              <w:jc w:val="center"/>
            </w:pPr>
            <w:r>
              <w:t>515</w:t>
            </w:r>
          </w:p>
        </w:tc>
        <w:tc>
          <w:tcPr>
            <w:tcW w:w="2032" w:type="dxa"/>
          </w:tcPr>
          <w:p w14:paraId="1E670858" w14:textId="77777777" w:rsidR="0031173A" w:rsidRDefault="0031173A" w:rsidP="008711CB">
            <w:pPr>
              <w:pStyle w:val="StandaardSV"/>
              <w:tabs>
                <w:tab w:val="left" w:pos="360"/>
              </w:tabs>
              <w:ind w:right="349"/>
              <w:jc w:val="center"/>
            </w:pPr>
            <w:r>
              <w:t>180</w:t>
            </w:r>
          </w:p>
        </w:tc>
      </w:tr>
      <w:tr w:rsidR="0031173A" w14:paraId="646ED041" w14:textId="77777777" w:rsidTr="00B85EEB">
        <w:tc>
          <w:tcPr>
            <w:tcW w:w="1084" w:type="dxa"/>
          </w:tcPr>
          <w:p w14:paraId="36B09BCC" w14:textId="77777777" w:rsidR="0031173A" w:rsidRDefault="0031173A" w:rsidP="008711CB">
            <w:pPr>
              <w:pStyle w:val="StandaardSV"/>
              <w:tabs>
                <w:tab w:val="left" w:pos="360"/>
              </w:tabs>
              <w:ind w:right="349"/>
              <w:jc w:val="center"/>
            </w:pPr>
            <w:r>
              <w:t>3</w:t>
            </w:r>
          </w:p>
        </w:tc>
        <w:tc>
          <w:tcPr>
            <w:tcW w:w="1462" w:type="dxa"/>
            <w:shd w:val="clear" w:color="auto" w:fill="auto"/>
          </w:tcPr>
          <w:p w14:paraId="3055B5B4" w14:textId="77777777" w:rsidR="0031173A" w:rsidRDefault="0031173A" w:rsidP="008711CB">
            <w:pPr>
              <w:pStyle w:val="StandaardSV"/>
              <w:tabs>
                <w:tab w:val="left" w:pos="360"/>
              </w:tabs>
              <w:ind w:right="349"/>
              <w:jc w:val="center"/>
            </w:pPr>
            <w:r>
              <w:t>9</w:t>
            </w:r>
          </w:p>
        </w:tc>
        <w:tc>
          <w:tcPr>
            <w:tcW w:w="2535" w:type="dxa"/>
            <w:shd w:val="clear" w:color="auto" w:fill="auto"/>
          </w:tcPr>
          <w:p w14:paraId="63289700" w14:textId="77777777" w:rsidR="0031173A" w:rsidRDefault="0031173A" w:rsidP="008711CB">
            <w:pPr>
              <w:pStyle w:val="StandaardSV"/>
              <w:tabs>
                <w:tab w:val="left" w:pos="360"/>
              </w:tabs>
              <w:ind w:right="349"/>
              <w:jc w:val="center"/>
            </w:pPr>
            <w:r>
              <w:t>2303</w:t>
            </w:r>
          </w:p>
        </w:tc>
        <w:tc>
          <w:tcPr>
            <w:tcW w:w="2306" w:type="dxa"/>
          </w:tcPr>
          <w:p w14:paraId="2735C852" w14:textId="77777777" w:rsidR="0031173A" w:rsidRDefault="0031173A" w:rsidP="008711CB">
            <w:pPr>
              <w:pStyle w:val="StandaardSV"/>
              <w:tabs>
                <w:tab w:val="left" w:pos="360"/>
              </w:tabs>
              <w:ind w:right="349"/>
              <w:jc w:val="center"/>
            </w:pPr>
            <w:r>
              <w:t>551</w:t>
            </w:r>
          </w:p>
        </w:tc>
        <w:tc>
          <w:tcPr>
            <w:tcW w:w="2032" w:type="dxa"/>
          </w:tcPr>
          <w:p w14:paraId="5552CC27" w14:textId="77777777" w:rsidR="0031173A" w:rsidRDefault="0031173A" w:rsidP="008711CB">
            <w:pPr>
              <w:pStyle w:val="StandaardSV"/>
              <w:tabs>
                <w:tab w:val="left" w:pos="360"/>
              </w:tabs>
              <w:ind w:right="349"/>
              <w:jc w:val="center"/>
            </w:pPr>
            <w:r>
              <w:t>189</w:t>
            </w:r>
          </w:p>
        </w:tc>
      </w:tr>
      <w:tr w:rsidR="0031173A" w14:paraId="0D7F4B14" w14:textId="77777777" w:rsidTr="00B85EEB">
        <w:tc>
          <w:tcPr>
            <w:tcW w:w="1084" w:type="dxa"/>
          </w:tcPr>
          <w:p w14:paraId="0A383086" w14:textId="77777777" w:rsidR="0031173A" w:rsidRDefault="0031173A" w:rsidP="008711CB">
            <w:pPr>
              <w:pStyle w:val="StandaardSV"/>
              <w:tabs>
                <w:tab w:val="left" w:pos="360"/>
              </w:tabs>
              <w:ind w:right="349"/>
              <w:jc w:val="center"/>
            </w:pPr>
            <w:r>
              <w:t>4</w:t>
            </w:r>
          </w:p>
        </w:tc>
        <w:tc>
          <w:tcPr>
            <w:tcW w:w="1462" w:type="dxa"/>
            <w:shd w:val="clear" w:color="auto" w:fill="auto"/>
          </w:tcPr>
          <w:p w14:paraId="28AA2F2A" w14:textId="77777777" w:rsidR="0031173A" w:rsidRDefault="0031173A" w:rsidP="008711CB">
            <w:pPr>
              <w:pStyle w:val="StandaardSV"/>
              <w:tabs>
                <w:tab w:val="left" w:pos="360"/>
              </w:tabs>
              <w:ind w:right="349"/>
              <w:jc w:val="center"/>
            </w:pPr>
            <w:r>
              <w:t>10</w:t>
            </w:r>
          </w:p>
        </w:tc>
        <w:tc>
          <w:tcPr>
            <w:tcW w:w="2535" w:type="dxa"/>
            <w:shd w:val="clear" w:color="auto" w:fill="auto"/>
          </w:tcPr>
          <w:p w14:paraId="23E037B9" w14:textId="77777777" w:rsidR="0031173A" w:rsidRDefault="0031173A" w:rsidP="008711CB">
            <w:pPr>
              <w:pStyle w:val="StandaardSV"/>
              <w:tabs>
                <w:tab w:val="left" w:pos="360"/>
              </w:tabs>
              <w:ind w:right="349"/>
              <w:jc w:val="center"/>
            </w:pPr>
            <w:r>
              <w:t>2311</w:t>
            </w:r>
          </w:p>
        </w:tc>
        <w:tc>
          <w:tcPr>
            <w:tcW w:w="2306" w:type="dxa"/>
          </w:tcPr>
          <w:p w14:paraId="6BC68966" w14:textId="77777777" w:rsidR="0031173A" w:rsidRDefault="0031173A" w:rsidP="008711CB">
            <w:pPr>
              <w:pStyle w:val="StandaardSV"/>
              <w:tabs>
                <w:tab w:val="left" w:pos="360"/>
              </w:tabs>
              <w:ind w:right="349"/>
              <w:jc w:val="center"/>
            </w:pPr>
            <w:r>
              <w:t>608</w:t>
            </w:r>
          </w:p>
        </w:tc>
        <w:tc>
          <w:tcPr>
            <w:tcW w:w="2032" w:type="dxa"/>
          </w:tcPr>
          <w:p w14:paraId="3A91FC0D" w14:textId="77777777" w:rsidR="0031173A" w:rsidRDefault="0031173A" w:rsidP="008711CB">
            <w:pPr>
              <w:pStyle w:val="StandaardSV"/>
              <w:tabs>
                <w:tab w:val="left" w:pos="360"/>
              </w:tabs>
              <w:ind w:right="349"/>
              <w:jc w:val="center"/>
            </w:pPr>
            <w:r>
              <w:t>190</w:t>
            </w:r>
          </w:p>
        </w:tc>
      </w:tr>
      <w:tr w:rsidR="0031173A" w14:paraId="2D709282" w14:textId="77777777" w:rsidTr="00B85EEB">
        <w:tc>
          <w:tcPr>
            <w:tcW w:w="1084" w:type="dxa"/>
          </w:tcPr>
          <w:p w14:paraId="676FF543" w14:textId="77777777" w:rsidR="0031173A" w:rsidRDefault="0031173A" w:rsidP="008711CB">
            <w:pPr>
              <w:pStyle w:val="StandaardSV"/>
              <w:tabs>
                <w:tab w:val="left" w:pos="360"/>
              </w:tabs>
              <w:ind w:right="349"/>
              <w:jc w:val="center"/>
            </w:pPr>
            <w:r>
              <w:t>5</w:t>
            </w:r>
          </w:p>
        </w:tc>
        <w:tc>
          <w:tcPr>
            <w:tcW w:w="1462" w:type="dxa"/>
            <w:shd w:val="clear" w:color="auto" w:fill="auto"/>
          </w:tcPr>
          <w:p w14:paraId="4D20F19E" w14:textId="77777777" w:rsidR="0031173A" w:rsidRDefault="0031173A" w:rsidP="008711CB">
            <w:pPr>
              <w:pStyle w:val="StandaardSV"/>
              <w:tabs>
                <w:tab w:val="left" w:pos="360"/>
              </w:tabs>
              <w:ind w:right="349"/>
              <w:jc w:val="center"/>
            </w:pPr>
            <w:r>
              <w:t>11</w:t>
            </w:r>
          </w:p>
        </w:tc>
        <w:tc>
          <w:tcPr>
            <w:tcW w:w="2535" w:type="dxa"/>
            <w:shd w:val="clear" w:color="auto" w:fill="auto"/>
          </w:tcPr>
          <w:p w14:paraId="03E211EB" w14:textId="77777777" w:rsidR="0031173A" w:rsidRDefault="0031173A" w:rsidP="008711CB">
            <w:pPr>
              <w:pStyle w:val="StandaardSV"/>
              <w:tabs>
                <w:tab w:val="left" w:pos="360"/>
              </w:tabs>
              <w:ind w:right="349"/>
              <w:jc w:val="center"/>
            </w:pPr>
            <w:r>
              <w:t>2277</w:t>
            </w:r>
          </w:p>
        </w:tc>
        <w:tc>
          <w:tcPr>
            <w:tcW w:w="2306" w:type="dxa"/>
          </w:tcPr>
          <w:p w14:paraId="12D61DD8" w14:textId="77777777" w:rsidR="0031173A" w:rsidRDefault="0031173A" w:rsidP="008711CB">
            <w:pPr>
              <w:pStyle w:val="StandaardSV"/>
              <w:tabs>
                <w:tab w:val="left" w:pos="360"/>
              </w:tabs>
              <w:ind w:right="349"/>
              <w:jc w:val="center"/>
            </w:pPr>
            <w:r>
              <w:t>524</w:t>
            </w:r>
          </w:p>
        </w:tc>
        <w:tc>
          <w:tcPr>
            <w:tcW w:w="2032" w:type="dxa"/>
          </w:tcPr>
          <w:p w14:paraId="3B43A729" w14:textId="77777777" w:rsidR="0031173A" w:rsidRDefault="0031173A" w:rsidP="008711CB">
            <w:pPr>
              <w:pStyle w:val="StandaardSV"/>
              <w:tabs>
                <w:tab w:val="left" w:pos="360"/>
              </w:tabs>
              <w:ind w:right="349"/>
              <w:jc w:val="center"/>
            </w:pPr>
            <w:r>
              <w:t>187</w:t>
            </w:r>
          </w:p>
        </w:tc>
      </w:tr>
      <w:tr w:rsidR="0031173A" w14:paraId="75D75F5F" w14:textId="77777777" w:rsidTr="00B85EEB">
        <w:tc>
          <w:tcPr>
            <w:tcW w:w="1084" w:type="dxa"/>
          </w:tcPr>
          <w:p w14:paraId="52B14B0F" w14:textId="77777777" w:rsidR="0031173A" w:rsidRDefault="0031173A" w:rsidP="008711CB">
            <w:pPr>
              <w:pStyle w:val="StandaardSV"/>
              <w:tabs>
                <w:tab w:val="left" w:pos="360"/>
              </w:tabs>
              <w:ind w:right="349"/>
              <w:jc w:val="center"/>
            </w:pPr>
            <w:r>
              <w:t>6</w:t>
            </w:r>
          </w:p>
        </w:tc>
        <w:tc>
          <w:tcPr>
            <w:tcW w:w="1462" w:type="dxa"/>
            <w:shd w:val="clear" w:color="auto" w:fill="auto"/>
          </w:tcPr>
          <w:p w14:paraId="76996360" w14:textId="77777777" w:rsidR="0031173A" w:rsidRDefault="0031173A" w:rsidP="008711CB">
            <w:pPr>
              <w:pStyle w:val="StandaardSV"/>
              <w:tabs>
                <w:tab w:val="left" w:pos="360"/>
              </w:tabs>
              <w:ind w:right="349"/>
              <w:jc w:val="center"/>
            </w:pPr>
            <w:r>
              <w:t>12</w:t>
            </w:r>
          </w:p>
        </w:tc>
        <w:tc>
          <w:tcPr>
            <w:tcW w:w="2535" w:type="dxa"/>
            <w:shd w:val="clear" w:color="auto" w:fill="auto"/>
          </w:tcPr>
          <w:p w14:paraId="75864D69" w14:textId="77777777" w:rsidR="0031173A" w:rsidRDefault="0031173A" w:rsidP="008711CB">
            <w:pPr>
              <w:pStyle w:val="StandaardSV"/>
              <w:tabs>
                <w:tab w:val="left" w:pos="360"/>
              </w:tabs>
              <w:ind w:right="349"/>
              <w:jc w:val="center"/>
            </w:pPr>
            <w:r>
              <w:t>2331</w:t>
            </w:r>
          </w:p>
        </w:tc>
        <w:tc>
          <w:tcPr>
            <w:tcW w:w="2306" w:type="dxa"/>
          </w:tcPr>
          <w:p w14:paraId="3C54B8F2" w14:textId="77777777" w:rsidR="0031173A" w:rsidRDefault="0031173A" w:rsidP="008711CB">
            <w:pPr>
              <w:pStyle w:val="StandaardSV"/>
              <w:tabs>
                <w:tab w:val="left" w:pos="360"/>
              </w:tabs>
              <w:ind w:right="349"/>
              <w:jc w:val="center"/>
            </w:pPr>
            <w:r>
              <w:t>527</w:t>
            </w:r>
          </w:p>
        </w:tc>
        <w:tc>
          <w:tcPr>
            <w:tcW w:w="2032" w:type="dxa"/>
          </w:tcPr>
          <w:p w14:paraId="1947E2E0" w14:textId="77777777" w:rsidR="0031173A" w:rsidRDefault="0031173A" w:rsidP="008711CB">
            <w:pPr>
              <w:pStyle w:val="StandaardSV"/>
              <w:tabs>
                <w:tab w:val="left" w:pos="360"/>
              </w:tabs>
              <w:ind w:right="349"/>
              <w:jc w:val="center"/>
            </w:pPr>
            <w:r>
              <w:t>149</w:t>
            </w:r>
          </w:p>
        </w:tc>
      </w:tr>
    </w:tbl>
    <w:p w14:paraId="160139F7" w14:textId="77777777" w:rsidR="0031173A" w:rsidRDefault="0031173A" w:rsidP="00265121">
      <w:pPr>
        <w:pStyle w:val="StandaardSV"/>
        <w:tabs>
          <w:tab w:val="left" w:pos="284"/>
        </w:tabs>
        <w:ind w:left="709" w:right="567" w:hanging="345"/>
      </w:pPr>
    </w:p>
    <w:p w14:paraId="240D3DF6" w14:textId="3AF94AEF" w:rsidR="008B4ED4" w:rsidRDefault="008B4ED4" w:rsidP="00265121">
      <w:pPr>
        <w:pStyle w:val="Lijstalinea"/>
        <w:ind w:left="397" w:right="567"/>
        <w:jc w:val="both"/>
        <w:rPr>
          <w:sz w:val="22"/>
          <w:szCs w:val="22"/>
        </w:rPr>
      </w:pPr>
      <w:r w:rsidRPr="00265121">
        <w:rPr>
          <w:sz w:val="22"/>
          <w:szCs w:val="22"/>
        </w:rPr>
        <w:t>* bereik : bezig met een traject</w:t>
      </w:r>
      <w:r w:rsidR="00BB3CD3">
        <w:rPr>
          <w:sz w:val="22"/>
          <w:szCs w:val="22"/>
        </w:rPr>
        <w:t xml:space="preserve"> (zoals omschreven in</w:t>
      </w:r>
      <w:r w:rsidR="0031173A">
        <w:rPr>
          <w:sz w:val="22"/>
          <w:szCs w:val="22"/>
        </w:rPr>
        <w:t xml:space="preserve"> vraag </w:t>
      </w:r>
      <w:r w:rsidR="00BB3CD3">
        <w:rPr>
          <w:sz w:val="22"/>
          <w:szCs w:val="22"/>
        </w:rPr>
        <w:t>2 e</w:t>
      </w:r>
      <w:r w:rsidRPr="00265121">
        <w:rPr>
          <w:sz w:val="22"/>
          <w:szCs w:val="22"/>
        </w:rPr>
        <w:t>)</w:t>
      </w:r>
      <w:r w:rsidR="009839D7">
        <w:rPr>
          <w:sz w:val="22"/>
          <w:szCs w:val="22"/>
        </w:rPr>
        <w:t xml:space="preserve"> (</w:t>
      </w:r>
      <w:proofErr w:type="spellStart"/>
      <w:r w:rsidR="009839D7">
        <w:rPr>
          <w:sz w:val="22"/>
          <w:szCs w:val="22"/>
        </w:rPr>
        <w:t>opm</w:t>
      </w:r>
      <w:proofErr w:type="spellEnd"/>
      <w:r w:rsidR="009839D7">
        <w:rPr>
          <w:sz w:val="22"/>
          <w:szCs w:val="22"/>
        </w:rPr>
        <w:t>: heel wat ingestroomde NWWZ komen niet in een traject omdat ze bv. reeds uitstroomden uit de werkloosheid)</w:t>
      </w:r>
    </w:p>
    <w:p w14:paraId="7A35EE07" w14:textId="77777777" w:rsidR="00265121" w:rsidRPr="00265121" w:rsidRDefault="00265121" w:rsidP="00265121">
      <w:pPr>
        <w:pStyle w:val="Lijstalinea"/>
        <w:ind w:left="397" w:right="567"/>
        <w:jc w:val="both"/>
        <w:rPr>
          <w:sz w:val="22"/>
          <w:szCs w:val="22"/>
        </w:rPr>
      </w:pPr>
    </w:p>
    <w:p w14:paraId="6B5A41B7" w14:textId="77777777" w:rsidR="008B4ED4" w:rsidRDefault="008B4ED4" w:rsidP="00265121">
      <w:pPr>
        <w:pStyle w:val="Lijstalinea"/>
        <w:ind w:left="397" w:right="567"/>
        <w:jc w:val="both"/>
        <w:rPr>
          <w:sz w:val="22"/>
          <w:szCs w:val="22"/>
        </w:rPr>
      </w:pPr>
      <w:r w:rsidRPr="00265121">
        <w:rPr>
          <w:sz w:val="22"/>
          <w:szCs w:val="22"/>
        </w:rPr>
        <w:t xml:space="preserve">    Voor de overige maanden van 2012 kan dit nog niet worden gemeten.</w:t>
      </w:r>
    </w:p>
    <w:p w14:paraId="46FCB6D6" w14:textId="77777777" w:rsidR="00265121" w:rsidRPr="00265121" w:rsidRDefault="00265121" w:rsidP="00265121">
      <w:pPr>
        <w:pStyle w:val="Lijstalinea"/>
        <w:ind w:left="397" w:right="567"/>
        <w:jc w:val="both"/>
        <w:rPr>
          <w:sz w:val="22"/>
          <w:szCs w:val="22"/>
        </w:rPr>
      </w:pPr>
    </w:p>
    <w:p w14:paraId="0097EF03" w14:textId="25190A4C" w:rsidR="008B4ED4" w:rsidRDefault="00265121" w:rsidP="00265121">
      <w:pPr>
        <w:pStyle w:val="StandaardSV"/>
        <w:tabs>
          <w:tab w:val="left" w:pos="284"/>
        </w:tabs>
        <w:ind w:left="709" w:right="567" w:hanging="345"/>
      </w:pPr>
      <w:r>
        <w:t>e</w:t>
      </w:r>
      <w:r w:rsidR="00CF31D7">
        <w:t>)</w:t>
      </w:r>
      <w:r>
        <w:tab/>
      </w:r>
      <w:r w:rsidR="008B4ED4">
        <w:t>intake, oriëntering, toeleiding naar vacatures, sollicitatietraining, opleiding, al of niet binnen de 50+ club al naargelang de behoeften van de klant</w:t>
      </w:r>
    </w:p>
    <w:p w14:paraId="67FF0289" w14:textId="77777777" w:rsidR="00265121" w:rsidRDefault="00265121" w:rsidP="00265121">
      <w:pPr>
        <w:pStyle w:val="StandaardSV"/>
        <w:tabs>
          <w:tab w:val="left" w:pos="284"/>
        </w:tabs>
        <w:ind w:left="709" w:right="567" w:hanging="345"/>
      </w:pPr>
    </w:p>
    <w:p w14:paraId="5702F912" w14:textId="19BF7A71" w:rsidR="008B4ED4" w:rsidRDefault="008B4ED4" w:rsidP="00265121">
      <w:pPr>
        <w:pStyle w:val="Lijstalinea"/>
        <w:numPr>
          <w:ilvl w:val="0"/>
          <w:numId w:val="10"/>
        </w:numPr>
        <w:tabs>
          <w:tab w:val="clear" w:pos="720"/>
          <w:tab w:val="num" w:pos="397"/>
        </w:tabs>
        <w:ind w:left="397" w:right="567" w:hanging="397"/>
        <w:jc w:val="both"/>
        <w:rPr>
          <w:sz w:val="22"/>
          <w:szCs w:val="22"/>
        </w:rPr>
      </w:pPr>
      <w:r w:rsidRPr="00265121">
        <w:rPr>
          <w:sz w:val="22"/>
          <w:szCs w:val="22"/>
        </w:rPr>
        <w:t>Volgens de bevolkingsvooruitzichten 2011-2061 zouden er in het Vlaams Gewest op 1 januari 2013 174.495  personen van 56 tot en met 57 jaar wonen.</w:t>
      </w:r>
    </w:p>
    <w:p w14:paraId="3D1136F5" w14:textId="77777777" w:rsidR="00265121" w:rsidRPr="00265121" w:rsidRDefault="00265121" w:rsidP="00265121">
      <w:pPr>
        <w:pStyle w:val="Lijstalinea"/>
        <w:ind w:left="397" w:right="567"/>
        <w:jc w:val="both"/>
        <w:rPr>
          <w:sz w:val="22"/>
          <w:szCs w:val="22"/>
        </w:rPr>
      </w:pPr>
    </w:p>
    <w:p w14:paraId="496E6073" w14:textId="77777777" w:rsidR="00265121" w:rsidRPr="00265121" w:rsidRDefault="00265121" w:rsidP="00265121">
      <w:pPr>
        <w:pStyle w:val="Lijstalinea"/>
        <w:numPr>
          <w:ilvl w:val="0"/>
          <w:numId w:val="10"/>
        </w:numPr>
        <w:tabs>
          <w:tab w:val="clear" w:pos="720"/>
          <w:tab w:val="num" w:pos="397"/>
        </w:tabs>
        <w:ind w:left="397" w:right="567" w:hanging="397"/>
        <w:jc w:val="both"/>
        <w:rPr>
          <w:sz w:val="22"/>
          <w:szCs w:val="22"/>
        </w:rPr>
      </w:pPr>
    </w:p>
    <w:p w14:paraId="281A1131" w14:textId="4CACD63B" w:rsidR="008B4ED4" w:rsidRPr="00265121" w:rsidRDefault="008B4ED4" w:rsidP="00265121">
      <w:pPr>
        <w:pStyle w:val="StandaardSV"/>
        <w:tabs>
          <w:tab w:val="left" w:pos="284"/>
        </w:tabs>
        <w:ind w:left="709" w:right="567" w:hanging="345"/>
      </w:pPr>
      <w:r w:rsidRPr="00265121">
        <w:t>a</w:t>
      </w:r>
      <w:r w:rsidR="00CF31D7">
        <w:t>)</w:t>
      </w:r>
      <w:r w:rsidRPr="00265121">
        <w:t xml:space="preserve"> </w:t>
      </w:r>
      <w:r w:rsidR="00265121">
        <w:tab/>
      </w:r>
      <w:r w:rsidRPr="00265121">
        <w:t>In 2012 waren er 23.914 unieke personen van 56 tot 58 jaar minstens 1 dag ingeschreven als NWWZ.</w:t>
      </w:r>
    </w:p>
    <w:p w14:paraId="0B123CA0" w14:textId="1DA3805C" w:rsidR="008B4ED4" w:rsidRDefault="008B4ED4" w:rsidP="00265121">
      <w:pPr>
        <w:pStyle w:val="StandaardSV"/>
        <w:tabs>
          <w:tab w:val="left" w:pos="284"/>
        </w:tabs>
        <w:ind w:left="709" w:right="567" w:hanging="345"/>
      </w:pPr>
      <w:r>
        <w:t>b</w:t>
      </w:r>
      <w:r w:rsidR="00CF31D7">
        <w:t>)</w:t>
      </w:r>
      <w:r>
        <w:t xml:space="preserve"> </w:t>
      </w:r>
    </w:p>
    <w:p w14:paraId="7D61B402" w14:textId="77777777" w:rsidR="00265121" w:rsidRDefault="00265121" w:rsidP="00265121">
      <w:pPr>
        <w:pStyle w:val="StandaardSV"/>
        <w:tabs>
          <w:tab w:val="left" w:pos="284"/>
        </w:tabs>
        <w:ind w:left="709" w:right="567" w:hanging="34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B4ED4" w:rsidRPr="002A11FF" w14:paraId="3F4EF8BF" w14:textId="77777777" w:rsidTr="00265121">
        <w:tc>
          <w:tcPr>
            <w:tcW w:w="4606" w:type="dxa"/>
            <w:shd w:val="clear" w:color="auto" w:fill="auto"/>
          </w:tcPr>
          <w:p w14:paraId="55AC85F7" w14:textId="77777777" w:rsidR="008B4ED4" w:rsidRPr="002A11FF" w:rsidRDefault="008B4ED4" w:rsidP="008B4ED4">
            <w:pPr>
              <w:pStyle w:val="StandaardSV"/>
              <w:tabs>
                <w:tab w:val="left" w:pos="360"/>
              </w:tabs>
              <w:jc w:val="center"/>
              <w:rPr>
                <w:b/>
              </w:rPr>
            </w:pPr>
            <w:r w:rsidRPr="002A11FF">
              <w:rPr>
                <w:b/>
              </w:rPr>
              <w:t>2012</w:t>
            </w:r>
          </w:p>
        </w:tc>
        <w:tc>
          <w:tcPr>
            <w:tcW w:w="4607" w:type="dxa"/>
            <w:shd w:val="clear" w:color="auto" w:fill="auto"/>
          </w:tcPr>
          <w:p w14:paraId="569C2547" w14:textId="77777777" w:rsidR="008B4ED4" w:rsidRPr="002A11FF" w:rsidRDefault="008B4ED4" w:rsidP="008B4ED4">
            <w:pPr>
              <w:pStyle w:val="StandaardSV"/>
              <w:tabs>
                <w:tab w:val="left" w:pos="360"/>
              </w:tabs>
              <w:jc w:val="center"/>
              <w:rPr>
                <w:b/>
              </w:rPr>
            </w:pPr>
            <w:r w:rsidRPr="002A11FF">
              <w:rPr>
                <w:b/>
              </w:rPr>
              <w:t>NWWZ</w:t>
            </w:r>
          </w:p>
        </w:tc>
      </w:tr>
      <w:tr w:rsidR="008B4ED4" w14:paraId="41EAC023" w14:textId="77777777" w:rsidTr="00265121">
        <w:tc>
          <w:tcPr>
            <w:tcW w:w="4606" w:type="dxa"/>
            <w:shd w:val="clear" w:color="auto" w:fill="auto"/>
          </w:tcPr>
          <w:p w14:paraId="53A99D10" w14:textId="77777777" w:rsidR="008B4ED4" w:rsidRDefault="008B4ED4" w:rsidP="008B4ED4">
            <w:pPr>
              <w:pStyle w:val="StandaardSV"/>
              <w:tabs>
                <w:tab w:val="left" w:pos="360"/>
              </w:tabs>
              <w:jc w:val="center"/>
            </w:pPr>
            <w:r>
              <w:t>1</w:t>
            </w:r>
          </w:p>
        </w:tc>
        <w:tc>
          <w:tcPr>
            <w:tcW w:w="4607" w:type="dxa"/>
            <w:shd w:val="clear" w:color="auto" w:fill="auto"/>
          </w:tcPr>
          <w:p w14:paraId="2CFB5B4F" w14:textId="77777777" w:rsidR="008B4ED4" w:rsidRDefault="008B4ED4" w:rsidP="008B4ED4">
            <w:pPr>
              <w:pStyle w:val="StandaardSV"/>
              <w:tabs>
                <w:tab w:val="left" w:pos="360"/>
              </w:tabs>
              <w:jc w:val="center"/>
            </w:pPr>
            <w:r>
              <w:t>1170</w:t>
            </w:r>
          </w:p>
        </w:tc>
      </w:tr>
      <w:tr w:rsidR="008B4ED4" w14:paraId="76874AEA" w14:textId="77777777" w:rsidTr="00265121">
        <w:tc>
          <w:tcPr>
            <w:tcW w:w="4606" w:type="dxa"/>
            <w:shd w:val="clear" w:color="auto" w:fill="auto"/>
          </w:tcPr>
          <w:p w14:paraId="65D9E1C5" w14:textId="77777777" w:rsidR="008B4ED4" w:rsidRDefault="008B4ED4" w:rsidP="008B4ED4">
            <w:pPr>
              <w:pStyle w:val="StandaardSV"/>
              <w:tabs>
                <w:tab w:val="left" w:pos="360"/>
              </w:tabs>
              <w:jc w:val="center"/>
            </w:pPr>
            <w:r>
              <w:t>2</w:t>
            </w:r>
          </w:p>
        </w:tc>
        <w:tc>
          <w:tcPr>
            <w:tcW w:w="4607" w:type="dxa"/>
            <w:shd w:val="clear" w:color="auto" w:fill="auto"/>
          </w:tcPr>
          <w:p w14:paraId="72B72159" w14:textId="77777777" w:rsidR="008B4ED4" w:rsidRDefault="008B4ED4" w:rsidP="008B4ED4">
            <w:pPr>
              <w:pStyle w:val="StandaardSV"/>
              <w:tabs>
                <w:tab w:val="left" w:pos="360"/>
              </w:tabs>
              <w:jc w:val="center"/>
            </w:pPr>
            <w:r>
              <w:t>979</w:t>
            </w:r>
          </w:p>
        </w:tc>
      </w:tr>
      <w:tr w:rsidR="008B4ED4" w14:paraId="2ABABDD5" w14:textId="77777777" w:rsidTr="00265121">
        <w:tc>
          <w:tcPr>
            <w:tcW w:w="4606" w:type="dxa"/>
            <w:shd w:val="clear" w:color="auto" w:fill="auto"/>
          </w:tcPr>
          <w:p w14:paraId="3F51EF50" w14:textId="77777777" w:rsidR="008B4ED4" w:rsidRDefault="008B4ED4" w:rsidP="008B4ED4">
            <w:pPr>
              <w:pStyle w:val="StandaardSV"/>
              <w:tabs>
                <w:tab w:val="left" w:pos="360"/>
              </w:tabs>
              <w:jc w:val="center"/>
            </w:pPr>
            <w:r>
              <w:t>3</w:t>
            </w:r>
          </w:p>
        </w:tc>
        <w:tc>
          <w:tcPr>
            <w:tcW w:w="4607" w:type="dxa"/>
            <w:shd w:val="clear" w:color="auto" w:fill="auto"/>
          </w:tcPr>
          <w:p w14:paraId="4556B717" w14:textId="77777777" w:rsidR="008B4ED4" w:rsidRDefault="008B4ED4" w:rsidP="008B4ED4">
            <w:pPr>
              <w:pStyle w:val="StandaardSV"/>
              <w:tabs>
                <w:tab w:val="left" w:pos="360"/>
              </w:tabs>
              <w:jc w:val="center"/>
            </w:pPr>
            <w:r>
              <w:t>968</w:t>
            </w:r>
          </w:p>
        </w:tc>
      </w:tr>
      <w:tr w:rsidR="008B4ED4" w14:paraId="0165063C" w14:textId="77777777" w:rsidTr="00265121">
        <w:tc>
          <w:tcPr>
            <w:tcW w:w="4606" w:type="dxa"/>
            <w:shd w:val="clear" w:color="auto" w:fill="auto"/>
          </w:tcPr>
          <w:p w14:paraId="59114B00" w14:textId="77777777" w:rsidR="008B4ED4" w:rsidRDefault="008B4ED4" w:rsidP="008B4ED4">
            <w:pPr>
              <w:pStyle w:val="StandaardSV"/>
              <w:tabs>
                <w:tab w:val="left" w:pos="360"/>
              </w:tabs>
              <w:jc w:val="center"/>
            </w:pPr>
            <w:r>
              <w:t>4</w:t>
            </w:r>
          </w:p>
        </w:tc>
        <w:tc>
          <w:tcPr>
            <w:tcW w:w="4607" w:type="dxa"/>
            <w:shd w:val="clear" w:color="auto" w:fill="auto"/>
          </w:tcPr>
          <w:p w14:paraId="077728CD" w14:textId="77777777" w:rsidR="008B4ED4" w:rsidRDefault="008B4ED4" w:rsidP="008B4ED4">
            <w:pPr>
              <w:pStyle w:val="StandaardSV"/>
              <w:tabs>
                <w:tab w:val="left" w:pos="360"/>
              </w:tabs>
              <w:jc w:val="center"/>
            </w:pPr>
            <w:r>
              <w:t>928</w:t>
            </w:r>
          </w:p>
        </w:tc>
      </w:tr>
      <w:tr w:rsidR="008B4ED4" w14:paraId="55C15452" w14:textId="77777777" w:rsidTr="00265121">
        <w:tc>
          <w:tcPr>
            <w:tcW w:w="4606" w:type="dxa"/>
            <w:shd w:val="clear" w:color="auto" w:fill="auto"/>
          </w:tcPr>
          <w:p w14:paraId="1BACE365" w14:textId="77777777" w:rsidR="008B4ED4" w:rsidRDefault="008B4ED4" w:rsidP="008B4ED4">
            <w:pPr>
              <w:pStyle w:val="StandaardSV"/>
              <w:tabs>
                <w:tab w:val="left" w:pos="360"/>
              </w:tabs>
              <w:jc w:val="center"/>
            </w:pPr>
            <w:r>
              <w:t>5</w:t>
            </w:r>
          </w:p>
        </w:tc>
        <w:tc>
          <w:tcPr>
            <w:tcW w:w="4607" w:type="dxa"/>
            <w:shd w:val="clear" w:color="auto" w:fill="auto"/>
          </w:tcPr>
          <w:p w14:paraId="529C6AFD" w14:textId="77777777" w:rsidR="008B4ED4" w:rsidRDefault="008B4ED4" w:rsidP="008B4ED4">
            <w:pPr>
              <w:pStyle w:val="StandaardSV"/>
              <w:tabs>
                <w:tab w:val="left" w:pos="360"/>
              </w:tabs>
              <w:jc w:val="center"/>
            </w:pPr>
            <w:r>
              <w:t>960</w:t>
            </w:r>
          </w:p>
        </w:tc>
      </w:tr>
      <w:tr w:rsidR="008B4ED4" w14:paraId="090952EC" w14:textId="77777777" w:rsidTr="00265121">
        <w:tc>
          <w:tcPr>
            <w:tcW w:w="4606" w:type="dxa"/>
            <w:shd w:val="clear" w:color="auto" w:fill="auto"/>
          </w:tcPr>
          <w:p w14:paraId="74CCBF3A" w14:textId="77777777" w:rsidR="008B4ED4" w:rsidRDefault="008B4ED4" w:rsidP="008B4ED4">
            <w:pPr>
              <w:pStyle w:val="StandaardSV"/>
              <w:tabs>
                <w:tab w:val="left" w:pos="360"/>
              </w:tabs>
              <w:jc w:val="center"/>
            </w:pPr>
            <w:r>
              <w:t>6</w:t>
            </w:r>
          </w:p>
        </w:tc>
        <w:tc>
          <w:tcPr>
            <w:tcW w:w="4607" w:type="dxa"/>
            <w:shd w:val="clear" w:color="auto" w:fill="auto"/>
          </w:tcPr>
          <w:p w14:paraId="6DD1146C" w14:textId="77777777" w:rsidR="008B4ED4" w:rsidRDefault="008B4ED4" w:rsidP="008B4ED4">
            <w:pPr>
              <w:pStyle w:val="StandaardSV"/>
              <w:tabs>
                <w:tab w:val="left" w:pos="360"/>
              </w:tabs>
              <w:jc w:val="center"/>
            </w:pPr>
            <w:r>
              <w:t>930</w:t>
            </w:r>
          </w:p>
        </w:tc>
      </w:tr>
      <w:tr w:rsidR="008B4ED4" w14:paraId="21C26EAE" w14:textId="77777777" w:rsidTr="00265121">
        <w:tc>
          <w:tcPr>
            <w:tcW w:w="4606" w:type="dxa"/>
            <w:shd w:val="clear" w:color="auto" w:fill="auto"/>
          </w:tcPr>
          <w:p w14:paraId="45BED990" w14:textId="77777777" w:rsidR="008B4ED4" w:rsidRDefault="008B4ED4" w:rsidP="008B4ED4">
            <w:pPr>
              <w:pStyle w:val="StandaardSV"/>
              <w:tabs>
                <w:tab w:val="left" w:pos="360"/>
              </w:tabs>
              <w:jc w:val="center"/>
            </w:pPr>
            <w:r>
              <w:t>7</w:t>
            </w:r>
          </w:p>
        </w:tc>
        <w:tc>
          <w:tcPr>
            <w:tcW w:w="4607" w:type="dxa"/>
            <w:shd w:val="clear" w:color="auto" w:fill="auto"/>
          </w:tcPr>
          <w:p w14:paraId="45AD3B22" w14:textId="77777777" w:rsidR="008B4ED4" w:rsidRDefault="008B4ED4" w:rsidP="008B4ED4">
            <w:pPr>
              <w:pStyle w:val="StandaardSV"/>
              <w:tabs>
                <w:tab w:val="left" w:pos="360"/>
              </w:tabs>
              <w:jc w:val="center"/>
            </w:pPr>
            <w:r>
              <w:t>1201</w:t>
            </w:r>
          </w:p>
        </w:tc>
      </w:tr>
      <w:tr w:rsidR="008B4ED4" w14:paraId="13F2CE0F" w14:textId="77777777" w:rsidTr="00265121">
        <w:tc>
          <w:tcPr>
            <w:tcW w:w="4606" w:type="dxa"/>
            <w:shd w:val="clear" w:color="auto" w:fill="auto"/>
          </w:tcPr>
          <w:p w14:paraId="3B1CCF32" w14:textId="77777777" w:rsidR="008B4ED4" w:rsidRDefault="008B4ED4" w:rsidP="008B4ED4">
            <w:pPr>
              <w:pStyle w:val="StandaardSV"/>
              <w:tabs>
                <w:tab w:val="left" w:pos="360"/>
              </w:tabs>
              <w:jc w:val="center"/>
            </w:pPr>
            <w:r>
              <w:t>8</w:t>
            </w:r>
          </w:p>
        </w:tc>
        <w:tc>
          <w:tcPr>
            <w:tcW w:w="4607" w:type="dxa"/>
            <w:shd w:val="clear" w:color="auto" w:fill="auto"/>
          </w:tcPr>
          <w:p w14:paraId="5B457DAA" w14:textId="77777777" w:rsidR="008B4ED4" w:rsidRDefault="008B4ED4" w:rsidP="008B4ED4">
            <w:pPr>
              <w:pStyle w:val="StandaardSV"/>
              <w:tabs>
                <w:tab w:val="left" w:pos="360"/>
              </w:tabs>
              <w:jc w:val="center"/>
            </w:pPr>
            <w:r>
              <w:t>882</w:t>
            </w:r>
          </w:p>
        </w:tc>
      </w:tr>
      <w:tr w:rsidR="008B4ED4" w14:paraId="7BD271D4" w14:textId="77777777" w:rsidTr="00265121">
        <w:tc>
          <w:tcPr>
            <w:tcW w:w="4606" w:type="dxa"/>
            <w:shd w:val="clear" w:color="auto" w:fill="auto"/>
          </w:tcPr>
          <w:p w14:paraId="64D7CD1E" w14:textId="77777777" w:rsidR="008B4ED4" w:rsidRDefault="008B4ED4" w:rsidP="008B4ED4">
            <w:pPr>
              <w:pStyle w:val="StandaardSV"/>
              <w:tabs>
                <w:tab w:val="left" w:pos="360"/>
              </w:tabs>
              <w:jc w:val="center"/>
            </w:pPr>
            <w:r>
              <w:t>9</w:t>
            </w:r>
          </w:p>
        </w:tc>
        <w:tc>
          <w:tcPr>
            <w:tcW w:w="4607" w:type="dxa"/>
            <w:shd w:val="clear" w:color="auto" w:fill="auto"/>
          </w:tcPr>
          <w:p w14:paraId="45E4F687" w14:textId="77777777" w:rsidR="008B4ED4" w:rsidRDefault="008B4ED4" w:rsidP="008B4ED4">
            <w:pPr>
              <w:pStyle w:val="StandaardSV"/>
              <w:tabs>
                <w:tab w:val="left" w:pos="360"/>
              </w:tabs>
              <w:jc w:val="center"/>
            </w:pPr>
            <w:r>
              <w:t>979</w:t>
            </w:r>
          </w:p>
        </w:tc>
      </w:tr>
      <w:tr w:rsidR="008B4ED4" w14:paraId="4523A72D" w14:textId="77777777" w:rsidTr="00265121">
        <w:tc>
          <w:tcPr>
            <w:tcW w:w="4606" w:type="dxa"/>
            <w:shd w:val="clear" w:color="auto" w:fill="auto"/>
          </w:tcPr>
          <w:p w14:paraId="5365DB95" w14:textId="77777777" w:rsidR="008B4ED4" w:rsidRDefault="008B4ED4" w:rsidP="008B4ED4">
            <w:pPr>
              <w:pStyle w:val="StandaardSV"/>
              <w:tabs>
                <w:tab w:val="left" w:pos="360"/>
              </w:tabs>
              <w:jc w:val="center"/>
            </w:pPr>
            <w:r>
              <w:t>10</w:t>
            </w:r>
          </w:p>
        </w:tc>
        <w:tc>
          <w:tcPr>
            <w:tcW w:w="4607" w:type="dxa"/>
            <w:shd w:val="clear" w:color="auto" w:fill="auto"/>
          </w:tcPr>
          <w:p w14:paraId="05A5CFDB" w14:textId="77777777" w:rsidR="008B4ED4" w:rsidRDefault="008B4ED4" w:rsidP="008B4ED4">
            <w:pPr>
              <w:pStyle w:val="StandaardSV"/>
              <w:tabs>
                <w:tab w:val="left" w:pos="360"/>
              </w:tabs>
              <w:jc w:val="center"/>
            </w:pPr>
            <w:r>
              <w:t>1062</w:t>
            </w:r>
          </w:p>
        </w:tc>
      </w:tr>
      <w:tr w:rsidR="008B4ED4" w14:paraId="4CFF5E27" w14:textId="77777777" w:rsidTr="00265121">
        <w:tc>
          <w:tcPr>
            <w:tcW w:w="4606" w:type="dxa"/>
            <w:shd w:val="clear" w:color="auto" w:fill="auto"/>
          </w:tcPr>
          <w:p w14:paraId="03D1400B" w14:textId="77777777" w:rsidR="008B4ED4" w:rsidRDefault="008B4ED4" w:rsidP="008B4ED4">
            <w:pPr>
              <w:pStyle w:val="StandaardSV"/>
              <w:tabs>
                <w:tab w:val="left" w:pos="360"/>
              </w:tabs>
              <w:jc w:val="center"/>
            </w:pPr>
            <w:r>
              <w:t>11</w:t>
            </w:r>
          </w:p>
        </w:tc>
        <w:tc>
          <w:tcPr>
            <w:tcW w:w="4607" w:type="dxa"/>
            <w:shd w:val="clear" w:color="auto" w:fill="auto"/>
          </w:tcPr>
          <w:p w14:paraId="0D929F8B" w14:textId="77777777" w:rsidR="008B4ED4" w:rsidRDefault="008B4ED4" w:rsidP="008B4ED4">
            <w:pPr>
              <w:pStyle w:val="StandaardSV"/>
              <w:tabs>
                <w:tab w:val="left" w:pos="360"/>
              </w:tabs>
              <w:jc w:val="center"/>
            </w:pPr>
            <w:r>
              <w:t>831</w:t>
            </w:r>
          </w:p>
        </w:tc>
      </w:tr>
      <w:tr w:rsidR="008B4ED4" w14:paraId="0D476E73" w14:textId="77777777" w:rsidTr="00265121">
        <w:tc>
          <w:tcPr>
            <w:tcW w:w="4606" w:type="dxa"/>
            <w:shd w:val="clear" w:color="auto" w:fill="auto"/>
          </w:tcPr>
          <w:p w14:paraId="7BCBE305" w14:textId="77777777" w:rsidR="008B4ED4" w:rsidRDefault="008B4ED4" w:rsidP="008B4ED4">
            <w:pPr>
              <w:pStyle w:val="StandaardSV"/>
              <w:tabs>
                <w:tab w:val="left" w:pos="360"/>
              </w:tabs>
              <w:jc w:val="center"/>
            </w:pPr>
            <w:r>
              <w:t>12</w:t>
            </w:r>
          </w:p>
        </w:tc>
        <w:tc>
          <w:tcPr>
            <w:tcW w:w="4607" w:type="dxa"/>
            <w:shd w:val="clear" w:color="auto" w:fill="auto"/>
          </w:tcPr>
          <w:p w14:paraId="57D12363" w14:textId="77777777" w:rsidR="008B4ED4" w:rsidRDefault="008B4ED4" w:rsidP="008B4ED4">
            <w:pPr>
              <w:pStyle w:val="StandaardSV"/>
              <w:tabs>
                <w:tab w:val="left" w:pos="360"/>
              </w:tabs>
              <w:jc w:val="center"/>
            </w:pPr>
            <w:r>
              <w:t>991</w:t>
            </w:r>
          </w:p>
        </w:tc>
      </w:tr>
    </w:tbl>
    <w:p w14:paraId="0864F152" w14:textId="77777777" w:rsidR="008B4ED4" w:rsidRDefault="008B4ED4" w:rsidP="00265121">
      <w:pPr>
        <w:pStyle w:val="StandaardSV"/>
        <w:tabs>
          <w:tab w:val="left" w:pos="284"/>
        </w:tabs>
        <w:ind w:left="709" w:right="567" w:hanging="345"/>
      </w:pPr>
    </w:p>
    <w:p w14:paraId="238A8B77" w14:textId="5E3DE7E8" w:rsidR="008B4ED4" w:rsidRDefault="0031173A" w:rsidP="00265121">
      <w:pPr>
        <w:pStyle w:val="StandaardSV"/>
        <w:tabs>
          <w:tab w:val="left" w:pos="284"/>
        </w:tabs>
        <w:ind w:left="709" w:right="567" w:hanging="345"/>
      </w:pPr>
      <w:r>
        <w:t>c</w:t>
      </w:r>
      <w:r w:rsidR="00CF31D7">
        <w:t>)</w:t>
      </w:r>
      <w:r>
        <w:t xml:space="preserve"> en d</w:t>
      </w:r>
      <w:r w:rsidR="00CF31D7">
        <w:t>)</w:t>
      </w:r>
      <w:bookmarkStart w:id="0" w:name="_GoBack"/>
      <w:bookmarkEnd w:id="0"/>
      <w:r w:rsidR="00265121">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1"/>
        <w:gridCol w:w="1441"/>
        <w:gridCol w:w="1980"/>
        <w:gridCol w:w="2604"/>
        <w:gridCol w:w="2289"/>
      </w:tblGrid>
      <w:tr w:rsidR="0031173A" w14:paraId="798B4E14" w14:textId="77777777" w:rsidTr="001A550A">
        <w:tc>
          <w:tcPr>
            <w:tcW w:w="1008" w:type="dxa"/>
            <w:shd w:val="clear" w:color="auto" w:fill="auto"/>
          </w:tcPr>
          <w:p w14:paraId="5A6E856C" w14:textId="77777777" w:rsidR="0031173A" w:rsidRPr="002A11FF" w:rsidRDefault="0031173A" w:rsidP="001A550A">
            <w:pPr>
              <w:pStyle w:val="StandaardSV"/>
              <w:tabs>
                <w:tab w:val="left" w:pos="360"/>
              </w:tabs>
              <w:jc w:val="center"/>
              <w:rPr>
                <w:b/>
              </w:rPr>
            </w:pPr>
            <w:r w:rsidRPr="002A11FF">
              <w:rPr>
                <w:b/>
              </w:rPr>
              <w:t>2012</w:t>
            </w:r>
            <w:r>
              <w:rPr>
                <w:b/>
              </w:rPr>
              <w:br/>
              <w:t>Instroom</w:t>
            </w:r>
          </w:p>
        </w:tc>
        <w:tc>
          <w:tcPr>
            <w:tcW w:w="1008" w:type="dxa"/>
            <w:gridSpan w:val="2"/>
            <w:shd w:val="clear" w:color="auto" w:fill="auto"/>
          </w:tcPr>
          <w:p w14:paraId="5D017951" w14:textId="77777777" w:rsidR="0031173A" w:rsidRPr="002A11FF" w:rsidRDefault="0031173A" w:rsidP="001A550A">
            <w:pPr>
              <w:pStyle w:val="StandaardSV"/>
              <w:tabs>
                <w:tab w:val="left" w:pos="360"/>
              </w:tabs>
              <w:jc w:val="center"/>
              <w:rPr>
                <w:b/>
              </w:rPr>
            </w:pPr>
            <w:r>
              <w:rPr>
                <w:b/>
              </w:rPr>
              <w:t>2012</w:t>
            </w:r>
            <w:r>
              <w:rPr>
                <w:b/>
              </w:rPr>
              <w:br/>
              <w:t>Meetmoment</w:t>
            </w:r>
            <w:r>
              <w:rPr>
                <w:b/>
              </w:rPr>
              <w:br/>
              <w:t>bereik werk</w:t>
            </w:r>
          </w:p>
        </w:tc>
        <w:tc>
          <w:tcPr>
            <w:tcW w:w="1993" w:type="dxa"/>
            <w:shd w:val="clear" w:color="auto" w:fill="auto"/>
          </w:tcPr>
          <w:p w14:paraId="1C9806A6" w14:textId="77777777" w:rsidR="0031173A" w:rsidRPr="002A11FF" w:rsidRDefault="0031173A" w:rsidP="001A550A">
            <w:pPr>
              <w:pStyle w:val="StandaardSV"/>
              <w:tabs>
                <w:tab w:val="left" w:pos="360"/>
              </w:tabs>
              <w:jc w:val="center"/>
              <w:rPr>
                <w:b/>
              </w:rPr>
            </w:pPr>
            <w:r w:rsidRPr="002A11FF">
              <w:rPr>
                <w:b/>
              </w:rPr>
              <w:t>NWWZ</w:t>
            </w:r>
          </w:p>
        </w:tc>
        <w:tc>
          <w:tcPr>
            <w:tcW w:w="2622" w:type="dxa"/>
          </w:tcPr>
          <w:p w14:paraId="0F43C934" w14:textId="2FDC05DA" w:rsidR="0031173A" w:rsidRPr="002A11FF" w:rsidRDefault="0031173A" w:rsidP="001A550A">
            <w:pPr>
              <w:pStyle w:val="StandaardSV"/>
              <w:tabs>
                <w:tab w:val="left" w:pos="360"/>
              </w:tabs>
              <w:jc w:val="center"/>
              <w:rPr>
                <w:b/>
              </w:rPr>
            </w:pPr>
            <w:r>
              <w:rPr>
                <w:b/>
              </w:rPr>
              <w:t>Bereikt* door VDAB binnen de 6 maanden</w:t>
            </w:r>
          </w:p>
        </w:tc>
        <w:tc>
          <w:tcPr>
            <w:tcW w:w="2298" w:type="dxa"/>
          </w:tcPr>
          <w:p w14:paraId="368A7A87" w14:textId="77777777" w:rsidR="0031173A" w:rsidRDefault="0031173A" w:rsidP="001A550A">
            <w:pPr>
              <w:pStyle w:val="StandaardSV"/>
              <w:tabs>
                <w:tab w:val="left" w:pos="360"/>
              </w:tabs>
              <w:jc w:val="center"/>
              <w:rPr>
                <w:b/>
              </w:rPr>
            </w:pPr>
            <w:r>
              <w:rPr>
                <w:b/>
              </w:rPr>
              <w:t>Uitgestroomd naar werk na 6 maanden</w:t>
            </w:r>
          </w:p>
        </w:tc>
      </w:tr>
      <w:tr w:rsidR="0031173A" w14:paraId="3F8A68C3" w14:textId="77777777" w:rsidTr="001A550A">
        <w:tc>
          <w:tcPr>
            <w:tcW w:w="1024" w:type="dxa"/>
            <w:gridSpan w:val="2"/>
            <w:shd w:val="clear" w:color="auto" w:fill="auto"/>
          </w:tcPr>
          <w:p w14:paraId="703F4894" w14:textId="77777777" w:rsidR="0031173A" w:rsidRDefault="0031173A" w:rsidP="001A550A">
            <w:pPr>
              <w:pStyle w:val="StandaardSV"/>
              <w:tabs>
                <w:tab w:val="left" w:pos="360"/>
              </w:tabs>
              <w:jc w:val="center"/>
            </w:pPr>
            <w:r>
              <w:t>1</w:t>
            </w:r>
          </w:p>
        </w:tc>
        <w:tc>
          <w:tcPr>
            <w:tcW w:w="992" w:type="dxa"/>
          </w:tcPr>
          <w:p w14:paraId="46D04496" w14:textId="77777777" w:rsidR="0031173A" w:rsidRDefault="0031173A" w:rsidP="001A550A">
            <w:pPr>
              <w:pStyle w:val="StandaardSV"/>
              <w:tabs>
                <w:tab w:val="left" w:pos="360"/>
              </w:tabs>
              <w:jc w:val="center"/>
            </w:pPr>
            <w:r>
              <w:t>7</w:t>
            </w:r>
          </w:p>
        </w:tc>
        <w:tc>
          <w:tcPr>
            <w:tcW w:w="1993" w:type="dxa"/>
            <w:shd w:val="clear" w:color="auto" w:fill="auto"/>
          </w:tcPr>
          <w:p w14:paraId="3EE3FAD8" w14:textId="77777777" w:rsidR="0031173A" w:rsidRDefault="0031173A" w:rsidP="001A550A">
            <w:pPr>
              <w:pStyle w:val="StandaardSV"/>
              <w:tabs>
                <w:tab w:val="left" w:pos="360"/>
              </w:tabs>
              <w:jc w:val="center"/>
            </w:pPr>
            <w:r>
              <w:t>1170</w:t>
            </w:r>
          </w:p>
        </w:tc>
        <w:tc>
          <w:tcPr>
            <w:tcW w:w="2622" w:type="dxa"/>
          </w:tcPr>
          <w:p w14:paraId="4B1B0DD4" w14:textId="77777777" w:rsidR="0031173A" w:rsidRDefault="0031173A" w:rsidP="001A550A">
            <w:pPr>
              <w:pStyle w:val="StandaardSV"/>
              <w:tabs>
                <w:tab w:val="left" w:pos="360"/>
              </w:tabs>
              <w:jc w:val="center"/>
            </w:pPr>
            <w:r>
              <w:t>140</w:t>
            </w:r>
          </w:p>
        </w:tc>
        <w:tc>
          <w:tcPr>
            <w:tcW w:w="2298" w:type="dxa"/>
          </w:tcPr>
          <w:p w14:paraId="67EE644A" w14:textId="77777777" w:rsidR="0031173A" w:rsidRDefault="0031173A" w:rsidP="001A550A">
            <w:pPr>
              <w:pStyle w:val="StandaardSV"/>
              <w:tabs>
                <w:tab w:val="left" w:pos="360"/>
              </w:tabs>
              <w:jc w:val="center"/>
            </w:pPr>
            <w:r>
              <w:t>62</w:t>
            </w:r>
          </w:p>
        </w:tc>
      </w:tr>
      <w:tr w:rsidR="0031173A" w14:paraId="1A44189C" w14:textId="77777777" w:rsidTr="001A550A">
        <w:tc>
          <w:tcPr>
            <w:tcW w:w="1024" w:type="dxa"/>
            <w:gridSpan w:val="2"/>
            <w:shd w:val="clear" w:color="auto" w:fill="auto"/>
          </w:tcPr>
          <w:p w14:paraId="3BE1E0AC" w14:textId="77777777" w:rsidR="0031173A" w:rsidRDefault="0031173A" w:rsidP="001A550A">
            <w:pPr>
              <w:pStyle w:val="StandaardSV"/>
              <w:tabs>
                <w:tab w:val="left" w:pos="360"/>
              </w:tabs>
              <w:jc w:val="center"/>
            </w:pPr>
            <w:r>
              <w:t>2</w:t>
            </w:r>
          </w:p>
        </w:tc>
        <w:tc>
          <w:tcPr>
            <w:tcW w:w="992" w:type="dxa"/>
          </w:tcPr>
          <w:p w14:paraId="63750C89" w14:textId="77777777" w:rsidR="0031173A" w:rsidRDefault="0031173A" w:rsidP="001A550A">
            <w:pPr>
              <w:pStyle w:val="StandaardSV"/>
              <w:tabs>
                <w:tab w:val="left" w:pos="360"/>
              </w:tabs>
              <w:jc w:val="center"/>
            </w:pPr>
            <w:r>
              <w:t>8</w:t>
            </w:r>
          </w:p>
        </w:tc>
        <w:tc>
          <w:tcPr>
            <w:tcW w:w="1993" w:type="dxa"/>
            <w:shd w:val="clear" w:color="auto" w:fill="auto"/>
          </w:tcPr>
          <w:p w14:paraId="1C6ECCBF" w14:textId="77777777" w:rsidR="0031173A" w:rsidRDefault="0031173A" w:rsidP="001A550A">
            <w:pPr>
              <w:pStyle w:val="StandaardSV"/>
              <w:tabs>
                <w:tab w:val="left" w:pos="360"/>
              </w:tabs>
              <w:jc w:val="center"/>
            </w:pPr>
            <w:r>
              <w:t>979</w:t>
            </w:r>
          </w:p>
        </w:tc>
        <w:tc>
          <w:tcPr>
            <w:tcW w:w="2622" w:type="dxa"/>
          </w:tcPr>
          <w:p w14:paraId="61B18138" w14:textId="77777777" w:rsidR="0031173A" w:rsidRDefault="0031173A" w:rsidP="001A550A">
            <w:pPr>
              <w:pStyle w:val="StandaardSV"/>
              <w:tabs>
                <w:tab w:val="left" w:pos="360"/>
              </w:tabs>
              <w:jc w:val="center"/>
            </w:pPr>
            <w:r>
              <w:t>161</w:t>
            </w:r>
          </w:p>
        </w:tc>
        <w:tc>
          <w:tcPr>
            <w:tcW w:w="2298" w:type="dxa"/>
          </w:tcPr>
          <w:p w14:paraId="71B72645" w14:textId="77777777" w:rsidR="0031173A" w:rsidRDefault="0031173A" w:rsidP="001A550A">
            <w:pPr>
              <w:pStyle w:val="StandaardSV"/>
              <w:tabs>
                <w:tab w:val="left" w:pos="360"/>
              </w:tabs>
              <w:jc w:val="center"/>
            </w:pPr>
            <w:r>
              <w:t>25</w:t>
            </w:r>
          </w:p>
        </w:tc>
      </w:tr>
      <w:tr w:rsidR="0031173A" w14:paraId="43B567B2" w14:textId="77777777" w:rsidTr="001A550A">
        <w:tc>
          <w:tcPr>
            <w:tcW w:w="1024" w:type="dxa"/>
            <w:gridSpan w:val="2"/>
            <w:shd w:val="clear" w:color="auto" w:fill="auto"/>
          </w:tcPr>
          <w:p w14:paraId="4170CFBF" w14:textId="77777777" w:rsidR="0031173A" w:rsidRDefault="0031173A" w:rsidP="001A550A">
            <w:pPr>
              <w:pStyle w:val="StandaardSV"/>
              <w:tabs>
                <w:tab w:val="left" w:pos="360"/>
              </w:tabs>
              <w:jc w:val="center"/>
            </w:pPr>
            <w:r>
              <w:t>3</w:t>
            </w:r>
          </w:p>
        </w:tc>
        <w:tc>
          <w:tcPr>
            <w:tcW w:w="992" w:type="dxa"/>
          </w:tcPr>
          <w:p w14:paraId="1FDE9945" w14:textId="77777777" w:rsidR="0031173A" w:rsidRDefault="0031173A" w:rsidP="001A550A">
            <w:pPr>
              <w:pStyle w:val="StandaardSV"/>
              <w:tabs>
                <w:tab w:val="left" w:pos="360"/>
              </w:tabs>
              <w:jc w:val="center"/>
            </w:pPr>
            <w:r>
              <w:t>9</w:t>
            </w:r>
          </w:p>
        </w:tc>
        <w:tc>
          <w:tcPr>
            <w:tcW w:w="1993" w:type="dxa"/>
            <w:shd w:val="clear" w:color="auto" w:fill="auto"/>
          </w:tcPr>
          <w:p w14:paraId="39AABF76" w14:textId="77777777" w:rsidR="0031173A" w:rsidRDefault="0031173A" w:rsidP="001A550A">
            <w:pPr>
              <w:pStyle w:val="StandaardSV"/>
              <w:tabs>
                <w:tab w:val="left" w:pos="360"/>
              </w:tabs>
              <w:jc w:val="center"/>
            </w:pPr>
            <w:r>
              <w:t>968</w:t>
            </w:r>
          </w:p>
        </w:tc>
        <w:tc>
          <w:tcPr>
            <w:tcW w:w="2622" w:type="dxa"/>
          </w:tcPr>
          <w:p w14:paraId="667FF213" w14:textId="77777777" w:rsidR="0031173A" w:rsidRDefault="0031173A" w:rsidP="001A550A">
            <w:pPr>
              <w:pStyle w:val="StandaardSV"/>
              <w:tabs>
                <w:tab w:val="left" w:pos="360"/>
              </w:tabs>
              <w:jc w:val="center"/>
            </w:pPr>
            <w:r>
              <w:t>153</w:t>
            </w:r>
          </w:p>
        </w:tc>
        <w:tc>
          <w:tcPr>
            <w:tcW w:w="2298" w:type="dxa"/>
          </w:tcPr>
          <w:p w14:paraId="5576A56F" w14:textId="77777777" w:rsidR="0031173A" w:rsidRDefault="0031173A" w:rsidP="001A550A">
            <w:pPr>
              <w:pStyle w:val="StandaardSV"/>
              <w:tabs>
                <w:tab w:val="left" w:pos="360"/>
              </w:tabs>
              <w:jc w:val="center"/>
            </w:pPr>
            <w:r>
              <w:t>38</w:t>
            </w:r>
          </w:p>
        </w:tc>
      </w:tr>
      <w:tr w:rsidR="0031173A" w14:paraId="47240612" w14:textId="77777777" w:rsidTr="001A550A">
        <w:tc>
          <w:tcPr>
            <w:tcW w:w="1024" w:type="dxa"/>
            <w:gridSpan w:val="2"/>
            <w:shd w:val="clear" w:color="auto" w:fill="auto"/>
          </w:tcPr>
          <w:p w14:paraId="2157DF5F" w14:textId="77777777" w:rsidR="0031173A" w:rsidRDefault="0031173A" w:rsidP="001A550A">
            <w:pPr>
              <w:pStyle w:val="StandaardSV"/>
              <w:tabs>
                <w:tab w:val="left" w:pos="360"/>
              </w:tabs>
              <w:jc w:val="center"/>
            </w:pPr>
            <w:r>
              <w:t>4</w:t>
            </w:r>
          </w:p>
        </w:tc>
        <w:tc>
          <w:tcPr>
            <w:tcW w:w="992" w:type="dxa"/>
          </w:tcPr>
          <w:p w14:paraId="432112D5" w14:textId="77777777" w:rsidR="0031173A" w:rsidRDefault="0031173A" w:rsidP="001A550A">
            <w:pPr>
              <w:pStyle w:val="StandaardSV"/>
              <w:tabs>
                <w:tab w:val="left" w:pos="360"/>
              </w:tabs>
              <w:jc w:val="center"/>
            </w:pPr>
            <w:r>
              <w:t>10</w:t>
            </w:r>
          </w:p>
        </w:tc>
        <w:tc>
          <w:tcPr>
            <w:tcW w:w="1993" w:type="dxa"/>
            <w:shd w:val="clear" w:color="auto" w:fill="auto"/>
          </w:tcPr>
          <w:p w14:paraId="66DC4E9E" w14:textId="77777777" w:rsidR="0031173A" w:rsidRDefault="0031173A" w:rsidP="001A550A">
            <w:pPr>
              <w:pStyle w:val="StandaardSV"/>
              <w:tabs>
                <w:tab w:val="left" w:pos="360"/>
              </w:tabs>
              <w:jc w:val="center"/>
            </w:pPr>
            <w:r>
              <w:t>928</w:t>
            </w:r>
          </w:p>
        </w:tc>
        <w:tc>
          <w:tcPr>
            <w:tcW w:w="2622" w:type="dxa"/>
          </w:tcPr>
          <w:p w14:paraId="2CC0EA0D" w14:textId="77777777" w:rsidR="0031173A" w:rsidRDefault="0031173A" w:rsidP="001A550A">
            <w:pPr>
              <w:pStyle w:val="StandaardSV"/>
              <w:tabs>
                <w:tab w:val="left" w:pos="360"/>
              </w:tabs>
              <w:jc w:val="center"/>
            </w:pPr>
            <w:r>
              <w:t>145</w:t>
            </w:r>
          </w:p>
        </w:tc>
        <w:tc>
          <w:tcPr>
            <w:tcW w:w="2298" w:type="dxa"/>
          </w:tcPr>
          <w:p w14:paraId="7FDFC8B7" w14:textId="77777777" w:rsidR="0031173A" w:rsidRDefault="0031173A" w:rsidP="001A550A">
            <w:pPr>
              <w:pStyle w:val="StandaardSV"/>
              <w:tabs>
                <w:tab w:val="left" w:pos="360"/>
              </w:tabs>
              <w:jc w:val="center"/>
            </w:pPr>
            <w:r>
              <w:t>23</w:t>
            </w:r>
          </w:p>
        </w:tc>
      </w:tr>
      <w:tr w:rsidR="0031173A" w14:paraId="6143DF38" w14:textId="77777777" w:rsidTr="001A550A">
        <w:tc>
          <w:tcPr>
            <w:tcW w:w="1024" w:type="dxa"/>
            <w:gridSpan w:val="2"/>
            <w:shd w:val="clear" w:color="auto" w:fill="auto"/>
          </w:tcPr>
          <w:p w14:paraId="4C09C877" w14:textId="77777777" w:rsidR="0031173A" w:rsidRDefault="0031173A" w:rsidP="001A550A">
            <w:pPr>
              <w:pStyle w:val="StandaardSV"/>
              <w:tabs>
                <w:tab w:val="left" w:pos="360"/>
              </w:tabs>
              <w:jc w:val="center"/>
            </w:pPr>
            <w:r>
              <w:t>5</w:t>
            </w:r>
          </w:p>
        </w:tc>
        <w:tc>
          <w:tcPr>
            <w:tcW w:w="992" w:type="dxa"/>
          </w:tcPr>
          <w:p w14:paraId="2E5C5499" w14:textId="77777777" w:rsidR="0031173A" w:rsidRDefault="0031173A" w:rsidP="001A550A">
            <w:pPr>
              <w:pStyle w:val="StandaardSV"/>
              <w:tabs>
                <w:tab w:val="left" w:pos="360"/>
              </w:tabs>
              <w:jc w:val="center"/>
            </w:pPr>
            <w:r>
              <w:t>11</w:t>
            </w:r>
          </w:p>
        </w:tc>
        <w:tc>
          <w:tcPr>
            <w:tcW w:w="1993" w:type="dxa"/>
            <w:shd w:val="clear" w:color="auto" w:fill="auto"/>
          </w:tcPr>
          <w:p w14:paraId="2726437B" w14:textId="77777777" w:rsidR="0031173A" w:rsidRDefault="0031173A" w:rsidP="001A550A">
            <w:pPr>
              <w:pStyle w:val="StandaardSV"/>
              <w:tabs>
                <w:tab w:val="left" w:pos="360"/>
              </w:tabs>
              <w:jc w:val="center"/>
            </w:pPr>
            <w:r>
              <w:t>960</w:t>
            </w:r>
          </w:p>
        </w:tc>
        <w:tc>
          <w:tcPr>
            <w:tcW w:w="2622" w:type="dxa"/>
          </w:tcPr>
          <w:p w14:paraId="01F78D9E" w14:textId="77777777" w:rsidR="0031173A" w:rsidRDefault="0031173A" w:rsidP="001A550A">
            <w:pPr>
              <w:pStyle w:val="StandaardSV"/>
              <w:tabs>
                <w:tab w:val="left" w:pos="360"/>
              </w:tabs>
              <w:jc w:val="center"/>
            </w:pPr>
            <w:r>
              <w:t>147</w:t>
            </w:r>
          </w:p>
        </w:tc>
        <w:tc>
          <w:tcPr>
            <w:tcW w:w="2298" w:type="dxa"/>
          </w:tcPr>
          <w:p w14:paraId="1100A843" w14:textId="77777777" w:rsidR="0031173A" w:rsidRDefault="0031173A" w:rsidP="001A550A">
            <w:pPr>
              <w:pStyle w:val="StandaardSV"/>
              <w:tabs>
                <w:tab w:val="left" w:pos="360"/>
              </w:tabs>
              <w:jc w:val="center"/>
            </w:pPr>
            <w:r>
              <w:t>27</w:t>
            </w:r>
          </w:p>
        </w:tc>
      </w:tr>
      <w:tr w:rsidR="0031173A" w14:paraId="3969AE13" w14:textId="77777777" w:rsidTr="001A550A">
        <w:tc>
          <w:tcPr>
            <w:tcW w:w="1024" w:type="dxa"/>
            <w:gridSpan w:val="2"/>
            <w:shd w:val="clear" w:color="auto" w:fill="auto"/>
          </w:tcPr>
          <w:p w14:paraId="03D73FC3" w14:textId="77777777" w:rsidR="0031173A" w:rsidRDefault="0031173A" w:rsidP="001A550A">
            <w:pPr>
              <w:pStyle w:val="StandaardSV"/>
              <w:tabs>
                <w:tab w:val="left" w:pos="360"/>
              </w:tabs>
              <w:jc w:val="center"/>
            </w:pPr>
            <w:r>
              <w:t>6</w:t>
            </w:r>
          </w:p>
        </w:tc>
        <w:tc>
          <w:tcPr>
            <w:tcW w:w="992" w:type="dxa"/>
          </w:tcPr>
          <w:p w14:paraId="73B5DC33" w14:textId="77777777" w:rsidR="0031173A" w:rsidRDefault="0031173A" w:rsidP="001A550A">
            <w:pPr>
              <w:pStyle w:val="StandaardSV"/>
              <w:tabs>
                <w:tab w:val="left" w:pos="360"/>
              </w:tabs>
              <w:jc w:val="center"/>
            </w:pPr>
            <w:r>
              <w:t>12</w:t>
            </w:r>
          </w:p>
        </w:tc>
        <w:tc>
          <w:tcPr>
            <w:tcW w:w="1993" w:type="dxa"/>
            <w:shd w:val="clear" w:color="auto" w:fill="auto"/>
          </w:tcPr>
          <w:p w14:paraId="22CD91DB" w14:textId="77777777" w:rsidR="0031173A" w:rsidRDefault="0031173A" w:rsidP="001A550A">
            <w:pPr>
              <w:pStyle w:val="StandaardSV"/>
              <w:tabs>
                <w:tab w:val="left" w:pos="360"/>
              </w:tabs>
              <w:jc w:val="center"/>
            </w:pPr>
            <w:r>
              <w:t>930</w:t>
            </w:r>
          </w:p>
        </w:tc>
        <w:tc>
          <w:tcPr>
            <w:tcW w:w="2622" w:type="dxa"/>
          </w:tcPr>
          <w:p w14:paraId="436145D1" w14:textId="77777777" w:rsidR="0031173A" w:rsidRDefault="0031173A" w:rsidP="001A550A">
            <w:pPr>
              <w:pStyle w:val="StandaardSV"/>
              <w:tabs>
                <w:tab w:val="left" w:pos="360"/>
              </w:tabs>
              <w:jc w:val="center"/>
            </w:pPr>
            <w:r>
              <w:t>156</w:t>
            </w:r>
          </w:p>
        </w:tc>
        <w:tc>
          <w:tcPr>
            <w:tcW w:w="2298" w:type="dxa"/>
          </w:tcPr>
          <w:p w14:paraId="05C032CE" w14:textId="77777777" w:rsidR="0031173A" w:rsidRDefault="0031173A" w:rsidP="001A550A">
            <w:pPr>
              <w:pStyle w:val="StandaardSV"/>
              <w:tabs>
                <w:tab w:val="left" w:pos="360"/>
              </w:tabs>
              <w:jc w:val="center"/>
            </w:pPr>
            <w:r>
              <w:t>29</w:t>
            </w:r>
          </w:p>
        </w:tc>
      </w:tr>
    </w:tbl>
    <w:p w14:paraId="2775CFC8" w14:textId="77777777" w:rsidR="0031173A" w:rsidRDefault="0031173A" w:rsidP="00265121">
      <w:pPr>
        <w:pStyle w:val="StandaardSV"/>
        <w:tabs>
          <w:tab w:val="left" w:pos="284"/>
        </w:tabs>
        <w:ind w:left="709" w:right="567" w:hanging="345"/>
      </w:pPr>
    </w:p>
    <w:p w14:paraId="7E8077CF" w14:textId="2E8FDB22" w:rsidR="0031173A" w:rsidRDefault="008B4ED4" w:rsidP="0031173A">
      <w:pPr>
        <w:pStyle w:val="Lijstalinea"/>
        <w:ind w:left="397" w:right="567"/>
        <w:jc w:val="both"/>
        <w:rPr>
          <w:sz w:val="22"/>
          <w:szCs w:val="22"/>
        </w:rPr>
      </w:pPr>
      <w:r w:rsidRPr="00265121">
        <w:rPr>
          <w:sz w:val="22"/>
          <w:szCs w:val="22"/>
        </w:rPr>
        <w:tab/>
      </w:r>
      <w:r w:rsidR="0031173A" w:rsidRPr="00265121">
        <w:rPr>
          <w:sz w:val="22"/>
          <w:szCs w:val="22"/>
        </w:rPr>
        <w:t>* bereik : bezig met een traject</w:t>
      </w:r>
      <w:r w:rsidR="00BB3CD3">
        <w:rPr>
          <w:sz w:val="22"/>
          <w:szCs w:val="22"/>
        </w:rPr>
        <w:t xml:space="preserve"> (zoals omschreven in</w:t>
      </w:r>
      <w:r w:rsidR="0031173A">
        <w:rPr>
          <w:sz w:val="22"/>
          <w:szCs w:val="22"/>
        </w:rPr>
        <w:t xml:space="preserve"> vraag </w:t>
      </w:r>
      <w:r w:rsidR="00BB3CD3">
        <w:rPr>
          <w:sz w:val="22"/>
          <w:szCs w:val="22"/>
        </w:rPr>
        <w:t>2 e</w:t>
      </w:r>
      <w:r w:rsidR="0031173A" w:rsidRPr="00265121">
        <w:rPr>
          <w:sz w:val="22"/>
          <w:szCs w:val="22"/>
        </w:rPr>
        <w:t>)</w:t>
      </w:r>
    </w:p>
    <w:p w14:paraId="7B0435E7" w14:textId="77777777" w:rsidR="0031173A" w:rsidRDefault="0031173A" w:rsidP="00265121">
      <w:pPr>
        <w:pStyle w:val="Lijstalinea"/>
        <w:ind w:left="397" w:right="567"/>
        <w:jc w:val="both"/>
        <w:rPr>
          <w:sz w:val="22"/>
          <w:szCs w:val="22"/>
        </w:rPr>
      </w:pPr>
    </w:p>
    <w:p w14:paraId="4920DB5B" w14:textId="77777777" w:rsidR="0031173A" w:rsidRDefault="0031173A" w:rsidP="00265121">
      <w:pPr>
        <w:pStyle w:val="Lijstalinea"/>
        <w:ind w:left="397" w:right="567"/>
        <w:jc w:val="both"/>
        <w:rPr>
          <w:sz w:val="22"/>
          <w:szCs w:val="22"/>
        </w:rPr>
      </w:pPr>
    </w:p>
    <w:p w14:paraId="44FDCE82" w14:textId="6B94DE4B" w:rsidR="008B4ED4" w:rsidRDefault="008B4ED4" w:rsidP="00265121">
      <w:pPr>
        <w:pStyle w:val="Lijstalinea"/>
        <w:ind w:left="397" w:right="567"/>
        <w:jc w:val="both"/>
        <w:rPr>
          <w:sz w:val="22"/>
          <w:szCs w:val="22"/>
        </w:rPr>
      </w:pPr>
      <w:r w:rsidRPr="00265121">
        <w:rPr>
          <w:sz w:val="22"/>
          <w:szCs w:val="22"/>
        </w:rPr>
        <w:t>Voor de overige maanden van 2012 kan dit nog niet worden gemeten.</w:t>
      </w:r>
    </w:p>
    <w:p w14:paraId="74515A0D" w14:textId="77777777" w:rsidR="00265121" w:rsidRPr="00265121" w:rsidRDefault="00265121" w:rsidP="00265121">
      <w:pPr>
        <w:pStyle w:val="Lijstalinea"/>
        <w:ind w:left="397" w:right="567"/>
        <w:jc w:val="both"/>
        <w:rPr>
          <w:sz w:val="22"/>
          <w:szCs w:val="22"/>
        </w:rPr>
      </w:pPr>
    </w:p>
    <w:p w14:paraId="5FD67247" w14:textId="77777777" w:rsidR="00BB3CD3" w:rsidRDefault="008B4ED4" w:rsidP="00B85EEB">
      <w:pPr>
        <w:pStyle w:val="Lijstalinea"/>
        <w:numPr>
          <w:ilvl w:val="0"/>
          <w:numId w:val="10"/>
        </w:numPr>
        <w:tabs>
          <w:tab w:val="clear" w:pos="720"/>
          <w:tab w:val="num" w:pos="397"/>
        </w:tabs>
        <w:ind w:left="397" w:right="567" w:hanging="397"/>
        <w:jc w:val="both"/>
        <w:rPr>
          <w:sz w:val="22"/>
          <w:szCs w:val="22"/>
        </w:rPr>
      </w:pPr>
      <w:r w:rsidRPr="0031173A">
        <w:rPr>
          <w:sz w:val="22"/>
          <w:szCs w:val="22"/>
        </w:rPr>
        <w:t xml:space="preserve">Unieke personen. </w:t>
      </w:r>
    </w:p>
    <w:p w14:paraId="6FF8AC57" w14:textId="77777777" w:rsidR="00265121" w:rsidRPr="0031173A" w:rsidRDefault="00265121">
      <w:pPr>
        <w:pStyle w:val="Lijstalinea"/>
        <w:ind w:left="397" w:right="567"/>
        <w:jc w:val="both"/>
        <w:rPr>
          <w:sz w:val="22"/>
          <w:szCs w:val="22"/>
        </w:rPr>
      </w:pPr>
    </w:p>
    <w:p w14:paraId="54B5D78B" w14:textId="764F9B9D" w:rsidR="008B4ED4" w:rsidRDefault="008B4ED4" w:rsidP="00265121">
      <w:pPr>
        <w:pStyle w:val="Lijstalinea"/>
        <w:numPr>
          <w:ilvl w:val="0"/>
          <w:numId w:val="10"/>
        </w:numPr>
        <w:tabs>
          <w:tab w:val="clear" w:pos="720"/>
          <w:tab w:val="num" w:pos="397"/>
        </w:tabs>
        <w:ind w:left="397" w:right="567" w:hanging="397"/>
        <w:jc w:val="both"/>
        <w:rPr>
          <w:sz w:val="22"/>
          <w:szCs w:val="22"/>
        </w:rPr>
      </w:pPr>
      <w:r w:rsidRPr="00265121">
        <w:rPr>
          <w:sz w:val="22"/>
          <w:szCs w:val="22"/>
        </w:rPr>
        <w:t>Van de groep werkzoekenden met de leeftijd 50 tot 55 jaar, die in 2012 zijn ingestroomd werden er door de VDAB 27,30 % bereikt</w:t>
      </w:r>
      <w:r w:rsidR="009839D7">
        <w:rPr>
          <w:sz w:val="22"/>
          <w:szCs w:val="22"/>
        </w:rPr>
        <w:t xml:space="preserve"> met een traject</w:t>
      </w:r>
      <w:r w:rsidRPr="00265121">
        <w:rPr>
          <w:sz w:val="22"/>
          <w:szCs w:val="22"/>
        </w:rPr>
        <w:t>. Van de groep werkzoekenden met de leeftijd 56 en 57 jaar, die in 2012 zijn ingestroomd werden er door de VDAB 14,32 % bereikt</w:t>
      </w:r>
      <w:r w:rsidR="008C5B44">
        <w:rPr>
          <w:sz w:val="22"/>
          <w:szCs w:val="22"/>
        </w:rPr>
        <w:t xml:space="preserve"> met een traject</w:t>
      </w:r>
      <w:r w:rsidRPr="00265121">
        <w:rPr>
          <w:sz w:val="22"/>
          <w:szCs w:val="22"/>
        </w:rPr>
        <w:t xml:space="preserve"> in de betekenis die er hierboven wordt aangegeven. Hierbij moet worden opgemerkt de groep 56 en 57 jarigen pas vanaf september 2012</w:t>
      </w:r>
      <w:r w:rsidR="009839D7">
        <w:rPr>
          <w:sz w:val="22"/>
          <w:szCs w:val="22"/>
        </w:rPr>
        <w:t xml:space="preserve"> (</w:t>
      </w:r>
      <w:proofErr w:type="spellStart"/>
      <w:r w:rsidR="009839D7">
        <w:rPr>
          <w:sz w:val="22"/>
          <w:szCs w:val="22"/>
        </w:rPr>
        <w:t>labelling</w:t>
      </w:r>
      <w:proofErr w:type="spellEnd"/>
      <w:r w:rsidR="009839D7">
        <w:rPr>
          <w:sz w:val="22"/>
          <w:szCs w:val="22"/>
        </w:rPr>
        <w:t xml:space="preserve"> vanaf juni 2012)</w:t>
      </w:r>
      <w:r w:rsidRPr="00265121">
        <w:rPr>
          <w:sz w:val="22"/>
          <w:szCs w:val="22"/>
        </w:rPr>
        <w:t xml:space="preserve"> werd opgenomen in het sluitend maatpak en dat het dus nog veel te vroeg is om het resultaat hiervan te beoordelen.</w:t>
      </w:r>
    </w:p>
    <w:p w14:paraId="1273D91C" w14:textId="2FFF3789" w:rsidR="00BB3CD3" w:rsidRPr="00BB3CD3" w:rsidRDefault="00BB3CD3" w:rsidP="00B85EEB">
      <w:pPr>
        <w:pStyle w:val="Lijstalinea"/>
        <w:ind w:left="397" w:right="567"/>
        <w:jc w:val="both"/>
        <w:rPr>
          <w:sz w:val="22"/>
          <w:szCs w:val="22"/>
        </w:rPr>
      </w:pPr>
      <w:r w:rsidRPr="009839D7">
        <w:rPr>
          <w:sz w:val="22"/>
          <w:szCs w:val="22"/>
        </w:rPr>
        <w:t>“Bereik” heeft in ieder onderdeel dezelfde betekenis, nl bezig met een traject. In 2e wordt meer uitleg gegeven over wat er in dat traject kan zitten.</w:t>
      </w:r>
    </w:p>
    <w:p w14:paraId="31F87CF8" w14:textId="77777777" w:rsidR="00265121" w:rsidRPr="00265121" w:rsidRDefault="00265121" w:rsidP="00265121">
      <w:pPr>
        <w:ind w:right="567"/>
        <w:jc w:val="both"/>
        <w:rPr>
          <w:sz w:val="22"/>
          <w:szCs w:val="22"/>
        </w:rPr>
      </w:pPr>
    </w:p>
    <w:p w14:paraId="5F1ACC68" w14:textId="77777777" w:rsidR="008B4ED4" w:rsidRPr="00265121" w:rsidRDefault="008B4ED4" w:rsidP="00265121">
      <w:pPr>
        <w:pStyle w:val="Lijstalinea"/>
        <w:numPr>
          <w:ilvl w:val="0"/>
          <w:numId w:val="10"/>
        </w:numPr>
        <w:tabs>
          <w:tab w:val="clear" w:pos="720"/>
          <w:tab w:val="num" w:pos="397"/>
        </w:tabs>
        <w:ind w:left="397" w:right="567" w:hanging="397"/>
        <w:jc w:val="both"/>
        <w:rPr>
          <w:sz w:val="22"/>
          <w:szCs w:val="22"/>
        </w:rPr>
      </w:pPr>
      <w:r w:rsidRPr="00265121">
        <w:rPr>
          <w:sz w:val="22"/>
          <w:szCs w:val="22"/>
        </w:rPr>
        <w:lastRenderedPageBreak/>
        <w:t>De impact van de uitbreiding tot en met 57 jaar is eerder beperkt vermits de VDAB al een systematische aanpak had tot en met 55 jaar. De uitbreiding werd opgevangen met de bestaande mensen en middelen.</w:t>
      </w:r>
    </w:p>
    <w:p w14:paraId="012E8E3D" w14:textId="77777777" w:rsidR="00342E5D" w:rsidRPr="005628FF" w:rsidRDefault="00342E5D" w:rsidP="0068216A">
      <w:pPr>
        <w:rPr>
          <w:sz w:val="22"/>
          <w:szCs w:val="22"/>
        </w:rPr>
      </w:pPr>
    </w:p>
    <w:sectPr w:rsidR="00342E5D" w:rsidRPr="005628FF"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9A2AED02"/>
    <w:lvl w:ilvl="0" w:tplc="0413000F">
      <w:start w:val="1"/>
      <w:numFmt w:val="decimal"/>
      <w:lvlText w:val="%1."/>
      <w:lvlJc w:val="left"/>
      <w:pPr>
        <w:tabs>
          <w:tab w:val="num" w:pos="720"/>
        </w:tabs>
        <w:ind w:left="720" w:hanging="360"/>
      </w:pPr>
    </w:lvl>
    <w:lvl w:ilvl="1" w:tplc="008ECA50">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608F26E9"/>
    <w:multiLevelType w:val="hybridMultilevel"/>
    <w:tmpl w:val="46349A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11E3"/>
    <w:rsid w:val="00132BD7"/>
    <w:rsid w:val="001418EC"/>
    <w:rsid w:val="00165725"/>
    <w:rsid w:val="001A5B8A"/>
    <w:rsid w:val="002173F0"/>
    <w:rsid w:val="002241CF"/>
    <w:rsid w:val="00232BC7"/>
    <w:rsid w:val="00265121"/>
    <w:rsid w:val="002775A9"/>
    <w:rsid w:val="00291A76"/>
    <w:rsid w:val="002C779D"/>
    <w:rsid w:val="0031173A"/>
    <w:rsid w:val="00321752"/>
    <w:rsid w:val="00342E5D"/>
    <w:rsid w:val="00410225"/>
    <w:rsid w:val="00415488"/>
    <w:rsid w:val="00462E13"/>
    <w:rsid w:val="00463D2B"/>
    <w:rsid w:val="00467A4C"/>
    <w:rsid w:val="00482870"/>
    <w:rsid w:val="00484404"/>
    <w:rsid w:val="00492D21"/>
    <w:rsid w:val="00496B5B"/>
    <w:rsid w:val="004B1659"/>
    <w:rsid w:val="00503947"/>
    <w:rsid w:val="005628FF"/>
    <w:rsid w:val="00572E3E"/>
    <w:rsid w:val="005F2C80"/>
    <w:rsid w:val="0064100C"/>
    <w:rsid w:val="00656FB5"/>
    <w:rsid w:val="006632DE"/>
    <w:rsid w:val="0068216A"/>
    <w:rsid w:val="006918D8"/>
    <w:rsid w:val="00696243"/>
    <w:rsid w:val="006A4CA8"/>
    <w:rsid w:val="006A7657"/>
    <w:rsid w:val="006B7FCC"/>
    <w:rsid w:val="006D3CE8"/>
    <w:rsid w:val="006D4450"/>
    <w:rsid w:val="006F477D"/>
    <w:rsid w:val="00707498"/>
    <w:rsid w:val="00710414"/>
    <w:rsid w:val="00734FDE"/>
    <w:rsid w:val="00753CC6"/>
    <w:rsid w:val="007613B5"/>
    <w:rsid w:val="007E1189"/>
    <w:rsid w:val="008002E2"/>
    <w:rsid w:val="00862C0F"/>
    <w:rsid w:val="008711CB"/>
    <w:rsid w:val="008906D6"/>
    <w:rsid w:val="008B4ED4"/>
    <w:rsid w:val="008C5B44"/>
    <w:rsid w:val="008E60A9"/>
    <w:rsid w:val="008F18E6"/>
    <w:rsid w:val="009373D7"/>
    <w:rsid w:val="009839D7"/>
    <w:rsid w:val="009A3970"/>
    <w:rsid w:val="009C0FF4"/>
    <w:rsid w:val="009D7514"/>
    <w:rsid w:val="00A27757"/>
    <w:rsid w:val="00A75778"/>
    <w:rsid w:val="00A76C9C"/>
    <w:rsid w:val="00AA4E03"/>
    <w:rsid w:val="00AB563F"/>
    <w:rsid w:val="00B27878"/>
    <w:rsid w:val="00B33C6C"/>
    <w:rsid w:val="00B373A0"/>
    <w:rsid w:val="00B85EEB"/>
    <w:rsid w:val="00B97686"/>
    <w:rsid w:val="00BB3CD3"/>
    <w:rsid w:val="00BE4E09"/>
    <w:rsid w:val="00CB3A85"/>
    <w:rsid w:val="00CF31D7"/>
    <w:rsid w:val="00D0429D"/>
    <w:rsid w:val="00D06542"/>
    <w:rsid w:val="00D15FE9"/>
    <w:rsid w:val="00D169B0"/>
    <w:rsid w:val="00D6129C"/>
    <w:rsid w:val="00DF0323"/>
    <w:rsid w:val="00DF0EAA"/>
    <w:rsid w:val="00E13E2E"/>
    <w:rsid w:val="00E37C52"/>
    <w:rsid w:val="00E7231E"/>
    <w:rsid w:val="00EB1EE1"/>
    <w:rsid w:val="00EC7346"/>
    <w:rsid w:val="00ED0183"/>
    <w:rsid w:val="00ED21B6"/>
    <w:rsid w:val="00EE0092"/>
    <w:rsid w:val="00F6262A"/>
    <w:rsid w:val="00F8278F"/>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862C0F"/>
    <w:pPr>
      <w:ind w:left="720"/>
      <w:contextualSpacing/>
    </w:pPr>
  </w:style>
  <w:style w:type="character" w:styleId="Verwijzingopmerking">
    <w:name w:val="annotation reference"/>
    <w:basedOn w:val="Standaardalinea-lettertype"/>
    <w:rsid w:val="00B85EEB"/>
    <w:rPr>
      <w:sz w:val="16"/>
      <w:szCs w:val="16"/>
    </w:rPr>
  </w:style>
  <w:style w:type="paragraph" w:styleId="Tekstopmerking">
    <w:name w:val="annotation text"/>
    <w:basedOn w:val="Standaard"/>
    <w:link w:val="TekstopmerkingChar"/>
    <w:rsid w:val="00B85EEB"/>
    <w:rPr>
      <w:sz w:val="20"/>
      <w:szCs w:val="20"/>
    </w:rPr>
  </w:style>
  <w:style w:type="character" w:customStyle="1" w:styleId="TekstopmerkingChar">
    <w:name w:val="Tekst opmerking Char"/>
    <w:basedOn w:val="Standaardalinea-lettertype"/>
    <w:link w:val="Tekstopmerking"/>
    <w:rsid w:val="00B85EEB"/>
    <w:rPr>
      <w:lang w:val="nl-NL" w:eastAsia="nl-NL"/>
    </w:rPr>
  </w:style>
  <w:style w:type="paragraph" w:styleId="Onderwerpvanopmerking">
    <w:name w:val="annotation subject"/>
    <w:basedOn w:val="Tekstopmerking"/>
    <w:next w:val="Tekstopmerking"/>
    <w:link w:val="OnderwerpvanopmerkingChar"/>
    <w:rsid w:val="00B85EEB"/>
    <w:rPr>
      <w:b/>
      <w:bCs/>
    </w:rPr>
  </w:style>
  <w:style w:type="character" w:customStyle="1" w:styleId="OnderwerpvanopmerkingChar">
    <w:name w:val="Onderwerp van opmerking Char"/>
    <w:basedOn w:val="TekstopmerkingChar"/>
    <w:link w:val="Onderwerpvanopmerking"/>
    <w:rsid w:val="00B85EEB"/>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862C0F"/>
    <w:pPr>
      <w:ind w:left="720"/>
      <w:contextualSpacing/>
    </w:pPr>
  </w:style>
  <w:style w:type="character" w:styleId="Verwijzingopmerking">
    <w:name w:val="annotation reference"/>
    <w:basedOn w:val="Standaardalinea-lettertype"/>
    <w:rsid w:val="00B85EEB"/>
    <w:rPr>
      <w:sz w:val="16"/>
      <w:szCs w:val="16"/>
    </w:rPr>
  </w:style>
  <w:style w:type="paragraph" w:styleId="Tekstopmerking">
    <w:name w:val="annotation text"/>
    <w:basedOn w:val="Standaard"/>
    <w:link w:val="TekstopmerkingChar"/>
    <w:rsid w:val="00B85EEB"/>
    <w:rPr>
      <w:sz w:val="20"/>
      <w:szCs w:val="20"/>
    </w:rPr>
  </w:style>
  <w:style w:type="character" w:customStyle="1" w:styleId="TekstopmerkingChar">
    <w:name w:val="Tekst opmerking Char"/>
    <w:basedOn w:val="Standaardalinea-lettertype"/>
    <w:link w:val="Tekstopmerking"/>
    <w:rsid w:val="00B85EEB"/>
    <w:rPr>
      <w:lang w:val="nl-NL" w:eastAsia="nl-NL"/>
    </w:rPr>
  </w:style>
  <w:style w:type="paragraph" w:styleId="Onderwerpvanopmerking">
    <w:name w:val="annotation subject"/>
    <w:basedOn w:val="Tekstopmerking"/>
    <w:next w:val="Tekstopmerking"/>
    <w:link w:val="OnderwerpvanopmerkingChar"/>
    <w:rsid w:val="00B85EEB"/>
    <w:rPr>
      <w:b/>
      <w:bCs/>
    </w:rPr>
  </w:style>
  <w:style w:type="character" w:customStyle="1" w:styleId="OnderwerpvanopmerkingChar">
    <w:name w:val="Onderwerp van opmerking Char"/>
    <w:basedOn w:val="TekstopmerkingChar"/>
    <w:link w:val="Onderwerpvanopmerking"/>
    <w:rsid w:val="00B85EEB"/>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0153659">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045B3"/>
    <w:rsid w:val="00317C8C"/>
    <w:rsid w:val="003D53FC"/>
    <w:rsid w:val="00535D1C"/>
    <w:rsid w:val="005F7776"/>
    <w:rsid w:val="0060158A"/>
    <w:rsid w:val="006A2164"/>
    <w:rsid w:val="00723526"/>
    <w:rsid w:val="00755DDF"/>
    <w:rsid w:val="007A3F77"/>
    <w:rsid w:val="00840383"/>
    <w:rsid w:val="00857F16"/>
    <w:rsid w:val="00896769"/>
    <w:rsid w:val="00955364"/>
    <w:rsid w:val="00A86254"/>
    <w:rsid w:val="00AA51EC"/>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275 Systematische aanpak 50+ - Uitbreiding</Titel_x0020_vraag>
    <Vraagnummer xmlns="7a2e3783-fe9a-4a2f-bbf4-debb4ac58a5c">275</Vraagnummer>
    <DatumVraag xmlns="7a2e3783-fe9a-4a2f-bbf4-debb4ac58a5c">2013-01-15T23:00:00+00:00</DatumVraag>
    <DocumentSetDescription xmlns="http://schemas.microsoft.com/sharepoint/v3" xsi:nil="true"/>
    <Antwoord_x0020_vereist xmlns="7a2e3783-fe9a-4a2f-bbf4-debb4ac58a5c">2013-02-03T23:00:00+00:00</Antwoord_x0020_vereist>
    <la8087f2a9424c2586e7f3a9f367c2ee xmlns="7a2e3783-fe9a-4a2f-bbf4-debb4ac58a5c">
      <Terms xmlns="http://schemas.microsoft.com/office/infopath/2007/PartnerControls"/>
    </la8087f2a9424c2586e7f3a9f367c2ee>
    <Onderwerp_x0020_vraag xmlns="7a2e3783-fe9a-4a2f-bbf4-debb4ac58a5c">Systematische aanpak 50+ - Uitbreiding</Onderwerp_x0020_vraag>
    <TaxCatchAll xmlns="7a2e3783-fe9a-4a2f-bbf4-debb4ac58a5c"/>
    <Antwoordnummer xmlns="7a2e3783-fe9a-4a2f-bbf4-debb4ac58a5c">275</Antwoordnummer>
    <Extra_x0020_Behandelaars xmlns="7a2e3783-fe9a-4a2f-bbf4-debb4ac58a5c">
      <UserInfo>
        <DisplayName>Boey, Raf</DisplayName>
        <AccountId>126</AccountId>
        <AccountType/>
      </UserInfo>
    </Extra_x0020_Behandelaars>
    <Type_x0020_Document xmlns="7a2e3783-fe9a-4a2f-bbf4-debb4ac58a5c">
      <Value>Ontwerp van antwoord</Value>
      <Value>Parlementaire vragen</Value>
    </Type_x0020_Document>
    <Parlementair xmlns="7a2e3783-fe9a-4a2f-bbf4-debb4ac58a5c">koen van den heuvel</Parlementair>
    <Doorloopstatus xmlns="7a2e3783-fe9a-4a2f-bbf4-debb4ac58a5c">In behandeling</Doorloopstatus>
    <Behandelaar xmlns="7a2e3783-fe9a-4a2f-bbf4-debb4ac58a5c">
      <UserInfo>
        <DisplayName>Vandeweyer, Jessie</DisplayName>
        <AccountId>97</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269</DocSetId>
    <Minister xmlns="ec82e040-88e9-4975-bc13-a42fab7bb9ce">1</Minister>
    <PVAfdeling xmlns="7a2e3783-fe9a-4a2f-bbf4-debb4ac58a5c">Beleidsafdeling</PVAfdeling>
    <PVTeam xmlns="7a2e3783-fe9a-4a2f-bbf4-debb4ac58a5c">Diversiteit  &amp; Duurzaam Organisatiebeleid</PVTeam>
    <Historiek xmlns="7a2e3783-fe9a-4a2f-bbf4-debb4ac58a5c">Vraag aangemaakt door ALFA\backelle;18/01/2013 08:31:27;Vandeweyer, Jessie werd als behandelaar aangeduid;18/01/2013 08:58:41;De behandeling werd door Vandeweyer, Jessie geaccepteerd;18/01/2013 11:26:51;Behandeling werd afgerond door Vandeweyer, Jessie;04/02/2013 13:45:31;</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purl.org/dc/dcmitype/"/>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a2e3783-fe9a-4a2f-bbf4-debb4ac58a5c"/>
    <ds:schemaRef ds:uri="http://schemas.microsoft.com/office/infopath/2007/PartnerControls"/>
    <ds:schemaRef ds:uri="http://www.w3.org/XML/1998/namespace"/>
    <ds:schemaRef ds:uri="ec82e040-88e9-4975-bc13-a42fab7bb9ce"/>
    <ds:schemaRef ds:uri="ad923ab5-f988-4e82-b3fb-7226e10f9616"/>
    <ds:schemaRef ds:uri="http://purl.org/dc/term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481CE70E-0D87-4BC7-9C82-6880237C9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2635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Systematische aanpak</vt:lpstr>
      <vt:lpstr/>
    </vt:vector>
  </TitlesOfParts>
  <Company>MVG</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Systematische aanpak</dc:title>
  <dc:creator>Tommy Vanhee</dc:creator>
  <cp:lastModifiedBy>Vlaams Parlement</cp:lastModifiedBy>
  <cp:revision>3</cp:revision>
  <cp:lastPrinted>2013-02-14T13:37:00Z</cp:lastPrinted>
  <dcterms:created xsi:type="dcterms:W3CDTF">2013-02-14T13:38:00Z</dcterms:created>
  <dcterms:modified xsi:type="dcterms:W3CDTF">2013-02-14T14:39:00Z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f693b86c-647f-46f5-9f78-031563b85310</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ies>
</file>