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556C1" w:rsidP="00DC7BC3">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E7610F">
        <w:rPr>
          <w:szCs w:val="22"/>
        </w:rPr>
        <w:t>jo vandeurzen</w:t>
      </w:r>
      <w:r>
        <w:rPr>
          <w:szCs w:val="22"/>
        </w:rPr>
        <w:fldChar w:fldCharType="end"/>
      </w:r>
      <w:bookmarkEnd w:id="0"/>
    </w:p>
    <w:bookmarkStart w:id="1" w:name="Text2"/>
    <w:p w:rsidR="000976E9" w:rsidRPr="00015BF7" w:rsidRDefault="006556C1" w:rsidP="00DC7BC3">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E71622">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DC7BC3">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556C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556C1" w:rsidRPr="00326A58">
        <w:rPr>
          <w:b w:val="0"/>
        </w:rPr>
      </w:r>
      <w:r w:rsidR="006556C1" w:rsidRPr="00326A58">
        <w:rPr>
          <w:b w:val="0"/>
        </w:rPr>
        <w:fldChar w:fldCharType="separate"/>
      </w:r>
      <w:r w:rsidR="00DD10EB">
        <w:rPr>
          <w:b w:val="0"/>
          <w:noProof/>
        </w:rPr>
        <w:t>100</w:t>
      </w:r>
      <w:r w:rsidR="006556C1"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556C1">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556C1">
        <w:rPr>
          <w:b w:val="0"/>
        </w:rPr>
      </w:r>
      <w:r w:rsidR="006556C1">
        <w:rPr>
          <w:b w:val="0"/>
        </w:rPr>
        <w:fldChar w:fldCharType="separate"/>
      </w:r>
      <w:r w:rsidR="00DD10EB">
        <w:rPr>
          <w:b w:val="0"/>
        </w:rPr>
        <w:t>4</w:t>
      </w:r>
      <w:r w:rsidR="006556C1">
        <w:rPr>
          <w:b w:val="0"/>
        </w:rPr>
        <w:fldChar w:fldCharType="end"/>
      </w:r>
      <w:bookmarkEnd w:id="3"/>
      <w:r w:rsidRPr="00326A58">
        <w:rPr>
          <w:b w:val="0"/>
        </w:rPr>
        <w:t xml:space="preserve"> </w:t>
      </w:r>
      <w:bookmarkStart w:id="4" w:name="Dropdown2"/>
      <w:r w:rsidR="006556C1">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556C1">
        <w:rPr>
          <w:b w:val="0"/>
        </w:rPr>
      </w:r>
      <w:r w:rsidR="006556C1">
        <w:rPr>
          <w:b w:val="0"/>
        </w:rPr>
        <w:fldChar w:fldCharType="end"/>
      </w:r>
      <w:bookmarkEnd w:id="4"/>
      <w:r w:rsidRPr="00326A58">
        <w:rPr>
          <w:b w:val="0"/>
        </w:rPr>
        <w:t xml:space="preserve"> </w:t>
      </w:r>
      <w:bookmarkStart w:id="5" w:name="Dropdown3"/>
      <w:r w:rsidR="006556C1">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556C1">
        <w:rPr>
          <w:b w:val="0"/>
        </w:rPr>
      </w:r>
      <w:r w:rsidR="006556C1">
        <w:rPr>
          <w:b w:val="0"/>
        </w:rPr>
        <w:fldChar w:fldCharType="end"/>
      </w:r>
      <w:bookmarkEnd w:id="5"/>
    </w:p>
    <w:p w:rsidR="000976E9" w:rsidRDefault="000976E9" w:rsidP="000976E9">
      <w:pPr>
        <w:rPr>
          <w:szCs w:val="22"/>
        </w:rPr>
      </w:pPr>
      <w:r>
        <w:rPr>
          <w:szCs w:val="22"/>
        </w:rPr>
        <w:t xml:space="preserve">van </w:t>
      </w:r>
      <w:proofErr w:type="spellStart"/>
      <w:r w:rsidR="004F3180">
        <w:rPr>
          <w:rStyle w:val="AntwoordNaamMinisterChar"/>
        </w:rPr>
        <w:t>cindy</w:t>
      </w:r>
      <w:proofErr w:type="spellEnd"/>
      <w:r w:rsidR="004F3180">
        <w:rPr>
          <w:rStyle w:val="AntwoordNaamMinisterChar"/>
        </w:rPr>
        <w:t xml:space="preserve"> franssen</w:t>
      </w:r>
      <w:bookmarkStart w:id="6" w:name="_GoBack"/>
      <w:bookmarkEnd w:id="6"/>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D10EB" w:rsidRDefault="00DD10EB" w:rsidP="00E7610F">
      <w:pPr>
        <w:pStyle w:val="StandaardSV"/>
        <w:rPr>
          <w:szCs w:val="22"/>
        </w:rPr>
      </w:pPr>
      <w:r>
        <w:rPr>
          <w:szCs w:val="22"/>
        </w:rPr>
        <w:lastRenderedPageBreak/>
        <w:t xml:space="preserve">De dagprijs </w:t>
      </w:r>
      <w:r w:rsidR="00993C6A">
        <w:rPr>
          <w:szCs w:val="22"/>
        </w:rPr>
        <w:t>vormt een belangrijk onderdeel bij de advisering van</w:t>
      </w:r>
      <w:r>
        <w:rPr>
          <w:szCs w:val="22"/>
        </w:rPr>
        <w:t xml:space="preserve"> het </w:t>
      </w:r>
      <w:r w:rsidR="00770014">
        <w:rPr>
          <w:szCs w:val="22"/>
        </w:rPr>
        <w:t>technisch-</w:t>
      </w:r>
      <w:r>
        <w:rPr>
          <w:szCs w:val="22"/>
        </w:rPr>
        <w:t xml:space="preserve">financieel plan. Behoudens </w:t>
      </w:r>
      <w:r w:rsidR="00770014">
        <w:rPr>
          <w:szCs w:val="22"/>
        </w:rPr>
        <w:t>extreme dagprijsafwijkingen</w:t>
      </w:r>
      <w:r>
        <w:rPr>
          <w:szCs w:val="22"/>
        </w:rPr>
        <w:t>, beperkt d</w:t>
      </w:r>
      <w:r w:rsidR="00770014">
        <w:rPr>
          <w:szCs w:val="22"/>
        </w:rPr>
        <w:t>i</w:t>
      </w:r>
      <w:r>
        <w:rPr>
          <w:szCs w:val="22"/>
        </w:rPr>
        <w:t xml:space="preserve">e </w:t>
      </w:r>
      <w:r w:rsidR="00993C6A">
        <w:rPr>
          <w:szCs w:val="22"/>
        </w:rPr>
        <w:t>advisering</w:t>
      </w:r>
      <w:r>
        <w:rPr>
          <w:szCs w:val="22"/>
        </w:rPr>
        <w:t xml:space="preserve"> zich echter tot het voorhouden van een spiegel aan de betrokken voorziening. De vergelijking van de dagprijs van </w:t>
      </w:r>
      <w:r w:rsidR="00770014">
        <w:rPr>
          <w:szCs w:val="22"/>
        </w:rPr>
        <w:t>de subsidieaanvrager</w:t>
      </w:r>
      <w:r>
        <w:rPr>
          <w:szCs w:val="22"/>
        </w:rPr>
        <w:t xml:space="preserve"> met een regiogemiddelde wordt in de praktijk </w:t>
      </w:r>
      <w:r w:rsidR="00106258">
        <w:rPr>
          <w:szCs w:val="22"/>
        </w:rPr>
        <w:t xml:space="preserve">immers </w:t>
      </w:r>
      <w:r>
        <w:rPr>
          <w:szCs w:val="22"/>
        </w:rPr>
        <w:t>verstoord door o.m.:</w:t>
      </w:r>
    </w:p>
    <w:p w:rsidR="00DD10EB" w:rsidRDefault="00E7610F" w:rsidP="00E7610F">
      <w:pPr>
        <w:pStyle w:val="StandaardSV"/>
        <w:numPr>
          <w:ilvl w:val="0"/>
          <w:numId w:val="21"/>
        </w:numPr>
        <w:ind w:left="426"/>
        <w:rPr>
          <w:szCs w:val="22"/>
        </w:rPr>
      </w:pPr>
      <w:r>
        <w:rPr>
          <w:szCs w:val="22"/>
        </w:rPr>
        <w:t>n</w:t>
      </w:r>
      <w:r w:rsidR="00DD10EB">
        <w:rPr>
          <w:szCs w:val="22"/>
        </w:rPr>
        <w:t>eerwaartse vertekening regiogemiddelde door verouderde woonzorgcentra met lagere kostenbasis ten gevolge van verouderde en volledig afgeschreven infrastructuur</w:t>
      </w:r>
      <w:r w:rsidR="00993C6A">
        <w:rPr>
          <w:szCs w:val="22"/>
        </w:rPr>
        <w:t>;</w:t>
      </w:r>
    </w:p>
    <w:p w:rsidR="00DD10EB" w:rsidRDefault="00E7610F" w:rsidP="00E7610F">
      <w:pPr>
        <w:pStyle w:val="StandaardSV"/>
        <w:numPr>
          <w:ilvl w:val="0"/>
          <w:numId w:val="21"/>
        </w:numPr>
        <w:ind w:left="426"/>
        <w:rPr>
          <w:szCs w:val="22"/>
        </w:rPr>
      </w:pPr>
      <w:r>
        <w:rPr>
          <w:szCs w:val="22"/>
        </w:rPr>
        <w:t>k</w:t>
      </w:r>
      <w:r w:rsidR="00993C6A">
        <w:rPr>
          <w:szCs w:val="22"/>
        </w:rPr>
        <w:t>walitatieve verschillen van de in het regiogemiddelde opgenomen voorzieningen door verschillende comfortniveaus (m</w:t>
      </w:r>
      <w:r w:rsidR="00993C6A">
        <w:rPr>
          <w:szCs w:val="22"/>
          <w:vertAlign w:val="superscript"/>
        </w:rPr>
        <w:t>2</w:t>
      </w:r>
      <w:r w:rsidR="00993C6A">
        <w:rPr>
          <w:szCs w:val="22"/>
        </w:rPr>
        <w:t>, inzet technieken,…);</w:t>
      </w:r>
    </w:p>
    <w:p w:rsidR="00993C6A" w:rsidRDefault="00E7610F" w:rsidP="00E7610F">
      <w:pPr>
        <w:pStyle w:val="StandaardSV"/>
        <w:numPr>
          <w:ilvl w:val="0"/>
          <w:numId w:val="21"/>
        </w:numPr>
        <w:ind w:left="426"/>
        <w:rPr>
          <w:szCs w:val="22"/>
        </w:rPr>
      </w:pPr>
      <w:r>
        <w:rPr>
          <w:szCs w:val="22"/>
        </w:rPr>
        <w:t>k</w:t>
      </w:r>
      <w:r w:rsidR="00ED0755">
        <w:rPr>
          <w:szCs w:val="22"/>
        </w:rPr>
        <w:t>wantitatief verschil van door de dagprijs gedekte diensten</w:t>
      </w:r>
      <w:r w:rsidR="00993C6A">
        <w:rPr>
          <w:szCs w:val="22"/>
        </w:rPr>
        <w:t>: bij een aantal woonzorgcentra dekt de klantenbijdrage ook nog bijkomende diensten die als supplement mogen aangerekend worden zoals was persoonlijk linnen, remgeld ziekteverzekering,…</w:t>
      </w:r>
    </w:p>
    <w:p w:rsidR="00993C6A" w:rsidRDefault="00993C6A" w:rsidP="00E7610F">
      <w:pPr>
        <w:pStyle w:val="StandaardSV"/>
        <w:ind w:left="852" w:hanging="426"/>
        <w:rPr>
          <w:szCs w:val="22"/>
        </w:rPr>
      </w:pPr>
    </w:p>
    <w:p w:rsidR="00ED0755" w:rsidRDefault="00993C6A" w:rsidP="00E7610F">
      <w:pPr>
        <w:pStyle w:val="StandaardSV"/>
        <w:rPr>
          <w:szCs w:val="22"/>
        </w:rPr>
      </w:pPr>
      <w:r>
        <w:rPr>
          <w:szCs w:val="22"/>
        </w:rPr>
        <w:t>Het afkeuren van de subsidieaanvraag op basis van de dagprijs is slechts in uitzonderlijke omstandigheden aan de orde. Dit is eerder de rol van de FOD Economie die elke dagprijsverhoging (behoudens inde</w:t>
      </w:r>
      <w:r w:rsidR="00ED0755">
        <w:rPr>
          <w:szCs w:val="22"/>
        </w:rPr>
        <w:t>xering)</w:t>
      </w:r>
      <w:r>
        <w:rPr>
          <w:szCs w:val="22"/>
        </w:rPr>
        <w:t xml:space="preserve"> op basis van </w:t>
      </w:r>
      <w:proofErr w:type="spellStart"/>
      <w:r>
        <w:rPr>
          <w:szCs w:val="22"/>
        </w:rPr>
        <w:t>incrementele</w:t>
      </w:r>
      <w:proofErr w:type="spellEnd"/>
      <w:r>
        <w:rPr>
          <w:szCs w:val="22"/>
        </w:rPr>
        <w:t xml:space="preserve"> kosten </w:t>
      </w:r>
      <w:r w:rsidR="00ED0755">
        <w:rPr>
          <w:szCs w:val="22"/>
        </w:rPr>
        <w:t>beoordeelt.</w:t>
      </w:r>
    </w:p>
    <w:p w:rsidR="00ED0755" w:rsidRDefault="00E7610F" w:rsidP="00E7610F">
      <w:pPr>
        <w:pStyle w:val="StandaardSV"/>
        <w:ind w:hanging="426"/>
        <w:rPr>
          <w:szCs w:val="22"/>
        </w:rPr>
      </w:pPr>
      <w:r>
        <w:rPr>
          <w:szCs w:val="22"/>
        </w:rPr>
        <w:tab/>
      </w:r>
    </w:p>
    <w:p w:rsidR="00DD10EB" w:rsidRDefault="00ED0755" w:rsidP="00E7610F">
      <w:pPr>
        <w:pStyle w:val="StandaardSV"/>
        <w:rPr>
          <w:szCs w:val="22"/>
        </w:rPr>
      </w:pPr>
      <w:r>
        <w:rPr>
          <w:szCs w:val="22"/>
        </w:rPr>
        <w:t>VIPA beperkt zich hier tot een adviserende rol. Naast een vergelijking met het provinciegemiddelde en het gemiddelde van (nieuwe) woonzorgcentra</w:t>
      </w:r>
      <w:r w:rsidR="002F4F08">
        <w:rPr>
          <w:szCs w:val="22"/>
        </w:rPr>
        <w:t xml:space="preserve"> in de onmiddellijke omgeving</w:t>
      </w:r>
      <w:r>
        <w:rPr>
          <w:szCs w:val="22"/>
        </w:rPr>
        <w:t>, wordt gekeken naar de financiële ruimte van de voorziening. Vertrekpunt vormt het financieel plan waarvan de assumpties grondig worden gecontroleerd en eventueel bijgesteld worden met haalbare kostenoptimalisaties (te bepalen aan de hand van benchmarking). Vervolgens wordt aangeraden om binnen de beschikbare financiële ruimte de dagprijs minder sterk te laten evolueren.</w:t>
      </w:r>
    </w:p>
    <w:p w:rsidR="00DD10EB" w:rsidRDefault="00E7610F" w:rsidP="00E7610F">
      <w:pPr>
        <w:pStyle w:val="StandaardSV"/>
        <w:ind w:hanging="426"/>
        <w:rPr>
          <w:szCs w:val="22"/>
        </w:rPr>
      </w:pPr>
      <w:r>
        <w:rPr>
          <w:szCs w:val="22"/>
        </w:rPr>
        <w:tab/>
      </w:r>
    </w:p>
    <w:p w:rsidR="00DD10EB" w:rsidRDefault="002F4F08" w:rsidP="00E7610F">
      <w:pPr>
        <w:pStyle w:val="StandaardSV"/>
        <w:rPr>
          <w:szCs w:val="22"/>
        </w:rPr>
      </w:pPr>
      <w:r>
        <w:rPr>
          <w:szCs w:val="22"/>
        </w:rPr>
        <w:t xml:space="preserve">Voor de dagprijsvergelijking worden regelmatig gegevens opgevraagd bij de FOD Economie. Gelet op de louter adviserende rol, gebeurt er echter noch een registratie m.b.t. subsidieaanvragers van hun dagprijs bij subsidieaanvraag, noch een verdere opvolging bij aanvraag van de eerste gebruikstoelage of in </w:t>
      </w:r>
      <w:proofErr w:type="spellStart"/>
      <w:r>
        <w:rPr>
          <w:szCs w:val="22"/>
        </w:rPr>
        <w:t>gebruikname</w:t>
      </w:r>
      <w:proofErr w:type="spellEnd"/>
      <w:r>
        <w:rPr>
          <w:szCs w:val="22"/>
        </w:rPr>
        <w:t xml:space="preserve"> van het woonzorgcentrum. Bijgevolg kan er enkel feitelijk </w:t>
      </w:r>
      <w:r w:rsidR="0005264A">
        <w:rPr>
          <w:szCs w:val="22"/>
        </w:rPr>
        <w:t>geantwoord worden</w:t>
      </w:r>
      <w:r>
        <w:rPr>
          <w:szCs w:val="22"/>
        </w:rPr>
        <w:t xml:space="preserve"> op vragen 1-3.</w:t>
      </w:r>
      <w:r w:rsidR="00DA2839">
        <w:rPr>
          <w:szCs w:val="22"/>
        </w:rPr>
        <w:t xml:space="preserve"> Algemeen kan worden gesteld dat behoudens 1 geval, alle woonzorgcentra binnen de aanvaar</w:t>
      </w:r>
      <w:r w:rsidR="00812FB5">
        <w:rPr>
          <w:szCs w:val="22"/>
        </w:rPr>
        <w:t>d</w:t>
      </w:r>
      <w:r w:rsidR="00DA2839">
        <w:rPr>
          <w:szCs w:val="22"/>
        </w:rPr>
        <w:t xml:space="preserve">bare afwijkingen bleven. </w:t>
      </w:r>
    </w:p>
    <w:p w:rsidR="002F4F08" w:rsidRDefault="002F4F08" w:rsidP="00E7610F">
      <w:pPr>
        <w:pStyle w:val="StandaardSV"/>
        <w:ind w:left="426" w:hanging="426"/>
        <w:rPr>
          <w:szCs w:val="22"/>
        </w:rPr>
      </w:pPr>
    </w:p>
    <w:p w:rsidR="001C317A" w:rsidRDefault="002F4F08" w:rsidP="00E7610F">
      <w:pPr>
        <w:pStyle w:val="StandaardSV"/>
        <w:numPr>
          <w:ilvl w:val="0"/>
          <w:numId w:val="22"/>
        </w:numPr>
        <w:ind w:left="426" w:hanging="426"/>
        <w:rPr>
          <w:szCs w:val="22"/>
        </w:rPr>
      </w:pPr>
      <w:r w:rsidRPr="001C317A">
        <w:rPr>
          <w:szCs w:val="22"/>
        </w:rPr>
        <w:t>Tot nog toe werd slechts 1 dossier</w:t>
      </w:r>
      <w:r w:rsidR="001C317A">
        <w:rPr>
          <w:szCs w:val="22"/>
        </w:rPr>
        <w:t xml:space="preserve"> op basis van de klantenbijdrage</w:t>
      </w:r>
      <w:r w:rsidRPr="001C317A">
        <w:rPr>
          <w:szCs w:val="22"/>
        </w:rPr>
        <w:t xml:space="preserve"> afgekeurd. </w:t>
      </w:r>
      <w:r w:rsidR="001C317A">
        <w:rPr>
          <w:szCs w:val="22"/>
        </w:rPr>
        <w:t xml:space="preserve">Alle andere aanvragen kenden een dagprijs die </w:t>
      </w:r>
      <w:r w:rsidR="0005264A">
        <w:rPr>
          <w:szCs w:val="22"/>
        </w:rPr>
        <w:t>onder de aanvaardbare afwijkingen lagen</w:t>
      </w:r>
      <w:r w:rsidR="001C317A">
        <w:rPr>
          <w:szCs w:val="22"/>
        </w:rPr>
        <w:t xml:space="preserve">. Niettemin werd gemiddeld in 1 van de 3 adviezen </w:t>
      </w:r>
      <w:r w:rsidR="00DA2839">
        <w:rPr>
          <w:szCs w:val="22"/>
        </w:rPr>
        <w:t>aangeraden</w:t>
      </w:r>
      <w:r w:rsidR="001C317A">
        <w:rPr>
          <w:szCs w:val="22"/>
        </w:rPr>
        <w:t xml:space="preserve"> om </w:t>
      </w:r>
      <w:r w:rsidR="0005264A">
        <w:rPr>
          <w:szCs w:val="22"/>
        </w:rPr>
        <w:t>gelet op</w:t>
      </w:r>
      <w:r w:rsidR="001C317A">
        <w:rPr>
          <w:szCs w:val="22"/>
        </w:rPr>
        <w:t xml:space="preserve"> de financiële </w:t>
      </w:r>
      <w:r w:rsidR="00DA2839">
        <w:rPr>
          <w:szCs w:val="22"/>
        </w:rPr>
        <w:t>ruimte</w:t>
      </w:r>
      <w:r w:rsidR="001C317A">
        <w:rPr>
          <w:szCs w:val="22"/>
        </w:rPr>
        <w:t xml:space="preserve"> de dagprijs bij te stellen.</w:t>
      </w:r>
    </w:p>
    <w:p w:rsidR="0005264A" w:rsidRDefault="0005264A" w:rsidP="00E7610F">
      <w:pPr>
        <w:pStyle w:val="StandaardSV"/>
        <w:ind w:left="426" w:hanging="426"/>
        <w:rPr>
          <w:szCs w:val="22"/>
        </w:rPr>
      </w:pPr>
    </w:p>
    <w:p w:rsidR="001C317A" w:rsidRPr="00DA2839" w:rsidRDefault="00DA2839" w:rsidP="00E7610F">
      <w:pPr>
        <w:pStyle w:val="StandaardSV"/>
        <w:numPr>
          <w:ilvl w:val="0"/>
          <w:numId w:val="22"/>
        </w:numPr>
        <w:ind w:left="426" w:hanging="426"/>
        <w:rPr>
          <w:szCs w:val="22"/>
          <w:lang w:val="en-US"/>
        </w:rPr>
      </w:pPr>
      <w:proofErr w:type="spellStart"/>
      <w:r w:rsidRPr="00DA2839">
        <w:rPr>
          <w:szCs w:val="22"/>
          <w:lang w:val="en-US"/>
        </w:rPr>
        <w:t>Sint-</w:t>
      </w:r>
      <w:r w:rsidR="001C317A" w:rsidRPr="00DA2839">
        <w:rPr>
          <w:szCs w:val="22"/>
          <w:lang w:val="en-US"/>
        </w:rPr>
        <w:t>Carolus</w:t>
      </w:r>
      <w:proofErr w:type="spellEnd"/>
      <w:r w:rsidR="001C317A" w:rsidRPr="00DA2839">
        <w:rPr>
          <w:szCs w:val="22"/>
          <w:lang w:val="en-US"/>
        </w:rPr>
        <w:t xml:space="preserve"> </w:t>
      </w:r>
      <w:proofErr w:type="spellStart"/>
      <w:r w:rsidR="001C317A" w:rsidRPr="00DA2839">
        <w:rPr>
          <w:szCs w:val="22"/>
          <w:lang w:val="en-US"/>
        </w:rPr>
        <w:t>Mayer</w:t>
      </w:r>
      <w:r>
        <w:rPr>
          <w:szCs w:val="22"/>
          <w:lang w:val="en-US"/>
        </w:rPr>
        <w:t>hof</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Mortsel</w:t>
      </w:r>
      <w:proofErr w:type="spellEnd"/>
      <w:r>
        <w:rPr>
          <w:szCs w:val="22"/>
          <w:lang w:val="en-US"/>
        </w:rPr>
        <w:t xml:space="preserve"> (</w:t>
      </w:r>
      <w:proofErr w:type="spellStart"/>
      <w:r>
        <w:rPr>
          <w:szCs w:val="22"/>
          <w:lang w:val="en-US"/>
        </w:rPr>
        <w:t>Antwerpen</w:t>
      </w:r>
      <w:proofErr w:type="spellEnd"/>
      <w:r>
        <w:rPr>
          <w:szCs w:val="22"/>
          <w:lang w:val="en-US"/>
        </w:rPr>
        <w:t>).</w:t>
      </w:r>
    </w:p>
    <w:p w:rsidR="0005264A" w:rsidRPr="00DA2839" w:rsidRDefault="0005264A" w:rsidP="00E7610F">
      <w:pPr>
        <w:pStyle w:val="Lijstalinea"/>
        <w:ind w:left="426" w:hanging="426"/>
        <w:rPr>
          <w:szCs w:val="22"/>
          <w:lang w:val="en-US"/>
        </w:rPr>
      </w:pPr>
    </w:p>
    <w:p w:rsidR="002F4F08" w:rsidRPr="001C317A" w:rsidRDefault="0005264A" w:rsidP="00E7610F">
      <w:pPr>
        <w:pStyle w:val="StandaardSV"/>
        <w:numPr>
          <w:ilvl w:val="0"/>
          <w:numId w:val="22"/>
        </w:numPr>
        <w:ind w:left="426" w:hanging="426"/>
        <w:rPr>
          <w:szCs w:val="22"/>
        </w:rPr>
      </w:pPr>
      <w:r>
        <w:rPr>
          <w:szCs w:val="22"/>
        </w:rPr>
        <w:t>Indicatief voor de regio is de zorgregio zoals bepaald in het Decreet van 23 mei 2003 betreffende de indeling in zorgregio’s.</w:t>
      </w:r>
    </w:p>
    <w:p w:rsidR="002F4F08" w:rsidRDefault="002F4F08" w:rsidP="00DA2839">
      <w:pPr>
        <w:pStyle w:val="StandaardSV"/>
        <w:ind w:left="360"/>
        <w:rPr>
          <w:szCs w:val="22"/>
        </w:rPr>
      </w:pPr>
    </w:p>
    <w:p w:rsidR="00DA2839" w:rsidRDefault="00E7610F" w:rsidP="00E7610F">
      <w:pPr>
        <w:pStyle w:val="StandaardSV"/>
        <w:ind w:left="426" w:hanging="426"/>
        <w:rPr>
          <w:szCs w:val="22"/>
        </w:rPr>
      </w:pPr>
      <w:r>
        <w:rPr>
          <w:szCs w:val="22"/>
        </w:rPr>
        <w:t>4-6.</w:t>
      </w:r>
      <w:r>
        <w:rPr>
          <w:szCs w:val="22"/>
        </w:rPr>
        <w:tab/>
        <w:t>Z</w:t>
      </w:r>
      <w:r w:rsidR="00DA2839">
        <w:rPr>
          <w:szCs w:val="22"/>
        </w:rPr>
        <w:t>onder voorwerp</w:t>
      </w:r>
      <w:r w:rsidR="00C30D75">
        <w:rPr>
          <w:szCs w:val="22"/>
        </w:rPr>
        <w:t>.</w:t>
      </w:r>
    </w:p>
    <w:sectPr w:rsidR="00DA283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A2A"/>
    <w:multiLevelType w:val="hybridMultilevel"/>
    <w:tmpl w:val="7742A15E"/>
    <w:lvl w:ilvl="0" w:tplc="B45019E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D82272"/>
    <w:multiLevelType w:val="hybridMultilevel"/>
    <w:tmpl w:val="63FE8B02"/>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2">
    <w:nsid w:val="0FC821F3"/>
    <w:multiLevelType w:val="hybridMultilevel"/>
    <w:tmpl w:val="0DA02E04"/>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3">
    <w:nsid w:val="15C607F7"/>
    <w:multiLevelType w:val="hybridMultilevel"/>
    <w:tmpl w:val="9572AA5A"/>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4">
    <w:nsid w:val="1B912DF0"/>
    <w:multiLevelType w:val="hybridMultilevel"/>
    <w:tmpl w:val="F53C8D0A"/>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5">
    <w:nsid w:val="1EBF3B20"/>
    <w:multiLevelType w:val="hybridMultilevel"/>
    <w:tmpl w:val="4210C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030079C"/>
    <w:multiLevelType w:val="hybridMultilevel"/>
    <w:tmpl w:val="C5746F14"/>
    <w:lvl w:ilvl="0" w:tplc="31061DA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329D7A8C"/>
    <w:multiLevelType w:val="hybridMultilevel"/>
    <w:tmpl w:val="7D3E4AF4"/>
    <w:lvl w:ilvl="0" w:tplc="F476FE76">
      <w:start w:val="4"/>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34ED1947"/>
    <w:multiLevelType w:val="hybridMultilevel"/>
    <w:tmpl w:val="26422FB0"/>
    <w:lvl w:ilvl="0" w:tplc="D30E471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62740DA"/>
    <w:multiLevelType w:val="hybridMultilevel"/>
    <w:tmpl w:val="9E4682E0"/>
    <w:lvl w:ilvl="0" w:tplc="6C126F98">
      <w:start w:val="1"/>
      <w:numFmt w:val="decimal"/>
      <w:lvlText w:val="%1."/>
      <w:lvlJc w:val="left"/>
      <w:pPr>
        <w:tabs>
          <w:tab w:val="num" w:pos="340"/>
        </w:tabs>
        <w:ind w:left="397" w:hanging="397"/>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0">
    <w:nsid w:val="395A6B6E"/>
    <w:multiLevelType w:val="multilevel"/>
    <w:tmpl w:val="28F0D6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463472BA"/>
    <w:multiLevelType w:val="hybridMultilevel"/>
    <w:tmpl w:val="AE2EB7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26770AA"/>
    <w:multiLevelType w:val="hybridMultilevel"/>
    <w:tmpl w:val="26E8E4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C405E5F"/>
    <w:multiLevelType w:val="hybridMultilevel"/>
    <w:tmpl w:val="46E8A2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F6449AE"/>
    <w:multiLevelType w:val="hybridMultilevel"/>
    <w:tmpl w:val="C406C7BC"/>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5">
    <w:nsid w:val="60E27860"/>
    <w:multiLevelType w:val="hybridMultilevel"/>
    <w:tmpl w:val="1B1C891C"/>
    <w:lvl w:ilvl="0" w:tplc="507AC3D4">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6A21FA6"/>
    <w:multiLevelType w:val="hybridMultilevel"/>
    <w:tmpl w:val="933E2BEA"/>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8">
    <w:nsid w:val="729B63D1"/>
    <w:multiLevelType w:val="hybridMultilevel"/>
    <w:tmpl w:val="6CD80DE0"/>
    <w:lvl w:ilvl="0" w:tplc="04E2C5C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78FE00F4"/>
    <w:multiLevelType w:val="hybridMultilevel"/>
    <w:tmpl w:val="8E3C1C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9325202"/>
    <w:multiLevelType w:val="hybridMultilevel"/>
    <w:tmpl w:val="348E9F48"/>
    <w:lvl w:ilvl="0" w:tplc="BC40736A">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5"/>
  </w:num>
  <w:num w:numId="4">
    <w:abstractNumId w:val="14"/>
  </w:num>
  <w:num w:numId="5">
    <w:abstractNumId w:val="1"/>
  </w:num>
  <w:num w:numId="6">
    <w:abstractNumId w:val="3"/>
  </w:num>
  <w:num w:numId="7">
    <w:abstractNumId w:val="17"/>
  </w:num>
  <w:num w:numId="8">
    <w:abstractNumId w:val="4"/>
  </w:num>
  <w:num w:numId="9">
    <w:abstractNumId w:val="2"/>
  </w:num>
  <w:num w:numId="10">
    <w:abstractNumId w:val="9"/>
  </w:num>
  <w:num w:numId="11">
    <w:abstractNumId w:val="13"/>
  </w:num>
  <w:num w:numId="12">
    <w:abstractNumId w:val="8"/>
  </w:num>
  <w:num w:numId="13">
    <w:abstractNumId w:val="12"/>
  </w:num>
  <w:num w:numId="14">
    <w:abstractNumId w:val="20"/>
  </w:num>
  <w:num w:numId="15">
    <w:abstractNumId w:val="0"/>
  </w:num>
  <w:num w:numId="16">
    <w:abstractNumId w:val="10"/>
  </w:num>
  <w:num w:numId="17">
    <w:abstractNumId w:val="7"/>
  </w:num>
  <w:num w:numId="18">
    <w:abstractNumId w:val="11"/>
  </w:num>
  <w:num w:numId="19">
    <w:abstractNumId w:val="19"/>
  </w:num>
  <w:num w:numId="20">
    <w:abstractNumId w:val="15"/>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C3"/>
    <w:rsid w:val="0005264A"/>
    <w:rsid w:val="000976E9"/>
    <w:rsid w:val="000C4E8C"/>
    <w:rsid w:val="000F3532"/>
    <w:rsid w:val="000F4F2B"/>
    <w:rsid w:val="000F77EE"/>
    <w:rsid w:val="001018B6"/>
    <w:rsid w:val="001021D9"/>
    <w:rsid w:val="00106258"/>
    <w:rsid w:val="00126E14"/>
    <w:rsid w:val="00140C3F"/>
    <w:rsid w:val="00190028"/>
    <w:rsid w:val="001C317A"/>
    <w:rsid w:val="001E0C40"/>
    <w:rsid w:val="00210C07"/>
    <w:rsid w:val="00225A8E"/>
    <w:rsid w:val="002818FC"/>
    <w:rsid w:val="002965B3"/>
    <w:rsid w:val="002F4F08"/>
    <w:rsid w:val="00313506"/>
    <w:rsid w:val="00326A58"/>
    <w:rsid w:val="003B1D3D"/>
    <w:rsid w:val="003C4BDB"/>
    <w:rsid w:val="003F5B0D"/>
    <w:rsid w:val="003F66B1"/>
    <w:rsid w:val="00425CAB"/>
    <w:rsid w:val="00427747"/>
    <w:rsid w:val="0049658C"/>
    <w:rsid w:val="004D29F3"/>
    <w:rsid w:val="004D40C2"/>
    <w:rsid w:val="004E1784"/>
    <w:rsid w:val="004F3180"/>
    <w:rsid w:val="004F78C7"/>
    <w:rsid w:val="0052614B"/>
    <w:rsid w:val="00535EFE"/>
    <w:rsid w:val="005C712A"/>
    <w:rsid w:val="005E38CA"/>
    <w:rsid w:val="00602C98"/>
    <w:rsid w:val="006240A5"/>
    <w:rsid w:val="006371CC"/>
    <w:rsid w:val="006556C1"/>
    <w:rsid w:val="006755F9"/>
    <w:rsid w:val="00693F65"/>
    <w:rsid w:val="006D6832"/>
    <w:rsid w:val="00706D43"/>
    <w:rsid w:val="0071248C"/>
    <w:rsid w:val="0071749F"/>
    <w:rsid w:val="0072337F"/>
    <w:rsid w:val="007252C7"/>
    <w:rsid w:val="00770014"/>
    <w:rsid w:val="007A1915"/>
    <w:rsid w:val="007B3D4C"/>
    <w:rsid w:val="0080599D"/>
    <w:rsid w:val="00812FB5"/>
    <w:rsid w:val="00852ED3"/>
    <w:rsid w:val="00875D12"/>
    <w:rsid w:val="008C3D20"/>
    <w:rsid w:val="008D5DB4"/>
    <w:rsid w:val="0091633F"/>
    <w:rsid w:val="00920EBE"/>
    <w:rsid w:val="009347E0"/>
    <w:rsid w:val="00937DB8"/>
    <w:rsid w:val="00993C6A"/>
    <w:rsid w:val="009960F7"/>
    <w:rsid w:val="009B2F50"/>
    <w:rsid w:val="009C5904"/>
    <w:rsid w:val="009D7043"/>
    <w:rsid w:val="00A25C95"/>
    <w:rsid w:val="00A94507"/>
    <w:rsid w:val="00AA3715"/>
    <w:rsid w:val="00AB1580"/>
    <w:rsid w:val="00AB7DBB"/>
    <w:rsid w:val="00AE0B9F"/>
    <w:rsid w:val="00AF2530"/>
    <w:rsid w:val="00B01DE0"/>
    <w:rsid w:val="00B45EB2"/>
    <w:rsid w:val="00B8696A"/>
    <w:rsid w:val="00BC37EB"/>
    <w:rsid w:val="00BE425A"/>
    <w:rsid w:val="00BF09A8"/>
    <w:rsid w:val="00BF117E"/>
    <w:rsid w:val="00BF2906"/>
    <w:rsid w:val="00C30756"/>
    <w:rsid w:val="00C30D75"/>
    <w:rsid w:val="00C37571"/>
    <w:rsid w:val="00C56F36"/>
    <w:rsid w:val="00C82477"/>
    <w:rsid w:val="00D13BB1"/>
    <w:rsid w:val="00D34FFF"/>
    <w:rsid w:val="00D71D99"/>
    <w:rsid w:val="00D754F2"/>
    <w:rsid w:val="00DA2839"/>
    <w:rsid w:val="00DB176A"/>
    <w:rsid w:val="00DB41C0"/>
    <w:rsid w:val="00DC1C9A"/>
    <w:rsid w:val="00DC4DB6"/>
    <w:rsid w:val="00DC7BC3"/>
    <w:rsid w:val="00DD10EB"/>
    <w:rsid w:val="00DD6BED"/>
    <w:rsid w:val="00E02BEB"/>
    <w:rsid w:val="00E55200"/>
    <w:rsid w:val="00E71622"/>
    <w:rsid w:val="00E72F20"/>
    <w:rsid w:val="00E7610F"/>
    <w:rsid w:val="00E8003B"/>
    <w:rsid w:val="00ED0755"/>
    <w:rsid w:val="00F03F76"/>
    <w:rsid w:val="00F16C19"/>
    <w:rsid w:val="00F84E0F"/>
    <w:rsid w:val="00F922E6"/>
    <w:rsid w:val="00FA23C7"/>
    <w:rsid w:val="00FA29D6"/>
    <w:rsid w:val="00FC2D56"/>
    <w:rsid w:val="00FC7078"/>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C7BC3"/>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C37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Standaard"/>
    <w:qFormat/>
    <w:rsid w:val="006D6832"/>
    <w:pPr>
      <w:jc w:val="both"/>
    </w:pPr>
    <w:rPr>
      <w:szCs w:val="20"/>
    </w:rPr>
  </w:style>
  <w:style w:type="paragraph" w:styleId="Lijstalinea">
    <w:name w:val="List Paragraph"/>
    <w:basedOn w:val="Standaard"/>
    <w:uiPriority w:val="34"/>
    <w:qFormat/>
    <w:rsid w:val="00B01DE0"/>
    <w:pPr>
      <w:ind w:left="708"/>
    </w:pPr>
    <w:rPr>
      <w:sz w:val="24"/>
    </w:rPr>
  </w:style>
  <w:style w:type="paragraph" w:styleId="Ballontekst">
    <w:name w:val="Balloon Text"/>
    <w:basedOn w:val="Standaard"/>
    <w:link w:val="BallontekstChar"/>
    <w:rsid w:val="00AF2530"/>
    <w:rPr>
      <w:rFonts w:ascii="Tahoma" w:hAnsi="Tahoma" w:cs="Tahoma"/>
      <w:sz w:val="16"/>
      <w:szCs w:val="16"/>
    </w:rPr>
  </w:style>
  <w:style w:type="character" w:customStyle="1" w:styleId="BallontekstChar">
    <w:name w:val="Ballontekst Char"/>
    <w:basedOn w:val="Standaardalinea-lettertype"/>
    <w:link w:val="Ballontekst"/>
    <w:rsid w:val="00AF253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C7BC3"/>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C37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Standaard"/>
    <w:qFormat/>
    <w:rsid w:val="006D6832"/>
    <w:pPr>
      <w:jc w:val="both"/>
    </w:pPr>
    <w:rPr>
      <w:szCs w:val="20"/>
    </w:rPr>
  </w:style>
  <w:style w:type="paragraph" w:styleId="Lijstalinea">
    <w:name w:val="List Paragraph"/>
    <w:basedOn w:val="Standaard"/>
    <w:uiPriority w:val="34"/>
    <w:qFormat/>
    <w:rsid w:val="00B01DE0"/>
    <w:pPr>
      <w:ind w:left="708"/>
    </w:pPr>
    <w:rPr>
      <w:sz w:val="24"/>
    </w:rPr>
  </w:style>
  <w:style w:type="paragraph" w:styleId="Ballontekst">
    <w:name w:val="Balloon Text"/>
    <w:basedOn w:val="Standaard"/>
    <w:link w:val="BallontekstChar"/>
    <w:rsid w:val="00AF2530"/>
    <w:rPr>
      <w:rFonts w:ascii="Tahoma" w:hAnsi="Tahoma" w:cs="Tahoma"/>
      <w:sz w:val="16"/>
      <w:szCs w:val="16"/>
    </w:rPr>
  </w:style>
  <w:style w:type="character" w:customStyle="1" w:styleId="BallontekstChar">
    <w:name w:val="Ballontekst Char"/>
    <w:basedOn w:val="Standaardalinea-lettertype"/>
    <w:link w:val="Ballontekst"/>
    <w:rsid w:val="00AF253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deleenlj</dc:creator>
  <cp:lastModifiedBy>Vlaams Parlement</cp:lastModifiedBy>
  <cp:revision>2</cp:revision>
  <cp:lastPrinted>2012-12-17T09:18:00Z</cp:lastPrinted>
  <dcterms:created xsi:type="dcterms:W3CDTF">2013-01-17T09:30:00Z</dcterms:created>
  <dcterms:modified xsi:type="dcterms:W3CDTF">2013-01-17T09:30:00Z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