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65" w:rsidRPr="00A8473D" w:rsidRDefault="00D51B65" w:rsidP="00D51B6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D51B65" w:rsidRPr="00A8473D" w:rsidRDefault="00D51B65" w:rsidP="00D51B65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D51B65" w:rsidRPr="00DE405B" w:rsidRDefault="00D51B65" w:rsidP="00D51B65">
      <w:pPr>
        <w:pStyle w:val="StandaardSV"/>
        <w:pBdr>
          <w:bottom w:val="single" w:sz="4" w:space="1" w:color="auto"/>
        </w:pBdr>
        <w:rPr>
          <w:lang w:val="nl-BE"/>
        </w:rPr>
      </w:pPr>
    </w:p>
    <w:p w:rsidR="00D51B65" w:rsidRDefault="00D51B65" w:rsidP="00D51B65">
      <w:pPr>
        <w:jc w:val="both"/>
        <w:rPr>
          <w:sz w:val="22"/>
        </w:rPr>
      </w:pPr>
    </w:p>
    <w:p w:rsidR="00971817" w:rsidRPr="00971817" w:rsidRDefault="00971817" w:rsidP="00D51B65">
      <w:pPr>
        <w:jc w:val="both"/>
        <w:outlineLvl w:val="0"/>
        <w:rPr>
          <w:b/>
          <w:smallCaps/>
          <w:sz w:val="22"/>
        </w:rPr>
      </w:pPr>
      <w:r w:rsidRPr="00971817">
        <w:rPr>
          <w:b/>
          <w:smallCaps/>
          <w:sz w:val="22"/>
        </w:rPr>
        <w:t>antwoord</w:t>
      </w:r>
    </w:p>
    <w:p w:rsidR="00D51B65" w:rsidRDefault="00971817" w:rsidP="00971817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D51B65">
        <w:rPr>
          <w:sz w:val="22"/>
        </w:rPr>
        <w:t>raag nr. 86</w:t>
      </w:r>
      <w:r>
        <w:rPr>
          <w:sz w:val="22"/>
        </w:rPr>
        <w:t xml:space="preserve"> </w:t>
      </w:r>
      <w:r w:rsidR="00D51B65">
        <w:rPr>
          <w:sz w:val="22"/>
        </w:rPr>
        <w:t>van 16 november 2012</w:t>
      </w:r>
    </w:p>
    <w:p w:rsidR="00D51B65" w:rsidRDefault="00D51B65" w:rsidP="00D51B65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johan verstreken</w:t>
      </w:r>
    </w:p>
    <w:p w:rsidR="00D51B65" w:rsidRDefault="00D51B65" w:rsidP="00D51B65">
      <w:pPr>
        <w:pBdr>
          <w:bottom w:val="single" w:sz="4" w:space="1" w:color="auto"/>
        </w:pBdr>
        <w:jc w:val="both"/>
        <w:rPr>
          <w:sz w:val="22"/>
        </w:rPr>
      </w:pPr>
    </w:p>
    <w:p w:rsidR="00D51B65" w:rsidRDefault="00D51B65" w:rsidP="00D51B65">
      <w:pPr>
        <w:pStyle w:val="StandaardSV"/>
      </w:pPr>
    </w:p>
    <w:p w:rsidR="00D51B65" w:rsidRPr="00971817" w:rsidRDefault="00D51B65" w:rsidP="00971817">
      <w:pPr>
        <w:pStyle w:val="StandaardSV"/>
        <w:rPr>
          <w:szCs w:val="22"/>
        </w:rPr>
      </w:pPr>
    </w:p>
    <w:p w:rsidR="00A07272" w:rsidRPr="00971817" w:rsidRDefault="00F00F4E" w:rsidP="00971817">
      <w:pPr>
        <w:pStyle w:val="Lijstalinea"/>
        <w:numPr>
          <w:ilvl w:val="0"/>
          <w:numId w:val="17"/>
        </w:numPr>
        <w:jc w:val="both"/>
        <w:rPr>
          <w:sz w:val="22"/>
          <w:szCs w:val="22"/>
        </w:rPr>
      </w:pPr>
      <w:r w:rsidRPr="00971817">
        <w:rPr>
          <w:sz w:val="22"/>
          <w:szCs w:val="22"/>
        </w:rPr>
        <w:t>De evaluatie van het MOB-project is uiterst positief. Veiligheid gedurende de werkomstandigh</w:t>
      </w:r>
      <w:r w:rsidRPr="00971817">
        <w:rPr>
          <w:sz w:val="22"/>
          <w:szCs w:val="22"/>
        </w:rPr>
        <w:t>e</w:t>
      </w:r>
      <w:r w:rsidRPr="00971817">
        <w:rPr>
          <w:sz w:val="22"/>
          <w:szCs w:val="22"/>
        </w:rPr>
        <w:t>den is algemeen een thema met hoge prioriteit maar des te belangrijker voor de visserijsector en</w:t>
      </w:r>
      <w:r w:rsidR="00971817" w:rsidRPr="00971817">
        <w:rPr>
          <w:sz w:val="22"/>
          <w:szCs w:val="22"/>
        </w:rPr>
        <w:t xml:space="preserve"> </w:t>
      </w:r>
      <w:r w:rsidRPr="00971817">
        <w:rPr>
          <w:sz w:val="22"/>
          <w:szCs w:val="22"/>
        </w:rPr>
        <w:t>dit specifiek naar de vissers of de bemanning toe. Het uitwerken en installeren van dergelijke i</w:t>
      </w:r>
      <w:r w:rsidRPr="00971817">
        <w:rPr>
          <w:sz w:val="22"/>
          <w:szCs w:val="22"/>
        </w:rPr>
        <w:t>n</w:t>
      </w:r>
      <w:r w:rsidRPr="00971817">
        <w:rPr>
          <w:sz w:val="22"/>
          <w:szCs w:val="22"/>
        </w:rPr>
        <w:t xml:space="preserve">novatieve en verregaande veiligheidsuitrustingen, via een collectief project blijkt zeer stimulerend te werken en leidde tot een snelle en </w:t>
      </w:r>
      <w:r w:rsidR="004201CF" w:rsidRPr="00971817">
        <w:rPr>
          <w:sz w:val="22"/>
          <w:szCs w:val="22"/>
        </w:rPr>
        <w:t xml:space="preserve">nagenoeg </w:t>
      </w:r>
      <w:r w:rsidRPr="00971817">
        <w:rPr>
          <w:sz w:val="22"/>
          <w:szCs w:val="22"/>
        </w:rPr>
        <w:t>algemene toepassing van het MOB-systeem aa</w:t>
      </w:r>
      <w:r w:rsidR="004201CF" w:rsidRPr="00971817">
        <w:rPr>
          <w:sz w:val="22"/>
          <w:szCs w:val="22"/>
        </w:rPr>
        <w:t>n boord van onze vissersschepen</w:t>
      </w:r>
      <w:r w:rsidRPr="00971817">
        <w:rPr>
          <w:sz w:val="22"/>
          <w:szCs w:val="22"/>
        </w:rPr>
        <w:t xml:space="preserve">. Dit initiatief kwam er dan ook op vraag van de sector zelf, met de </w:t>
      </w:r>
      <w:r w:rsidR="00A07272" w:rsidRPr="00971817">
        <w:rPr>
          <w:sz w:val="22"/>
          <w:szCs w:val="22"/>
        </w:rPr>
        <w:t>R</w:t>
      </w:r>
      <w:r w:rsidRPr="00971817">
        <w:rPr>
          <w:sz w:val="22"/>
          <w:szCs w:val="22"/>
        </w:rPr>
        <w:t>ederscentrale als promotor, waarbij de verschillende overheden de handen in elkaar sloegen om dit initiatief</w:t>
      </w:r>
      <w:r w:rsidR="00A07272" w:rsidRPr="00971817">
        <w:rPr>
          <w:sz w:val="22"/>
          <w:szCs w:val="22"/>
        </w:rPr>
        <w:t xml:space="preserve"> financieel</w:t>
      </w:r>
      <w:r w:rsidRPr="00971817">
        <w:rPr>
          <w:sz w:val="22"/>
          <w:szCs w:val="22"/>
        </w:rPr>
        <w:t xml:space="preserve"> haalbaar te maken</w:t>
      </w:r>
      <w:r w:rsidR="00A07272" w:rsidRPr="00971817">
        <w:rPr>
          <w:sz w:val="22"/>
          <w:szCs w:val="22"/>
        </w:rPr>
        <w:t>.</w:t>
      </w:r>
      <w:r w:rsidRPr="00971817">
        <w:rPr>
          <w:sz w:val="22"/>
          <w:szCs w:val="22"/>
        </w:rPr>
        <w:t xml:space="preserve"> Ik benadruk hierbij dat een dergelijke collectieve aanpak tot voorbeeld mag en moet dienen voor toekomstige analoge initiatieven.</w:t>
      </w:r>
    </w:p>
    <w:p w:rsidR="0055309A" w:rsidRPr="00971817" w:rsidRDefault="0055309A" w:rsidP="00971817">
      <w:pPr>
        <w:jc w:val="both"/>
        <w:rPr>
          <w:sz w:val="22"/>
          <w:szCs w:val="22"/>
        </w:rPr>
      </w:pPr>
    </w:p>
    <w:p w:rsidR="00F00F4E" w:rsidRDefault="00F00F4E" w:rsidP="00971817">
      <w:pPr>
        <w:pStyle w:val="Lijstalinea"/>
        <w:numPr>
          <w:ilvl w:val="0"/>
          <w:numId w:val="17"/>
        </w:numPr>
        <w:jc w:val="both"/>
        <w:rPr>
          <w:sz w:val="22"/>
          <w:szCs w:val="22"/>
        </w:rPr>
      </w:pPr>
      <w:r w:rsidRPr="00971817">
        <w:rPr>
          <w:sz w:val="22"/>
          <w:szCs w:val="22"/>
        </w:rPr>
        <w:t>Het project is volledig afgerond. Ik kan u de eindcijfers meegeven.</w:t>
      </w:r>
    </w:p>
    <w:p w:rsidR="005461DD" w:rsidRPr="005461DD" w:rsidRDefault="005461DD" w:rsidP="005461DD">
      <w:pPr>
        <w:jc w:val="both"/>
        <w:rPr>
          <w:sz w:val="22"/>
          <w:szCs w:val="22"/>
        </w:rPr>
      </w:pPr>
    </w:p>
    <w:tbl>
      <w:tblPr>
        <w:tblW w:w="4847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320"/>
        <w:gridCol w:w="1888"/>
        <w:gridCol w:w="1793"/>
        <w:gridCol w:w="1277"/>
      </w:tblGrid>
      <w:tr w:rsidR="005732CD" w:rsidRPr="005732CD" w:rsidTr="005732CD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CD" w:rsidRPr="005732CD" w:rsidRDefault="005732CD" w:rsidP="005732CD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Totale uitgaven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CD" w:rsidRPr="005732CD" w:rsidRDefault="005732CD" w:rsidP="005732CD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Europa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CD" w:rsidRPr="005732CD" w:rsidRDefault="005732CD" w:rsidP="005732CD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Vlaamse overheid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CD" w:rsidRPr="005732CD" w:rsidRDefault="00481D43" w:rsidP="005732CD">
            <w:pPr>
              <w:rPr>
                <w:color w:val="000000"/>
                <w:sz w:val="22"/>
                <w:szCs w:val="22"/>
                <w:lang w:eastAsia="nl-BE"/>
              </w:rPr>
            </w:pPr>
            <w:r>
              <w:rPr>
                <w:color w:val="000000"/>
                <w:sz w:val="22"/>
                <w:szCs w:val="22"/>
                <w:lang w:eastAsia="nl-BE"/>
              </w:rPr>
              <w:t>P</w:t>
            </w:r>
            <w:r w:rsidR="005732CD" w:rsidRPr="005732CD">
              <w:rPr>
                <w:color w:val="000000"/>
                <w:sz w:val="22"/>
                <w:szCs w:val="22"/>
                <w:lang w:eastAsia="nl-BE"/>
              </w:rPr>
              <w:t>rovincie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CD" w:rsidRPr="005732CD" w:rsidRDefault="00481D43" w:rsidP="005732CD">
            <w:pPr>
              <w:rPr>
                <w:color w:val="000000"/>
                <w:sz w:val="22"/>
                <w:szCs w:val="22"/>
                <w:lang w:eastAsia="nl-BE"/>
              </w:rPr>
            </w:pPr>
            <w:r>
              <w:rPr>
                <w:color w:val="000000"/>
                <w:sz w:val="22"/>
                <w:szCs w:val="22"/>
                <w:lang w:eastAsia="nl-BE"/>
              </w:rPr>
              <w:t>S</w:t>
            </w:r>
            <w:r w:rsidR="005732CD" w:rsidRPr="005732CD">
              <w:rPr>
                <w:color w:val="000000"/>
                <w:sz w:val="22"/>
                <w:szCs w:val="22"/>
                <w:lang w:eastAsia="nl-BE"/>
              </w:rPr>
              <w:t>ector</w:t>
            </w:r>
          </w:p>
        </w:tc>
      </w:tr>
      <w:tr w:rsidR="005732CD" w:rsidRPr="005732CD" w:rsidTr="005732CD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CD" w:rsidRPr="005732CD" w:rsidRDefault="005732CD" w:rsidP="005732CD">
            <w:pPr>
              <w:rPr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CD" w:rsidRPr="005732CD" w:rsidRDefault="005732CD" w:rsidP="005732CD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Europees visserijfonds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CD" w:rsidRPr="005732CD" w:rsidRDefault="005732CD" w:rsidP="005732CD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FIVA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CD" w:rsidRPr="005732CD" w:rsidRDefault="005732CD" w:rsidP="005732CD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West-Vlaanderen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2CD" w:rsidRPr="005732CD" w:rsidRDefault="005732CD" w:rsidP="005732CD">
            <w:pPr>
              <w:rPr>
                <w:color w:val="000000"/>
                <w:sz w:val="22"/>
                <w:szCs w:val="22"/>
                <w:lang w:eastAsia="nl-BE"/>
              </w:rPr>
            </w:pPr>
          </w:p>
        </w:tc>
      </w:tr>
      <w:tr w:rsidR="005732CD" w:rsidRPr="005732CD" w:rsidTr="005732CD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387.560,00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161.224,96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130.413,94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35.000,00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60.921,10</w:t>
            </w:r>
          </w:p>
        </w:tc>
      </w:tr>
      <w:tr w:rsidR="005732CD" w:rsidRPr="005732CD" w:rsidTr="005732CD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100%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42%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34%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9%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CD" w:rsidRPr="005732CD" w:rsidRDefault="005732CD" w:rsidP="00481D43">
            <w:pPr>
              <w:rPr>
                <w:color w:val="000000"/>
                <w:sz w:val="22"/>
                <w:szCs w:val="22"/>
                <w:lang w:eastAsia="nl-BE"/>
              </w:rPr>
            </w:pPr>
            <w:r w:rsidRPr="005732CD">
              <w:rPr>
                <w:color w:val="000000"/>
                <w:sz w:val="22"/>
                <w:szCs w:val="22"/>
                <w:lang w:eastAsia="nl-BE"/>
              </w:rPr>
              <w:t>16%</w:t>
            </w:r>
          </w:p>
        </w:tc>
      </w:tr>
    </w:tbl>
    <w:p w:rsidR="00971817" w:rsidRPr="00971817" w:rsidRDefault="00971817" w:rsidP="00971817">
      <w:pPr>
        <w:jc w:val="both"/>
        <w:rPr>
          <w:sz w:val="22"/>
          <w:szCs w:val="22"/>
          <w:lang w:eastAsia="en-US"/>
        </w:rPr>
      </w:pPr>
    </w:p>
    <w:p w:rsidR="00F00F4E" w:rsidRPr="00971817" w:rsidRDefault="00F00F4E" w:rsidP="00971817">
      <w:pPr>
        <w:pStyle w:val="Lijstalinea"/>
        <w:numPr>
          <w:ilvl w:val="0"/>
          <w:numId w:val="17"/>
        </w:numPr>
        <w:jc w:val="both"/>
        <w:rPr>
          <w:sz w:val="22"/>
          <w:szCs w:val="22"/>
        </w:rPr>
      </w:pPr>
      <w:r w:rsidRPr="00971817">
        <w:rPr>
          <w:sz w:val="22"/>
          <w:szCs w:val="22"/>
        </w:rPr>
        <w:t xml:space="preserve">In totaal werden 69 schepen uitgerust met het MOB-systeem. </w:t>
      </w:r>
      <w:r w:rsidR="00A07272" w:rsidRPr="00971817">
        <w:rPr>
          <w:sz w:val="22"/>
          <w:szCs w:val="22"/>
        </w:rPr>
        <w:t xml:space="preserve">Met </w:t>
      </w:r>
      <w:r w:rsidRPr="00971817">
        <w:rPr>
          <w:sz w:val="22"/>
          <w:szCs w:val="22"/>
        </w:rPr>
        <w:t xml:space="preserve">een toepassingsgraad van 95% </w:t>
      </w:r>
      <w:r w:rsidR="00A87809" w:rsidRPr="00971817">
        <w:rPr>
          <w:sz w:val="22"/>
          <w:szCs w:val="22"/>
        </w:rPr>
        <w:t xml:space="preserve">van </w:t>
      </w:r>
      <w:r w:rsidR="004201CF" w:rsidRPr="00971817">
        <w:rPr>
          <w:sz w:val="22"/>
          <w:szCs w:val="22"/>
        </w:rPr>
        <w:t>het potentieel aantal vaartuige</w:t>
      </w:r>
      <w:r w:rsidR="00A87809" w:rsidRPr="00971817">
        <w:rPr>
          <w:sz w:val="22"/>
          <w:szCs w:val="22"/>
        </w:rPr>
        <w:t>n</w:t>
      </w:r>
      <w:r w:rsidR="004201CF" w:rsidRPr="00971817">
        <w:rPr>
          <w:sz w:val="22"/>
          <w:szCs w:val="22"/>
        </w:rPr>
        <w:t xml:space="preserve"> dat in aanme</w:t>
      </w:r>
      <w:r w:rsidR="00A87809" w:rsidRPr="00971817">
        <w:rPr>
          <w:sz w:val="22"/>
          <w:szCs w:val="22"/>
        </w:rPr>
        <w:t>r</w:t>
      </w:r>
      <w:r w:rsidR="004201CF" w:rsidRPr="00971817">
        <w:rPr>
          <w:sz w:val="22"/>
          <w:szCs w:val="22"/>
        </w:rPr>
        <w:t xml:space="preserve">king kon komen, </w:t>
      </w:r>
      <w:r w:rsidRPr="00971817">
        <w:rPr>
          <w:sz w:val="22"/>
          <w:szCs w:val="22"/>
        </w:rPr>
        <w:t xml:space="preserve">via één globaal project is </w:t>
      </w:r>
      <w:r w:rsidR="00A07272" w:rsidRPr="00971817">
        <w:rPr>
          <w:sz w:val="22"/>
          <w:szCs w:val="22"/>
        </w:rPr>
        <w:t xml:space="preserve">dit </w:t>
      </w:r>
      <w:r w:rsidRPr="00971817">
        <w:rPr>
          <w:sz w:val="22"/>
          <w:szCs w:val="22"/>
        </w:rPr>
        <w:t>een succes</w:t>
      </w:r>
      <w:r w:rsidR="00971817" w:rsidRPr="00971817">
        <w:rPr>
          <w:sz w:val="22"/>
          <w:szCs w:val="22"/>
        </w:rPr>
        <w:t>.</w:t>
      </w:r>
    </w:p>
    <w:p w:rsidR="00971817" w:rsidRPr="00971817" w:rsidRDefault="00971817" w:rsidP="00971817">
      <w:pPr>
        <w:jc w:val="both"/>
        <w:rPr>
          <w:sz w:val="22"/>
          <w:szCs w:val="22"/>
        </w:rPr>
      </w:pPr>
    </w:p>
    <w:p w:rsidR="00F00F4E" w:rsidRPr="00971817" w:rsidRDefault="00F00F4E" w:rsidP="00971817">
      <w:pPr>
        <w:pStyle w:val="Lijstalinea"/>
        <w:numPr>
          <w:ilvl w:val="0"/>
          <w:numId w:val="17"/>
        </w:numPr>
        <w:jc w:val="both"/>
        <w:rPr>
          <w:sz w:val="22"/>
          <w:szCs w:val="22"/>
        </w:rPr>
      </w:pPr>
      <w:r w:rsidRPr="00971817">
        <w:rPr>
          <w:sz w:val="22"/>
          <w:szCs w:val="22"/>
        </w:rPr>
        <w:t>Een analoge collectieve actie voor de uitrusting van de vissersschepen met een Automatic identif</w:t>
      </w:r>
      <w:r w:rsidRPr="00971817">
        <w:rPr>
          <w:sz w:val="22"/>
          <w:szCs w:val="22"/>
        </w:rPr>
        <w:t>i</w:t>
      </w:r>
      <w:r w:rsidRPr="00971817">
        <w:rPr>
          <w:sz w:val="22"/>
          <w:szCs w:val="22"/>
        </w:rPr>
        <w:t xml:space="preserve">cation </w:t>
      </w:r>
      <w:r w:rsidR="004201CF" w:rsidRPr="00971817">
        <w:rPr>
          <w:sz w:val="22"/>
          <w:szCs w:val="22"/>
        </w:rPr>
        <w:t>System (AIS) zit in de pijplijn</w:t>
      </w:r>
      <w:r w:rsidRPr="00971817">
        <w:rPr>
          <w:sz w:val="22"/>
          <w:szCs w:val="22"/>
        </w:rPr>
        <w:t>. Dit betreft een technologie die automatisch informatie van en de interactie tussen de schepen weergeeft zoals snelheid, koers, tussenafstand of kruisende vaarroutes</w:t>
      </w:r>
      <w:r w:rsidR="00A07272" w:rsidRPr="00971817">
        <w:rPr>
          <w:sz w:val="22"/>
          <w:szCs w:val="22"/>
        </w:rPr>
        <w:t xml:space="preserve"> waardoor aanvaringen vermeden kunnen worden</w:t>
      </w:r>
      <w:r w:rsidRPr="00971817">
        <w:rPr>
          <w:sz w:val="22"/>
          <w:szCs w:val="22"/>
        </w:rPr>
        <w:t>.</w:t>
      </w:r>
    </w:p>
    <w:p w:rsidR="00F00F4E" w:rsidRPr="00971817" w:rsidRDefault="00F00F4E" w:rsidP="00971817">
      <w:pPr>
        <w:ind w:left="360"/>
        <w:jc w:val="both"/>
        <w:rPr>
          <w:sz w:val="22"/>
          <w:szCs w:val="22"/>
        </w:rPr>
      </w:pPr>
      <w:r w:rsidRPr="00971817">
        <w:rPr>
          <w:sz w:val="22"/>
          <w:szCs w:val="22"/>
        </w:rPr>
        <w:t>Daarnaast zijn investeringen in veiligheidsmaatregelen of-uitrustingen zowel voor de schepen als de bemanning steeds mogelijk via individuele dossiers</w:t>
      </w:r>
      <w:r w:rsidR="00A07272" w:rsidRPr="00971817">
        <w:rPr>
          <w:sz w:val="22"/>
          <w:szCs w:val="22"/>
        </w:rPr>
        <w:t xml:space="preserve">, zij het met een lager steunpercentage, nl. </w:t>
      </w:r>
      <w:r w:rsidRPr="00971817">
        <w:rPr>
          <w:sz w:val="22"/>
          <w:szCs w:val="22"/>
        </w:rPr>
        <w:t>30%.</w:t>
      </w:r>
      <w:bookmarkStart w:id="0" w:name="_GoBack"/>
      <w:bookmarkEnd w:id="0"/>
    </w:p>
    <w:sectPr w:rsidR="00F00F4E" w:rsidRPr="00971817" w:rsidSect="002A3D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C5" w:rsidRDefault="00576EC5">
      <w:r>
        <w:separator/>
      </w:r>
    </w:p>
  </w:endnote>
  <w:endnote w:type="continuationSeparator" w:id="0">
    <w:p w:rsidR="00576EC5" w:rsidRDefault="0057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C5" w:rsidRDefault="00576EC5">
      <w:r>
        <w:separator/>
      </w:r>
    </w:p>
  </w:footnote>
  <w:footnote w:type="continuationSeparator" w:id="0">
    <w:p w:rsidR="00576EC5" w:rsidRDefault="0057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25"/>
    <w:multiLevelType w:val="hybridMultilevel"/>
    <w:tmpl w:val="1BBC3F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B036D"/>
    <w:multiLevelType w:val="hybridMultilevel"/>
    <w:tmpl w:val="EFD8E3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765A3"/>
    <w:multiLevelType w:val="hybridMultilevel"/>
    <w:tmpl w:val="B56804B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24AE"/>
    <w:multiLevelType w:val="hybridMultilevel"/>
    <w:tmpl w:val="DC7C28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961F45"/>
    <w:multiLevelType w:val="hybridMultilevel"/>
    <w:tmpl w:val="66A4119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A0F37"/>
    <w:multiLevelType w:val="hybridMultilevel"/>
    <w:tmpl w:val="D1F426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E1510"/>
    <w:multiLevelType w:val="hybridMultilevel"/>
    <w:tmpl w:val="F146D352"/>
    <w:lvl w:ilvl="0" w:tplc="37AABC58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59FC"/>
    <w:multiLevelType w:val="hybridMultilevel"/>
    <w:tmpl w:val="EDF44D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14D0"/>
    <w:multiLevelType w:val="hybridMultilevel"/>
    <w:tmpl w:val="6C3EEB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4626D"/>
    <w:multiLevelType w:val="hybridMultilevel"/>
    <w:tmpl w:val="F4BA1FB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3100F6"/>
    <w:multiLevelType w:val="hybridMultilevel"/>
    <w:tmpl w:val="EFD8E3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BF47DB"/>
    <w:multiLevelType w:val="hybridMultilevel"/>
    <w:tmpl w:val="A90495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F4733"/>
    <w:multiLevelType w:val="hybridMultilevel"/>
    <w:tmpl w:val="57BC187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C6F0D"/>
    <w:multiLevelType w:val="hybridMultilevel"/>
    <w:tmpl w:val="2982B89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5AC2"/>
    <w:multiLevelType w:val="hybridMultilevel"/>
    <w:tmpl w:val="66A4119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7350E0"/>
    <w:multiLevelType w:val="hybridMultilevel"/>
    <w:tmpl w:val="E2DA69E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44"/>
    <w:rsid w:val="00010B84"/>
    <w:rsid w:val="00052D43"/>
    <w:rsid w:val="0008597D"/>
    <w:rsid w:val="000C6B7E"/>
    <w:rsid w:val="00102476"/>
    <w:rsid w:val="001058E4"/>
    <w:rsid w:val="001561C9"/>
    <w:rsid w:val="0016148B"/>
    <w:rsid w:val="001755B2"/>
    <w:rsid w:val="001A4E37"/>
    <w:rsid w:val="001C0B52"/>
    <w:rsid w:val="001D50C6"/>
    <w:rsid w:val="001F713E"/>
    <w:rsid w:val="00202FA9"/>
    <w:rsid w:val="002536A1"/>
    <w:rsid w:val="002A3DB7"/>
    <w:rsid w:val="002B65A3"/>
    <w:rsid w:val="002D0AFA"/>
    <w:rsid w:val="002F1544"/>
    <w:rsid w:val="00321F10"/>
    <w:rsid w:val="0032261D"/>
    <w:rsid w:val="00323AF3"/>
    <w:rsid w:val="0034616F"/>
    <w:rsid w:val="003750D5"/>
    <w:rsid w:val="00385537"/>
    <w:rsid w:val="0039205C"/>
    <w:rsid w:val="003B6A5C"/>
    <w:rsid w:val="003D30E7"/>
    <w:rsid w:val="003E1D00"/>
    <w:rsid w:val="003F26A5"/>
    <w:rsid w:val="004201CF"/>
    <w:rsid w:val="00423F29"/>
    <w:rsid w:val="004256C0"/>
    <w:rsid w:val="0045175F"/>
    <w:rsid w:val="0046761C"/>
    <w:rsid w:val="0047032B"/>
    <w:rsid w:val="00472C97"/>
    <w:rsid w:val="00477EB3"/>
    <w:rsid w:val="00481D43"/>
    <w:rsid w:val="004A56C3"/>
    <w:rsid w:val="004D21E2"/>
    <w:rsid w:val="004D72DE"/>
    <w:rsid w:val="004E6593"/>
    <w:rsid w:val="004F3708"/>
    <w:rsid w:val="00512E83"/>
    <w:rsid w:val="00540203"/>
    <w:rsid w:val="00540740"/>
    <w:rsid w:val="005461DD"/>
    <w:rsid w:val="0055309A"/>
    <w:rsid w:val="00560124"/>
    <w:rsid w:val="005732CD"/>
    <w:rsid w:val="00576EC5"/>
    <w:rsid w:val="00593BF0"/>
    <w:rsid w:val="005B3194"/>
    <w:rsid w:val="005C4A55"/>
    <w:rsid w:val="005F6244"/>
    <w:rsid w:val="006006F5"/>
    <w:rsid w:val="00631B7B"/>
    <w:rsid w:val="006A5A3E"/>
    <w:rsid w:val="006F445E"/>
    <w:rsid w:val="00723B3F"/>
    <w:rsid w:val="007408E7"/>
    <w:rsid w:val="00763872"/>
    <w:rsid w:val="00766C70"/>
    <w:rsid w:val="00791588"/>
    <w:rsid w:val="007A44E9"/>
    <w:rsid w:val="007B2DE5"/>
    <w:rsid w:val="00842183"/>
    <w:rsid w:val="0085615A"/>
    <w:rsid w:val="00867AAA"/>
    <w:rsid w:val="008A6DA3"/>
    <w:rsid w:val="008E3430"/>
    <w:rsid w:val="008E7442"/>
    <w:rsid w:val="009511C4"/>
    <w:rsid w:val="00971817"/>
    <w:rsid w:val="00995A04"/>
    <w:rsid w:val="00995F79"/>
    <w:rsid w:val="009A6335"/>
    <w:rsid w:val="00A07272"/>
    <w:rsid w:val="00A31FE6"/>
    <w:rsid w:val="00A440FE"/>
    <w:rsid w:val="00A44E80"/>
    <w:rsid w:val="00A7046A"/>
    <w:rsid w:val="00A8473D"/>
    <w:rsid w:val="00A87809"/>
    <w:rsid w:val="00AD549A"/>
    <w:rsid w:val="00AF47B6"/>
    <w:rsid w:val="00AF7FF4"/>
    <w:rsid w:val="00B16D19"/>
    <w:rsid w:val="00B82A3E"/>
    <w:rsid w:val="00BA5463"/>
    <w:rsid w:val="00BB2A82"/>
    <w:rsid w:val="00BB38B7"/>
    <w:rsid w:val="00BB6E27"/>
    <w:rsid w:val="00BE315B"/>
    <w:rsid w:val="00C625C9"/>
    <w:rsid w:val="00C764B4"/>
    <w:rsid w:val="00C952CE"/>
    <w:rsid w:val="00CD724D"/>
    <w:rsid w:val="00CE2DB2"/>
    <w:rsid w:val="00CE5C0A"/>
    <w:rsid w:val="00D10A53"/>
    <w:rsid w:val="00D27407"/>
    <w:rsid w:val="00D34048"/>
    <w:rsid w:val="00D44CA5"/>
    <w:rsid w:val="00D51B65"/>
    <w:rsid w:val="00D5568D"/>
    <w:rsid w:val="00D61A12"/>
    <w:rsid w:val="00D67BAF"/>
    <w:rsid w:val="00D904F5"/>
    <w:rsid w:val="00DA3A9B"/>
    <w:rsid w:val="00DE405B"/>
    <w:rsid w:val="00DF2BBA"/>
    <w:rsid w:val="00E666FA"/>
    <w:rsid w:val="00E839E8"/>
    <w:rsid w:val="00EB0A62"/>
    <w:rsid w:val="00EF4015"/>
    <w:rsid w:val="00F00F4E"/>
    <w:rsid w:val="00F24F72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A3DB7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2A3DB7"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A3DB7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A3DB7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2A3DB7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2A3DB7"/>
  </w:style>
  <w:style w:type="paragraph" w:styleId="Inhopg1">
    <w:name w:val="toc 1"/>
    <w:basedOn w:val="Standaard"/>
    <w:next w:val="Standaard"/>
    <w:autoRedefine/>
    <w:semiHidden/>
    <w:rsid w:val="002A3DB7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2A3DB7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2A3DB7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2A3DB7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2A3DB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2A3DB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2A3DB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character" w:customStyle="1" w:styleId="st">
    <w:name w:val="st"/>
    <w:rsid w:val="005C4A55"/>
  </w:style>
  <w:style w:type="paragraph" w:styleId="Ballontekst">
    <w:name w:val="Balloon Text"/>
    <w:basedOn w:val="Standaard"/>
    <w:link w:val="BallontekstChar"/>
    <w:rsid w:val="005C4A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C4A5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character" w:customStyle="1" w:styleId="st">
    <w:name w:val="st"/>
    <w:rsid w:val="005C4A55"/>
  </w:style>
  <w:style w:type="paragraph" w:styleId="Ballontekst">
    <w:name w:val="Balloon Text"/>
    <w:basedOn w:val="Standaard"/>
    <w:link w:val="BallontekstChar"/>
    <w:rsid w:val="005C4A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C4A5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6B37-A3F5-4C99-8373-9CE9044F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6</cp:revision>
  <cp:lastPrinted>2012-12-03T11:00:00Z</cp:lastPrinted>
  <dcterms:created xsi:type="dcterms:W3CDTF">2012-11-23T10:35:00Z</dcterms:created>
  <dcterms:modified xsi:type="dcterms:W3CDTF">2012-12-17T12:57:00Z</dcterms:modified>
</cp:coreProperties>
</file>