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DE5283">
        <w:rPr>
          <w:b w:val="0"/>
        </w:rPr>
        <w:t>83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DE5283">
        <w:rPr>
          <w:b w:val="0"/>
        </w:rPr>
        <w:t>16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proofErr w:type="spellStart"/>
      <w:r w:rsidR="00B403ED">
        <w:rPr>
          <w:rStyle w:val="AntwoordNaamMinisterChar"/>
        </w:rPr>
        <w:t>j</w:t>
      </w:r>
      <w:r w:rsidR="00527DA4">
        <w:rPr>
          <w:rStyle w:val="AntwoordNaamMinisterChar"/>
        </w:rPr>
        <w:t>ohan</w:t>
      </w:r>
      <w:proofErr w:type="spellEnd"/>
      <w:r w:rsidR="00527DA4">
        <w:rPr>
          <w:rStyle w:val="AntwoordNaamMinisterChar"/>
        </w:rPr>
        <w:t xml:space="preserve"> </w:t>
      </w:r>
      <w:r w:rsidR="00B403ED">
        <w:rPr>
          <w:rStyle w:val="AntwoordNaamMinisterChar"/>
        </w:rPr>
        <w:t>v</w:t>
      </w:r>
      <w:r w:rsidR="00527DA4">
        <w:rPr>
          <w:rStyle w:val="AntwoordNaamMinisterChar"/>
        </w:rPr>
        <w:t>erstreken</w:t>
      </w:r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7DA4" w:rsidRPr="00BB47BE" w:rsidRDefault="00BB47BE" w:rsidP="00527DA4">
      <w:pPr>
        <w:pStyle w:val="StandaardSV"/>
        <w:numPr>
          <w:ilvl w:val="0"/>
          <w:numId w:val="1"/>
        </w:numPr>
        <w:rPr>
          <w:szCs w:val="22"/>
        </w:rPr>
      </w:pPr>
      <w:bookmarkStart w:id="6" w:name="_GoBack"/>
      <w:bookmarkEnd w:id="6"/>
      <w:r>
        <w:lastRenderedPageBreak/>
        <w:t>Bijgevoegde tabel geeft een overzicht van de bezoekersaantallen sinds 2008, uitgedrukt in overnachtingscijfers:</w:t>
      </w:r>
    </w:p>
    <w:p w:rsidR="00BB47BE" w:rsidRPr="00BB47BE" w:rsidRDefault="00BB47BE" w:rsidP="00BB47BE">
      <w:pPr>
        <w:pStyle w:val="StandaardSV"/>
        <w:ind w:left="360"/>
        <w:rPr>
          <w:szCs w:val="22"/>
        </w:rPr>
      </w:pPr>
    </w:p>
    <w:tbl>
      <w:tblPr>
        <w:tblStyle w:val="Klassieketabel1"/>
        <w:tblW w:w="2213" w:type="pct"/>
        <w:tblInd w:w="534" w:type="dxa"/>
        <w:tblLook w:val="00A0" w:firstRow="1" w:lastRow="0" w:firstColumn="1" w:lastColumn="0" w:noHBand="0" w:noVBand="0"/>
      </w:tblPr>
      <w:tblGrid>
        <w:gridCol w:w="992"/>
        <w:gridCol w:w="3119"/>
      </w:tblGrid>
      <w:tr w:rsidR="00BB47BE" w:rsidRPr="00D53E87" w:rsidTr="00DE5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:rsidR="00BB47BE" w:rsidRPr="00BB47BE" w:rsidRDefault="00BB47BE" w:rsidP="00407C56">
            <w:pPr>
              <w:pStyle w:val="StandaardSV"/>
              <w:rPr>
                <w:i w:val="0"/>
              </w:rPr>
            </w:pPr>
            <w:r w:rsidRPr="00BB47BE">
              <w:rPr>
                <w:i w:val="0"/>
              </w:rPr>
              <w:t>Jaar</w:t>
            </w:r>
          </w:p>
        </w:tc>
        <w:tc>
          <w:tcPr>
            <w:tcW w:w="3793" w:type="pct"/>
          </w:tcPr>
          <w:p w:rsidR="00BB47BE" w:rsidRPr="00BB47BE" w:rsidRDefault="00BB47BE" w:rsidP="00BB47BE">
            <w:pPr>
              <w:pStyle w:val="StandaardS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BB47BE">
              <w:rPr>
                <w:i w:val="0"/>
              </w:rPr>
              <w:t>Aantal overnachtingen</w:t>
            </w:r>
          </w:p>
        </w:tc>
      </w:tr>
      <w:tr w:rsidR="00BB47BE" w:rsidRPr="00D53E87" w:rsidTr="00DE5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:rsidR="00BB47BE" w:rsidRPr="00D53E87" w:rsidRDefault="00BB47BE" w:rsidP="00407C56">
            <w:pPr>
              <w:pStyle w:val="StandaardSV"/>
            </w:pPr>
            <w:r w:rsidRPr="00D53E87">
              <w:t>2008</w:t>
            </w:r>
          </w:p>
        </w:tc>
        <w:tc>
          <w:tcPr>
            <w:tcW w:w="3793" w:type="pct"/>
          </w:tcPr>
          <w:p w:rsidR="00BB47BE" w:rsidRPr="00D53E87" w:rsidRDefault="00DE5283" w:rsidP="00BB47BE">
            <w:pPr>
              <w:pStyle w:val="StandaardS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BB47BE" w:rsidRPr="00D53E87">
              <w:t>9040</w:t>
            </w:r>
          </w:p>
        </w:tc>
      </w:tr>
      <w:tr w:rsidR="00BB47BE" w:rsidRPr="00D53E87" w:rsidTr="00DE5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:rsidR="00BB47BE" w:rsidRPr="00D53E87" w:rsidRDefault="00BB47BE" w:rsidP="00407C56">
            <w:pPr>
              <w:pStyle w:val="StandaardSV"/>
            </w:pPr>
            <w:r w:rsidRPr="00D53E87">
              <w:t>2009</w:t>
            </w:r>
          </w:p>
        </w:tc>
        <w:tc>
          <w:tcPr>
            <w:tcW w:w="3793" w:type="pct"/>
          </w:tcPr>
          <w:p w:rsidR="00BB47BE" w:rsidRPr="00D53E87" w:rsidRDefault="00DE5283" w:rsidP="00BB47BE">
            <w:pPr>
              <w:pStyle w:val="StandaardS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BB47BE" w:rsidRPr="00D53E87">
              <w:t>9165</w:t>
            </w:r>
          </w:p>
        </w:tc>
      </w:tr>
      <w:tr w:rsidR="00BB47BE" w:rsidRPr="00D53E87" w:rsidTr="00DE5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:rsidR="00BB47BE" w:rsidRPr="00D53E87" w:rsidRDefault="00BB47BE" w:rsidP="00407C56">
            <w:pPr>
              <w:pStyle w:val="StandaardSV"/>
            </w:pPr>
            <w:r w:rsidRPr="00D53E87">
              <w:t>2010</w:t>
            </w:r>
          </w:p>
        </w:tc>
        <w:tc>
          <w:tcPr>
            <w:tcW w:w="3793" w:type="pct"/>
          </w:tcPr>
          <w:p w:rsidR="00BB47BE" w:rsidRPr="00D53E87" w:rsidRDefault="00DE5283" w:rsidP="00BB47BE">
            <w:pPr>
              <w:pStyle w:val="StandaardS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BB47BE" w:rsidRPr="00D53E87">
              <w:t>8515</w:t>
            </w:r>
          </w:p>
        </w:tc>
      </w:tr>
      <w:tr w:rsidR="00BB47BE" w:rsidRPr="00D53E87" w:rsidTr="00DE5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:rsidR="00BB47BE" w:rsidRPr="00D53E87" w:rsidRDefault="00BB47BE" w:rsidP="00407C56">
            <w:pPr>
              <w:pStyle w:val="StandaardSV"/>
            </w:pPr>
            <w:r w:rsidRPr="00D53E87">
              <w:t>2011</w:t>
            </w:r>
          </w:p>
        </w:tc>
        <w:tc>
          <w:tcPr>
            <w:tcW w:w="3793" w:type="pct"/>
          </w:tcPr>
          <w:p w:rsidR="00BB47BE" w:rsidRPr="00D53E87" w:rsidRDefault="00BB47BE" w:rsidP="00BB47BE">
            <w:pPr>
              <w:pStyle w:val="StandaardS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10209</w:t>
            </w:r>
          </w:p>
        </w:tc>
      </w:tr>
    </w:tbl>
    <w:p w:rsidR="00BB47BE" w:rsidRPr="00BB47BE" w:rsidRDefault="00BB47BE" w:rsidP="00BB47BE">
      <w:pPr>
        <w:pStyle w:val="StandaardSV"/>
        <w:ind w:left="360"/>
        <w:rPr>
          <w:szCs w:val="22"/>
        </w:rPr>
      </w:pPr>
    </w:p>
    <w:p w:rsidR="002B0834" w:rsidRPr="00BB47BE" w:rsidRDefault="00BB47BE" w:rsidP="00B37D7B">
      <w:pPr>
        <w:pStyle w:val="StandaardSV"/>
        <w:numPr>
          <w:ilvl w:val="0"/>
          <w:numId w:val="1"/>
        </w:numPr>
        <w:rPr>
          <w:szCs w:val="22"/>
        </w:rPr>
      </w:pPr>
      <w:r>
        <w:t xml:space="preserve">Bijgevoegde tabel geeft een overzicht van de inkomsten en uitgaven sinds 2008 zoals die door de vzw Volkstoerisme, uitbater van het centrum, </w:t>
      </w:r>
      <w:r w:rsidR="00696390">
        <w:t>zijn</w:t>
      </w:r>
      <w:r>
        <w:t xml:space="preserve"> aangeleverd:</w:t>
      </w:r>
    </w:p>
    <w:p w:rsidR="00BB47BE" w:rsidRPr="00BB47BE" w:rsidRDefault="00BB47BE" w:rsidP="00BB47BE">
      <w:pPr>
        <w:pStyle w:val="StandaardSV"/>
        <w:ind w:left="360"/>
        <w:rPr>
          <w:szCs w:val="22"/>
        </w:rPr>
      </w:pPr>
    </w:p>
    <w:tbl>
      <w:tblPr>
        <w:tblStyle w:val="Klassieketabel1"/>
        <w:tblW w:w="8511" w:type="dxa"/>
        <w:tblInd w:w="534" w:type="dxa"/>
        <w:tblLook w:val="04A0" w:firstRow="1" w:lastRow="0" w:firstColumn="1" w:lastColumn="0" w:noHBand="0" w:noVBand="1"/>
      </w:tblPr>
      <w:tblGrid>
        <w:gridCol w:w="3160"/>
        <w:gridCol w:w="1234"/>
        <w:gridCol w:w="1134"/>
        <w:gridCol w:w="1298"/>
        <w:gridCol w:w="1685"/>
      </w:tblGrid>
      <w:tr w:rsidR="00BB47BE" w:rsidRPr="00BB47BE" w:rsidTr="0047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B47BE" w:rsidRPr="00DE5283" w:rsidRDefault="00BB47BE" w:rsidP="00407C56">
            <w:pPr>
              <w:pStyle w:val="StandaardSV"/>
              <w:rPr>
                <w:bCs/>
                <w:i w:val="0"/>
                <w:lang w:val="nl-BE"/>
              </w:rPr>
            </w:pPr>
            <w:r w:rsidRPr="00DE5283">
              <w:rPr>
                <w:bCs/>
                <w:i w:val="0"/>
                <w:lang w:val="nl-BE"/>
              </w:rPr>
              <w:t>Jaar</w:t>
            </w:r>
          </w:p>
        </w:tc>
        <w:tc>
          <w:tcPr>
            <w:tcW w:w="1234" w:type="dxa"/>
            <w:noWrap/>
            <w:hideMark/>
          </w:tcPr>
          <w:p w:rsidR="00BB47BE" w:rsidRPr="00DE5283" w:rsidRDefault="00BB47BE" w:rsidP="00BB47BE">
            <w:pPr>
              <w:pStyle w:val="StandaardS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lang w:val="nl-BE"/>
              </w:rPr>
            </w:pPr>
            <w:r w:rsidRPr="00DE5283">
              <w:rPr>
                <w:bCs/>
                <w:i w:val="0"/>
                <w:lang w:val="nl-BE"/>
              </w:rPr>
              <w:t>2008</w:t>
            </w:r>
          </w:p>
        </w:tc>
        <w:tc>
          <w:tcPr>
            <w:tcW w:w="1134" w:type="dxa"/>
            <w:noWrap/>
            <w:hideMark/>
          </w:tcPr>
          <w:p w:rsidR="00BB47BE" w:rsidRPr="00DE5283" w:rsidRDefault="00BB47BE" w:rsidP="00BB47BE">
            <w:pPr>
              <w:pStyle w:val="StandaardS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lang w:val="nl-BE"/>
              </w:rPr>
            </w:pPr>
            <w:r w:rsidRPr="00DE5283">
              <w:rPr>
                <w:bCs/>
                <w:i w:val="0"/>
                <w:lang w:val="nl-BE"/>
              </w:rPr>
              <w:t>2009</w:t>
            </w:r>
          </w:p>
        </w:tc>
        <w:tc>
          <w:tcPr>
            <w:tcW w:w="1298" w:type="dxa"/>
            <w:noWrap/>
            <w:hideMark/>
          </w:tcPr>
          <w:p w:rsidR="00BB47BE" w:rsidRPr="00DE5283" w:rsidRDefault="00BB47BE" w:rsidP="00BB47BE">
            <w:pPr>
              <w:pStyle w:val="StandaardS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lang w:val="nl-BE"/>
              </w:rPr>
            </w:pPr>
            <w:r w:rsidRPr="00DE5283">
              <w:rPr>
                <w:bCs/>
                <w:i w:val="0"/>
                <w:lang w:val="nl-BE"/>
              </w:rPr>
              <w:t>2010</w:t>
            </w:r>
          </w:p>
        </w:tc>
        <w:tc>
          <w:tcPr>
            <w:tcW w:w="1685" w:type="dxa"/>
            <w:noWrap/>
            <w:hideMark/>
          </w:tcPr>
          <w:p w:rsidR="00BB47BE" w:rsidRPr="00DE5283" w:rsidRDefault="00BB47BE" w:rsidP="00BB47BE">
            <w:pPr>
              <w:pStyle w:val="StandaardS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lang w:val="nl-BE"/>
              </w:rPr>
            </w:pPr>
            <w:r w:rsidRPr="00DE5283">
              <w:rPr>
                <w:bCs/>
                <w:i w:val="0"/>
                <w:lang w:val="nl-BE"/>
              </w:rPr>
              <w:t>2011</w:t>
            </w:r>
          </w:p>
        </w:tc>
      </w:tr>
      <w:tr w:rsidR="00BB47BE" w:rsidRPr="00BB47BE" w:rsidTr="004707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B47BE" w:rsidRPr="00DE5283" w:rsidRDefault="00BB47BE" w:rsidP="00407C56">
            <w:pPr>
              <w:pStyle w:val="StandaardSV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Totaal bedrijfsopbrengsten</w:t>
            </w:r>
          </w:p>
        </w:tc>
        <w:tc>
          <w:tcPr>
            <w:tcW w:w="1234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373.634</w:t>
            </w:r>
          </w:p>
        </w:tc>
        <w:tc>
          <w:tcPr>
            <w:tcW w:w="1134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353.272</w:t>
            </w:r>
          </w:p>
        </w:tc>
        <w:tc>
          <w:tcPr>
            <w:tcW w:w="1298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329.871</w:t>
            </w:r>
          </w:p>
        </w:tc>
        <w:tc>
          <w:tcPr>
            <w:tcW w:w="1685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381.700,59</w:t>
            </w:r>
          </w:p>
        </w:tc>
      </w:tr>
      <w:tr w:rsidR="00BB47BE" w:rsidRPr="00BB47BE" w:rsidTr="004707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B47BE" w:rsidRPr="00DE5283" w:rsidRDefault="00BB47BE" w:rsidP="00407C56">
            <w:pPr>
              <w:pStyle w:val="StandaardSV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Totaal bedrijfskosten</w:t>
            </w:r>
          </w:p>
        </w:tc>
        <w:tc>
          <w:tcPr>
            <w:tcW w:w="1234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-312.730</w:t>
            </w:r>
          </w:p>
        </w:tc>
        <w:tc>
          <w:tcPr>
            <w:tcW w:w="1134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-323.190</w:t>
            </w:r>
          </w:p>
        </w:tc>
        <w:tc>
          <w:tcPr>
            <w:tcW w:w="1298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-397.500</w:t>
            </w:r>
          </w:p>
        </w:tc>
        <w:tc>
          <w:tcPr>
            <w:tcW w:w="1685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-407.984,94</w:t>
            </w:r>
          </w:p>
        </w:tc>
      </w:tr>
      <w:tr w:rsidR="00BB47BE" w:rsidRPr="00BB47BE" w:rsidTr="004707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B47BE" w:rsidRPr="00DE5283" w:rsidRDefault="00BB47BE" w:rsidP="00407C56">
            <w:pPr>
              <w:pStyle w:val="StandaardSV"/>
              <w:rPr>
                <w:bCs/>
                <w:lang w:val="nl-BE"/>
              </w:rPr>
            </w:pPr>
            <w:r w:rsidRPr="00DE5283">
              <w:rPr>
                <w:bCs/>
                <w:lang w:val="nl-BE"/>
              </w:rPr>
              <w:t>Bedrijfsresultaat</w:t>
            </w:r>
          </w:p>
        </w:tc>
        <w:tc>
          <w:tcPr>
            <w:tcW w:w="1234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DE5283">
              <w:rPr>
                <w:lang w:val="nl-BE"/>
              </w:rPr>
              <w:t>60.904</w:t>
            </w:r>
          </w:p>
        </w:tc>
        <w:tc>
          <w:tcPr>
            <w:tcW w:w="1134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DE5283">
              <w:rPr>
                <w:lang w:val="nl-BE"/>
              </w:rPr>
              <w:t>30.082</w:t>
            </w:r>
          </w:p>
        </w:tc>
        <w:tc>
          <w:tcPr>
            <w:tcW w:w="1298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DE5283">
              <w:rPr>
                <w:lang w:val="nl-BE"/>
              </w:rPr>
              <w:t>-67.630</w:t>
            </w:r>
          </w:p>
        </w:tc>
        <w:tc>
          <w:tcPr>
            <w:tcW w:w="1685" w:type="dxa"/>
            <w:noWrap/>
            <w:hideMark/>
          </w:tcPr>
          <w:p w:rsidR="00BB47BE" w:rsidRPr="00DE5283" w:rsidRDefault="00BB47BE" w:rsidP="00D346D9">
            <w:pPr>
              <w:pStyle w:val="StandaardSV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DE5283">
              <w:rPr>
                <w:lang w:val="nl-BE"/>
              </w:rPr>
              <w:t>-26.284,35</w:t>
            </w:r>
          </w:p>
        </w:tc>
      </w:tr>
    </w:tbl>
    <w:p w:rsidR="00527DA4" w:rsidRDefault="00527DA4" w:rsidP="00527DA4">
      <w:pPr>
        <w:pStyle w:val="Lijstalinea"/>
        <w:rPr>
          <w:szCs w:val="22"/>
        </w:rPr>
      </w:pPr>
    </w:p>
    <w:p w:rsidR="00D346D9" w:rsidRDefault="00D346D9" w:rsidP="00D346D9">
      <w:pPr>
        <w:pStyle w:val="StandaardSV"/>
        <w:numPr>
          <w:ilvl w:val="0"/>
          <w:numId w:val="1"/>
        </w:numPr>
      </w:pPr>
      <w:proofErr w:type="spellStart"/>
      <w:r w:rsidRPr="009B2B1A">
        <w:t>Peace</w:t>
      </w:r>
      <w:proofErr w:type="spellEnd"/>
      <w:r w:rsidRPr="009B2B1A">
        <w:t xml:space="preserve"> </w:t>
      </w:r>
      <w:proofErr w:type="spellStart"/>
      <w:r w:rsidRPr="009B2B1A">
        <w:t>Village</w:t>
      </w:r>
      <w:proofErr w:type="spellEnd"/>
      <w:r w:rsidRPr="009B2B1A">
        <w:t xml:space="preserve"> kende een moeilijke doorstart en het resultaat van 2010 viel tegen. Maar 2011 bracht beterschap, zowel in overnachtingen als financieel. Het verlies uit 2010 </w:t>
      </w:r>
      <w:r w:rsidR="00696390">
        <w:t>is</w:t>
      </w:r>
      <w:r>
        <w:t xml:space="preserve"> </w:t>
      </w:r>
      <w:r w:rsidR="00E72ED9">
        <w:t>in 2011 gehalveerd. Het aantal overnachtingen stijgt</w:t>
      </w:r>
      <w:r w:rsidRPr="009B2B1A">
        <w:t xml:space="preserve"> intussen verder en voor 2012 </w:t>
      </w:r>
      <w:r>
        <w:t xml:space="preserve">worden </w:t>
      </w:r>
      <w:r w:rsidRPr="009B2B1A">
        <w:t>12</w:t>
      </w:r>
      <w:r>
        <w:t>.</w:t>
      </w:r>
      <w:r w:rsidRPr="009B2B1A">
        <w:t>500 overnachtingen en een financieel exploitatieresultaat in de buurt van break even</w:t>
      </w:r>
      <w:r w:rsidR="00E72ED9" w:rsidRPr="00E72ED9">
        <w:t xml:space="preserve"> </w:t>
      </w:r>
      <w:r w:rsidR="00E72ED9">
        <w:t>verwacht</w:t>
      </w:r>
      <w:r w:rsidRPr="009B2B1A">
        <w:t xml:space="preserve">. Intussen lopen de boekingen en opties goed en zal het aantal overnachtingen in 2013 hoger liggen dan in 2012. </w:t>
      </w:r>
      <w:proofErr w:type="spellStart"/>
      <w:r w:rsidRPr="009B2B1A">
        <w:t>Peace</w:t>
      </w:r>
      <w:proofErr w:type="spellEnd"/>
      <w:r w:rsidRPr="009B2B1A">
        <w:t xml:space="preserve"> </w:t>
      </w:r>
      <w:proofErr w:type="spellStart"/>
      <w:r w:rsidRPr="009B2B1A">
        <w:t>Village</w:t>
      </w:r>
      <w:proofErr w:type="spellEnd"/>
      <w:r w:rsidRPr="009B2B1A">
        <w:t xml:space="preserve"> wil 14.500 overnachtingen realiseren in 2013 en een gezond financieel resultaat neer</w:t>
      </w:r>
      <w:r w:rsidR="00AA3354">
        <w:t>zetten</w:t>
      </w:r>
      <w:r w:rsidRPr="009B2B1A">
        <w:t>.</w:t>
      </w:r>
    </w:p>
    <w:p w:rsidR="00DE5283" w:rsidRDefault="00DE5283" w:rsidP="00DE5283">
      <w:pPr>
        <w:pStyle w:val="StandaardSV"/>
      </w:pPr>
    </w:p>
    <w:p w:rsidR="00D346D9" w:rsidRPr="00D346D9" w:rsidRDefault="00D346D9" w:rsidP="00DE5283">
      <w:pPr>
        <w:ind w:left="360"/>
        <w:jc w:val="both"/>
        <w:rPr>
          <w:szCs w:val="20"/>
        </w:rPr>
      </w:pPr>
      <w:r w:rsidRPr="00D346D9">
        <w:rPr>
          <w:szCs w:val="20"/>
        </w:rPr>
        <w:t xml:space="preserve">Het is duidelijk dat men zich inzet en actie onderneemt om het centrum te verbeteren en een verblijf aantrekkelijker te maken. Het actieplan voor de 2012-2015 omvat onder meer: </w:t>
      </w:r>
    </w:p>
    <w:p w:rsidR="00D346D9" w:rsidRPr="00D346D9" w:rsidRDefault="00D346D9" w:rsidP="00DE5283">
      <w:pPr>
        <w:numPr>
          <w:ilvl w:val="0"/>
          <w:numId w:val="10"/>
        </w:numPr>
        <w:jc w:val="both"/>
        <w:rPr>
          <w:szCs w:val="22"/>
        </w:rPr>
      </w:pPr>
      <w:r w:rsidRPr="00D346D9">
        <w:rPr>
          <w:szCs w:val="22"/>
        </w:rPr>
        <w:t>verbeteren accommodatie: diversifiëring kamers (upgrade bepaalde kamers voor de chauffeurs en begeleiders), centrum winterbestendig maken, verder investeren in aankleding;</w:t>
      </w:r>
    </w:p>
    <w:p w:rsidR="00D346D9" w:rsidRPr="00D346D9" w:rsidRDefault="00D346D9" w:rsidP="00DE5283">
      <w:pPr>
        <w:numPr>
          <w:ilvl w:val="0"/>
          <w:numId w:val="10"/>
        </w:numPr>
        <w:jc w:val="both"/>
        <w:rPr>
          <w:szCs w:val="22"/>
        </w:rPr>
      </w:pPr>
      <w:r w:rsidRPr="00D346D9">
        <w:rPr>
          <w:szCs w:val="22"/>
        </w:rPr>
        <w:t>productontwikkeling: arrangementen op maat</w:t>
      </w:r>
      <w:r w:rsidR="00696390">
        <w:rPr>
          <w:szCs w:val="22"/>
        </w:rPr>
        <w:t>;</w:t>
      </w:r>
    </w:p>
    <w:p w:rsidR="00D346D9" w:rsidRDefault="00D346D9" w:rsidP="00DE5283">
      <w:pPr>
        <w:numPr>
          <w:ilvl w:val="0"/>
          <w:numId w:val="10"/>
        </w:numPr>
        <w:jc w:val="both"/>
        <w:rPr>
          <w:szCs w:val="22"/>
        </w:rPr>
      </w:pPr>
      <w:r w:rsidRPr="00D346D9">
        <w:rPr>
          <w:szCs w:val="22"/>
        </w:rPr>
        <w:t xml:space="preserve">imago en promotie opvoeren, </w:t>
      </w:r>
      <w:proofErr w:type="spellStart"/>
      <w:r w:rsidRPr="00D346D9">
        <w:rPr>
          <w:szCs w:val="22"/>
        </w:rPr>
        <w:t>service-concept</w:t>
      </w:r>
      <w:proofErr w:type="spellEnd"/>
      <w:r w:rsidRPr="00D346D9">
        <w:rPr>
          <w:szCs w:val="22"/>
        </w:rPr>
        <w:t xml:space="preserve"> verder </w:t>
      </w:r>
      <w:r>
        <w:rPr>
          <w:szCs w:val="22"/>
        </w:rPr>
        <w:t xml:space="preserve">ontwikkelen, een nieuwe website, </w:t>
      </w:r>
      <w:r w:rsidRPr="00D346D9">
        <w:rPr>
          <w:szCs w:val="22"/>
        </w:rPr>
        <w:t>evenementen herdenking WOI</w:t>
      </w:r>
      <w:r w:rsidR="00696390">
        <w:rPr>
          <w:szCs w:val="22"/>
        </w:rPr>
        <w:t>.</w:t>
      </w:r>
    </w:p>
    <w:p w:rsidR="00DE5283" w:rsidRDefault="00DE5283" w:rsidP="00DE5283">
      <w:pPr>
        <w:jc w:val="both"/>
        <w:rPr>
          <w:szCs w:val="22"/>
        </w:rPr>
      </w:pPr>
    </w:p>
    <w:p w:rsidR="00D346D9" w:rsidRPr="00D346D9" w:rsidRDefault="00D346D9" w:rsidP="00DE5283">
      <w:pPr>
        <w:ind w:left="360"/>
        <w:jc w:val="both"/>
        <w:rPr>
          <w:szCs w:val="22"/>
        </w:rPr>
      </w:pPr>
      <w:proofErr w:type="spellStart"/>
      <w:r w:rsidRPr="009B2B1A">
        <w:t>Peace</w:t>
      </w:r>
      <w:proofErr w:type="spellEnd"/>
      <w:r w:rsidRPr="009B2B1A">
        <w:t xml:space="preserve"> </w:t>
      </w:r>
      <w:proofErr w:type="spellStart"/>
      <w:r w:rsidRPr="009B2B1A">
        <w:t>Village</w:t>
      </w:r>
      <w:proofErr w:type="spellEnd"/>
      <w:r w:rsidRPr="009B2B1A">
        <w:t xml:space="preserve"> is en blijft een perfecte uitvalsbasis om de regio  te verkennen, </w:t>
      </w:r>
      <w:r w:rsidR="00696390">
        <w:t>vooral</w:t>
      </w:r>
      <w:r w:rsidRPr="009B2B1A">
        <w:t xml:space="preserve"> dan</w:t>
      </w:r>
      <w:r w:rsidR="00AA3354">
        <w:t xml:space="preserve">kzij de prominente historische </w:t>
      </w:r>
      <w:r w:rsidR="00756E3E">
        <w:t>band</w:t>
      </w:r>
      <w:r w:rsidRPr="009B2B1A">
        <w:t xml:space="preserve"> met WO I. </w:t>
      </w:r>
      <w:r>
        <w:t>T</w:t>
      </w:r>
      <w:r w:rsidRPr="009B2B1A">
        <w:t xml:space="preserve">ijdens de herdenking van 100 jaar Groote Oorlog zal </w:t>
      </w:r>
      <w:proofErr w:type="spellStart"/>
      <w:r w:rsidRPr="009B2B1A">
        <w:t>Peace</w:t>
      </w:r>
      <w:proofErr w:type="spellEnd"/>
      <w:r w:rsidRPr="009B2B1A">
        <w:t xml:space="preserve"> </w:t>
      </w:r>
      <w:proofErr w:type="spellStart"/>
      <w:r w:rsidRPr="009B2B1A">
        <w:t>Village</w:t>
      </w:r>
      <w:proofErr w:type="spellEnd"/>
      <w:r w:rsidRPr="009B2B1A">
        <w:t xml:space="preserve"> voluit zijn troeven kunnen uitspelen.</w:t>
      </w:r>
    </w:p>
    <w:sectPr w:rsidR="00D346D9" w:rsidRPr="00D346D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2E" w:rsidRDefault="0064512E">
      <w:r>
        <w:separator/>
      </w:r>
    </w:p>
  </w:endnote>
  <w:endnote w:type="continuationSeparator" w:id="0">
    <w:p w:rsidR="0064512E" w:rsidRDefault="0064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2E" w:rsidRDefault="0064512E">
      <w:r>
        <w:separator/>
      </w:r>
    </w:p>
  </w:footnote>
  <w:footnote w:type="continuationSeparator" w:id="0">
    <w:p w:rsidR="0064512E" w:rsidRDefault="0064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5433EE"/>
    <w:multiLevelType w:val="hybridMultilevel"/>
    <w:tmpl w:val="EF7064FE"/>
    <w:lvl w:ilvl="0" w:tplc="300EE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D35FF"/>
    <w:multiLevelType w:val="hybridMultilevel"/>
    <w:tmpl w:val="6B5E88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70B8F"/>
    <w:multiLevelType w:val="hybridMultilevel"/>
    <w:tmpl w:val="7EDC5B88"/>
    <w:lvl w:ilvl="0" w:tplc="7832B9DA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243B2"/>
    <w:rsid w:val="00031C40"/>
    <w:rsid w:val="000403BF"/>
    <w:rsid w:val="000448F4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869D3"/>
    <w:rsid w:val="0019567F"/>
    <w:rsid w:val="001B61ED"/>
    <w:rsid w:val="001B76AC"/>
    <w:rsid w:val="001C55D2"/>
    <w:rsid w:val="001D784D"/>
    <w:rsid w:val="001E5A78"/>
    <w:rsid w:val="001E63BB"/>
    <w:rsid w:val="001E6B0E"/>
    <w:rsid w:val="001E6DA5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705B1"/>
    <w:rsid w:val="00285C81"/>
    <w:rsid w:val="0029723F"/>
    <w:rsid w:val="002B0834"/>
    <w:rsid w:val="002C7413"/>
    <w:rsid w:val="002C78BA"/>
    <w:rsid w:val="002D0961"/>
    <w:rsid w:val="002D3F82"/>
    <w:rsid w:val="002D6121"/>
    <w:rsid w:val="002E334A"/>
    <w:rsid w:val="002E396C"/>
    <w:rsid w:val="002F38C6"/>
    <w:rsid w:val="002F46A1"/>
    <w:rsid w:val="00304569"/>
    <w:rsid w:val="003132A0"/>
    <w:rsid w:val="00315001"/>
    <w:rsid w:val="00326A58"/>
    <w:rsid w:val="00333C39"/>
    <w:rsid w:val="00342BC6"/>
    <w:rsid w:val="003461DE"/>
    <w:rsid w:val="00366B1F"/>
    <w:rsid w:val="003711EC"/>
    <w:rsid w:val="00371984"/>
    <w:rsid w:val="00373BEA"/>
    <w:rsid w:val="00375168"/>
    <w:rsid w:val="00391972"/>
    <w:rsid w:val="003B5469"/>
    <w:rsid w:val="003C3ED2"/>
    <w:rsid w:val="003C6A43"/>
    <w:rsid w:val="003E0094"/>
    <w:rsid w:val="003F709F"/>
    <w:rsid w:val="00406670"/>
    <w:rsid w:val="00406A4D"/>
    <w:rsid w:val="0041026D"/>
    <w:rsid w:val="00412950"/>
    <w:rsid w:val="00424502"/>
    <w:rsid w:val="00461E41"/>
    <w:rsid w:val="004638E2"/>
    <w:rsid w:val="0047074A"/>
    <w:rsid w:val="00484469"/>
    <w:rsid w:val="00485A09"/>
    <w:rsid w:val="0048775A"/>
    <w:rsid w:val="004941F7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DA4"/>
    <w:rsid w:val="00527E0E"/>
    <w:rsid w:val="00531979"/>
    <w:rsid w:val="00535B85"/>
    <w:rsid w:val="0054576D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4B6D"/>
    <w:rsid w:val="005853B7"/>
    <w:rsid w:val="00592B90"/>
    <w:rsid w:val="0059456C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610F13"/>
    <w:rsid w:val="00613D17"/>
    <w:rsid w:val="00613E21"/>
    <w:rsid w:val="0062463B"/>
    <w:rsid w:val="00637F78"/>
    <w:rsid w:val="00642AC4"/>
    <w:rsid w:val="0064512E"/>
    <w:rsid w:val="00645EDD"/>
    <w:rsid w:val="0064605E"/>
    <w:rsid w:val="00646AA0"/>
    <w:rsid w:val="006548DD"/>
    <w:rsid w:val="00671767"/>
    <w:rsid w:val="0067189C"/>
    <w:rsid w:val="00682F3A"/>
    <w:rsid w:val="00692B1C"/>
    <w:rsid w:val="00696390"/>
    <w:rsid w:val="006C0DF4"/>
    <w:rsid w:val="006C0FEE"/>
    <w:rsid w:val="006C641C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7995"/>
    <w:rsid w:val="0071248C"/>
    <w:rsid w:val="007252C7"/>
    <w:rsid w:val="00734A85"/>
    <w:rsid w:val="007365DA"/>
    <w:rsid w:val="00742D4F"/>
    <w:rsid w:val="0074541D"/>
    <w:rsid w:val="00747F3F"/>
    <w:rsid w:val="00756E3E"/>
    <w:rsid w:val="00773138"/>
    <w:rsid w:val="00775CF3"/>
    <w:rsid w:val="007861BC"/>
    <w:rsid w:val="00787592"/>
    <w:rsid w:val="00793D26"/>
    <w:rsid w:val="007C2C73"/>
    <w:rsid w:val="007C3014"/>
    <w:rsid w:val="007D29F6"/>
    <w:rsid w:val="007D3002"/>
    <w:rsid w:val="007D4E00"/>
    <w:rsid w:val="007D7D60"/>
    <w:rsid w:val="007E0E5D"/>
    <w:rsid w:val="007E16C6"/>
    <w:rsid w:val="007F5BC8"/>
    <w:rsid w:val="007F65FA"/>
    <w:rsid w:val="0080548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E11"/>
    <w:rsid w:val="00872F56"/>
    <w:rsid w:val="0088458A"/>
    <w:rsid w:val="00894185"/>
    <w:rsid w:val="00894770"/>
    <w:rsid w:val="008A305C"/>
    <w:rsid w:val="008A34EC"/>
    <w:rsid w:val="008A713D"/>
    <w:rsid w:val="008C3D4B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953C6"/>
    <w:rsid w:val="00996ECB"/>
    <w:rsid w:val="009A2FDC"/>
    <w:rsid w:val="009B3E6F"/>
    <w:rsid w:val="009B6A44"/>
    <w:rsid w:val="009C439D"/>
    <w:rsid w:val="009C7A54"/>
    <w:rsid w:val="009C7B30"/>
    <w:rsid w:val="009D7043"/>
    <w:rsid w:val="009D7369"/>
    <w:rsid w:val="009F00F9"/>
    <w:rsid w:val="009F1CC5"/>
    <w:rsid w:val="00A04D95"/>
    <w:rsid w:val="00A07AE6"/>
    <w:rsid w:val="00A135C1"/>
    <w:rsid w:val="00A25C2F"/>
    <w:rsid w:val="00A27E88"/>
    <w:rsid w:val="00A361CF"/>
    <w:rsid w:val="00A41BCA"/>
    <w:rsid w:val="00A470F3"/>
    <w:rsid w:val="00A479FD"/>
    <w:rsid w:val="00A56CDA"/>
    <w:rsid w:val="00A73D40"/>
    <w:rsid w:val="00A76A4C"/>
    <w:rsid w:val="00A807D6"/>
    <w:rsid w:val="00A877E7"/>
    <w:rsid w:val="00A91BB3"/>
    <w:rsid w:val="00AA3354"/>
    <w:rsid w:val="00AB46B8"/>
    <w:rsid w:val="00AB48C1"/>
    <w:rsid w:val="00AC484C"/>
    <w:rsid w:val="00AD3A29"/>
    <w:rsid w:val="00AD477F"/>
    <w:rsid w:val="00AD7A5B"/>
    <w:rsid w:val="00AF2D67"/>
    <w:rsid w:val="00AF7580"/>
    <w:rsid w:val="00B0000C"/>
    <w:rsid w:val="00B06082"/>
    <w:rsid w:val="00B33AD0"/>
    <w:rsid w:val="00B34997"/>
    <w:rsid w:val="00B37D7B"/>
    <w:rsid w:val="00B403ED"/>
    <w:rsid w:val="00B40912"/>
    <w:rsid w:val="00B42AF6"/>
    <w:rsid w:val="00B45EB2"/>
    <w:rsid w:val="00B50384"/>
    <w:rsid w:val="00B505AF"/>
    <w:rsid w:val="00B60664"/>
    <w:rsid w:val="00B653A2"/>
    <w:rsid w:val="00B90711"/>
    <w:rsid w:val="00BA0D4F"/>
    <w:rsid w:val="00BA26D9"/>
    <w:rsid w:val="00BA76D6"/>
    <w:rsid w:val="00BB3ADD"/>
    <w:rsid w:val="00BB47BE"/>
    <w:rsid w:val="00BC105D"/>
    <w:rsid w:val="00BD6F25"/>
    <w:rsid w:val="00BE2C24"/>
    <w:rsid w:val="00BE425A"/>
    <w:rsid w:val="00BE6454"/>
    <w:rsid w:val="00BE7B34"/>
    <w:rsid w:val="00BF1F16"/>
    <w:rsid w:val="00C00966"/>
    <w:rsid w:val="00C02222"/>
    <w:rsid w:val="00C02A91"/>
    <w:rsid w:val="00C1095C"/>
    <w:rsid w:val="00C12807"/>
    <w:rsid w:val="00C24155"/>
    <w:rsid w:val="00C30866"/>
    <w:rsid w:val="00C40677"/>
    <w:rsid w:val="00C52465"/>
    <w:rsid w:val="00C535FE"/>
    <w:rsid w:val="00C55B7E"/>
    <w:rsid w:val="00C65734"/>
    <w:rsid w:val="00C67261"/>
    <w:rsid w:val="00C712A2"/>
    <w:rsid w:val="00C9473C"/>
    <w:rsid w:val="00C964B9"/>
    <w:rsid w:val="00C96BD8"/>
    <w:rsid w:val="00CA594C"/>
    <w:rsid w:val="00CB0C2F"/>
    <w:rsid w:val="00CD222C"/>
    <w:rsid w:val="00CD2A42"/>
    <w:rsid w:val="00CD2E4F"/>
    <w:rsid w:val="00CD5304"/>
    <w:rsid w:val="00CE717D"/>
    <w:rsid w:val="00CE7D75"/>
    <w:rsid w:val="00CF00AE"/>
    <w:rsid w:val="00CF14B9"/>
    <w:rsid w:val="00CF553F"/>
    <w:rsid w:val="00CF5911"/>
    <w:rsid w:val="00CF7C6E"/>
    <w:rsid w:val="00D026E6"/>
    <w:rsid w:val="00D21176"/>
    <w:rsid w:val="00D23853"/>
    <w:rsid w:val="00D346D9"/>
    <w:rsid w:val="00D417DE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E5283"/>
    <w:rsid w:val="00DF4E20"/>
    <w:rsid w:val="00DF7000"/>
    <w:rsid w:val="00DF775C"/>
    <w:rsid w:val="00E12C7C"/>
    <w:rsid w:val="00E24FEB"/>
    <w:rsid w:val="00E305F4"/>
    <w:rsid w:val="00E32F42"/>
    <w:rsid w:val="00E363C8"/>
    <w:rsid w:val="00E46293"/>
    <w:rsid w:val="00E4729B"/>
    <w:rsid w:val="00E55200"/>
    <w:rsid w:val="00E60E54"/>
    <w:rsid w:val="00E65401"/>
    <w:rsid w:val="00E7043B"/>
    <w:rsid w:val="00E707E2"/>
    <w:rsid w:val="00E72ED9"/>
    <w:rsid w:val="00E73AF7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22D6"/>
    <w:rsid w:val="00EF5E92"/>
    <w:rsid w:val="00F23443"/>
    <w:rsid w:val="00F24D7F"/>
    <w:rsid w:val="00F257E9"/>
    <w:rsid w:val="00F40A31"/>
    <w:rsid w:val="00F410BE"/>
    <w:rsid w:val="00F43CFD"/>
    <w:rsid w:val="00F5760D"/>
    <w:rsid w:val="00F60320"/>
    <w:rsid w:val="00F8193A"/>
    <w:rsid w:val="00F90996"/>
    <w:rsid w:val="00F9739A"/>
    <w:rsid w:val="00FA29D6"/>
    <w:rsid w:val="00FA3510"/>
    <w:rsid w:val="00FB3B9C"/>
    <w:rsid w:val="00FC0E1E"/>
    <w:rsid w:val="00FC1A38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12</TotalTime>
  <Pages>1</Pages>
  <Words>296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6</cp:revision>
  <cp:lastPrinted>2012-11-27T11:12:00Z</cp:lastPrinted>
  <dcterms:created xsi:type="dcterms:W3CDTF">2012-11-27T11:16:00Z</dcterms:created>
  <dcterms:modified xsi:type="dcterms:W3CDTF">2012-12-03T09:21:00Z</dcterms:modified>
</cp:coreProperties>
</file>