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645C10">
        <w:rPr>
          <w:szCs w:val="22"/>
        </w:rPr>
        <w:t>jo vandeurzen</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EA7456">
        <w:rPr>
          <w:b w:val="0"/>
        </w:rPr>
        <w:t>480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EA7456">
        <w:rPr>
          <w:b w:val="0"/>
        </w:rPr>
        <w:t>21</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7C3518">
        <w:rPr>
          <w:rStyle w:val="AntwoordNaamMinisterChar"/>
        </w:rPr>
        <w:t>m</w:t>
      </w:r>
      <w:r w:rsidR="00EA7456">
        <w:rPr>
          <w:rStyle w:val="AntwoordNaamMinisterChar"/>
        </w:rPr>
        <w:t xml:space="preserve">ark </w:t>
      </w:r>
      <w:r w:rsidR="007C3518">
        <w:rPr>
          <w:rStyle w:val="AntwoordNaamMinisterChar"/>
        </w:rPr>
        <w:t>d</w:t>
      </w:r>
      <w:r w:rsidR="00EA7456">
        <w:rPr>
          <w:rStyle w:val="AntwoordNaamMinisterChar"/>
        </w:rPr>
        <w:t>emesmaeker</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EA7456" w:rsidRPr="00E72884" w:rsidRDefault="00EA7456" w:rsidP="00EA7456">
      <w:pPr>
        <w:pStyle w:val="StandaardSV"/>
        <w:numPr>
          <w:ilvl w:val="0"/>
          <w:numId w:val="16"/>
        </w:numPr>
      </w:pPr>
      <w:r>
        <w:lastRenderedPageBreak/>
        <w:t xml:space="preserve">Sinds de opstart van het Taalmeldpunt in juni vorig jaar werden veertig meldingen geregistreerd. Het betreffen hier </w:t>
      </w:r>
      <w:r w:rsidRPr="00E72884">
        <w:t xml:space="preserve">het aantal relevante, geregistreerde meldingen van een klacht over het taalgebruik. Hiermee wordt geen uitspraak gedaan over de </w:t>
      </w:r>
      <w:r>
        <w:t xml:space="preserve">(juridische) </w:t>
      </w:r>
      <w:r w:rsidRPr="00E72884">
        <w:t>gegrondheid van de klacht.</w:t>
      </w:r>
    </w:p>
    <w:p w:rsidR="00EA7456" w:rsidRDefault="00EA7456" w:rsidP="006454B2">
      <w:pPr>
        <w:jc w:val="both"/>
        <w:rPr>
          <w:b/>
          <w:smallCaps/>
          <w:szCs w:val="22"/>
          <w:u w:val="single"/>
          <w:lang w:val="nl-BE"/>
        </w:rPr>
      </w:pP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5"/>
        <w:gridCol w:w="960"/>
      </w:tblGrid>
      <w:tr w:rsidR="00EA7456" w:rsidRPr="00E72884" w:rsidTr="00EA7456">
        <w:trPr>
          <w:trHeight w:val="300"/>
          <w:jc w:val="center"/>
        </w:trPr>
        <w:tc>
          <w:tcPr>
            <w:tcW w:w="6415" w:type="dxa"/>
            <w:shd w:val="clear" w:color="auto" w:fill="auto"/>
            <w:noWrap/>
            <w:vAlign w:val="bottom"/>
            <w:hideMark/>
          </w:tcPr>
          <w:p w:rsidR="00EA7456" w:rsidRPr="00E72884" w:rsidRDefault="00EA7456" w:rsidP="00EA7456">
            <w:pPr>
              <w:rPr>
                <w:b/>
                <w:color w:val="000000"/>
                <w:lang w:eastAsia="nl-BE"/>
              </w:rPr>
            </w:pPr>
            <w:r w:rsidRPr="00E72884">
              <w:rPr>
                <w:b/>
                <w:color w:val="000000"/>
                <w:lang w:eastAsia="nl-BE"/>
              </w:rPr>
              <w:t>Ziekenhuis, dienst 100 of MUG</w:t>
            </w:r>
          </w:p>
        </w:tc>
        <w:tc>
          <w:tcPr>
            <w:tcW w:w="960" w:type="dxa"/>
            <w:shd w:val="clear" w:color="auto" w:fill="auto"/>
            <w:noWrap/>
            <w:vAlign w:val="bottom"/>
            <w:hideMark/>
          </w:tcPr>
          <w:p w:rsidR="00EA7456" w:rsidRPr="00E72884" w:rsidRDefault="00EA7456" w:rsidP="00EA7456">
            <w:pPr>
              <w:jc w:val="right"/>
              <w:rPr>
                <w:b/>
                <w:color w:val="000000"/>
                <w:lang w:eastAsia="nl-BE"/>
              </w:rPr>
            </w:pPr>
            <w:r w:rsidRPr="00E72884">
              <w:rPr>
                <w:b/>
                <w:color w:val="000000"/>
                <w:lang w:eastAsia="nl-BE"/>
              </w:rPr>
              <w:t>Aantal</w:t>
            </w:r>
          </w:p>
        </w:tc>
      </w:tr>
      <w:tr w:rsidR="00EA7456" w:rsidRPr="008C2E04" w:rsidTr="00EA7456">
        <w:trPr>
          <w:trHeight w:val="300"/>
          <w:jc w:val="center"/>
        </w:trPr>
        <w:tc>
          <w:tcPr>
            <w:tcW w:w="6415" w:type="dxa"/>
            <w:shd w:val="clear" w:color="auto" w:fill="auto"/>
            <w:noWrap/>
            <w:vAlign w:val="bottom"/>
            <w:hideMark/>
          </w:tcPr>
          <w:p w:rsidR="00EA7456" w:rsidRPr="008C2E04" w:rsidRDefault="00EA7456" w:rsidP="00EA7456">
            <w:pPr>
              <w:rPr>
                <w:color w:val="000000"/>
                <w:lang w:eastAsia="nl-BE"/>
              </w:rPr>
            </w:pPr>
            <w:r w:rsidRPr="008C2E04">
              <w:rPr>
                <w:color w:val="000000"/>
                <w:lang w:eastAsia="nl-BE"/>
              </w:rPr>
              <w:t>Europa-Ziekenhuizen - St Elisabeth</w:t>
            </w:r>
          </w:p>
        </w:tc>
        <w:tc>
          <w:tcPr>
            <w:tcW w:w="960" w:type="dxa"/>
            <w:shd w:val="clear" w:color="auto" w:fill="auto"/>
            <w:noWrap/>
            <w:vAlign w:val="bottom"/>
            <w:hideMark/>
          </w:tcPr>
          <w:p w:rsidR="00EA7456" w:rsidRPr="008C2E04" w:rsidRDefault="00EA7456" w:rsidP="00EA7456">
            <w:pPr>
              <w:jc w:val="right"/>
              <w:rPr>
                <w:color w:val="000000"/>
                <w:lang w:eastAsia="nl-BE"/>
              </w:rPr>
            </w:pPr>
            <w:r w:rsidRPr="008C2E04">
              <w:rPr>
                <w:color w:val="000000"/>
                <w:lang w:eastAsia="nl-BE"/>
              </w:rPr>
              <w:t>7</w:t>
            </w:r>
          </w:p>
        </w:tc>
      </w:tr>
      <w:tr w:rsidR="00EA7456" w:rsidRPr="008C2E04" w:rsidTr="00EA7456">
        <w:trPr>
          <w:trHeight w:val="300"/>
          <w:jc w:val="center"/>
        </w:trPr>
        <w:tc>
          <w:tcPr>
            <w:tcW w:w="6415" w:type="dxa"/>
            <w:shd w:val="clear" w:color="auto" w:fill="auto"/>
            <w:noWrap/>
            <w:vAlign w:val="bottom"/>
            <w:hideMark/>
          </w:tcPr>
          <w:p w:rsidR="00EA7456" w:rsidRPr="00EA7456" w:rsidRDefault="00EA7456" w:rsidP="00EA7456">
            <w:pPr>
              <w:rPr>
                <w:color w:val="000000"/>
                <w:lang w:val="en-US" w:eastAsia="nl-BE"/>
              </w:rPr>
            </w:pPr>
            <w:r w:rsidRPr="00EA7456">
              <w:rPr>
                <w:color w:val="000000"/>
                <w:lang w:val="en-US" w:eastAsia="nl-BE"/>
              </w:rPr>
              <w:t>UVC Brugmann - Site Victor Horta</w:t>
            </w:r>
          </w:p>
        </w:tc>
        <w:tc>
          <w:tcPr>
            <w:tcW w:w="960" w:type="dxa"/>
            <w:shd w:val="clear" w:color="auto" w:fill="auto"/>
            <w:noWrap/>
            <w:vAlign w:val="bottom"/>
            <w:hideMark/>
          </w:tcPr>
          <w:p w:rsidR="00EA7456" w:rsidRPr="008C2E04" w:rsidRDefault="00EA7456" w:rsidP="00EA7456">
            <w:pPr>
              <w:jc w:val="right"/>
              <w:rPr>
                <w:color w:val="000000"/>
                <w:lang w:eastAsia="nl-BE"/>
              </w:rPr>
            </w:pPr>
            <w:r w:rsidRPr="008C2E04">
              <w:rPr>
                <w:color w:val="000000"/>
                <w:lang w:eastAsia="nl-BE"/>
              </w:rPr>
              <w:t>5</w:t>
            </w:r>
          </w:p>
        </w:tc>
      </w:tr>
      <w:tr w:rsidR="00EA7456" w:rsidRPr="008C2E04" w:rsidTr="00EA7456">
        <w:trPr>
          <w:trHeight w:val="300"/>
          <w:jc w:val="center"/>
        </w:trPr>
        <w:tc>
          <w:tcPr>
            <w:tcW w:w="6415" w:type="dxa"/>
            <w:shd w:val="clear" w:color="auto" w:fill="auto"/>
            <w:noWrap/>
            <w:vAlign w:val="bottom"/>
            <w:hideMark/>
          </w:tcPr>
          <w:p w:rsidR="00EA7456" w:rsidRPr="008C2E04" w:rsidRDefault="00EA7456" w:rsidP="00EA7456">
            <w:pPr>
              <w:rPr>
                <w:color w:val="000000"/>
                <w:lang w:eastAsia="nl-BE"/>
              </w:rPr>
            </w:pPr>
            <w:r w:rsidRPr="008C2E04">
              <w:rPr>
                <w:color w:val="000000"/>
                <w:lang w:eastAsia="nl-BE"/>
              </w:rPr>
              <w:t>UZ St-Luc</w:t>
            </w:r>
          </w:p>
        </w:tc>
        <w:tc>
          <w:tcPr>
            <w:tcW w:w="960" w:type="dxa"/>
            <w:shd w:val="clear" w:color="auto" w:fill="auto"/>
            <w:noWrap/>
            <w:vAlign w:val="bottom"/>
            <w:hideMark/>
          </w:tcPr>
          <w:p w:rsidR="00EA7456" w:rsidRPr="008C2E04" w:rsidRDefault="00EA7456" w:rsidP="00EA7456">
            <w:pPr>
              <w:jc w:val="right"/>
              <w:rPr>
                <w:color w:val="000000"/>
                <w:lang w:eastAsia="nl-BE"/>
              </w:rPr>
            </w:pPr>
            <w:r w:rsidRPr="008C2E04">
              <w:rPr>
                <w:color w:val="000000"/>
                <w:lang w:eastAsia="nl-BE"/>
              </w:rPr>
              <w:t>5</w:t>
            </w:r>
          </w:p>
        </w:tc>
      </w:tr>
      <w:tr w:rsidR="00EA7456" w:rsidRPr="008C2E04" w:rsidTr="00EA7456">
        <w:trPr>
          <w:trHeight w:val="300"/>
          <w:jc w:val="center"/>
        </w:trPr>
        <w:tc>
          <w:tcPr>
            <w:tcW w:w="6415" w:type="dxa"/>
            <w:shd w:val="clear" w:color="auto" w:fill="auto"/>
            <w:noWrap/>
            <w:vAlign w:val="bottom"/>
            <w:hideMark/>
          </w:tcPr>
          <w:p w:rsidR="00EA7456" w:rsidRPr="008C2E04" w:rsidRDefault="00EA7456" w:rsidP="00EA7456">
            <w:pPr>
              <w:rPr>
                <w:color w:val="000000"/>
                <w:lang w:eastAsia="nl-BE"/>
              </w:rPr>
            </w:pPr>
            <w:r w:rsidRPr="008C2E04">
              <w:rPr>
                <w:color w:val="000000"/>
                <w:lang w:eastAsia="nl-BE"/>
              </w:rPr>
              <w:t>Erasmus Ziekenhuis</w:t>
            </w:r>
          </w:p>
        </w:tc>
        <w:tc>
          <w:tcPr>
            <w:tcW w:w="960" w:type="dxa"/>
            <w:shd w:val="clear" w:color="auto" w:fill="auto"/>
            <w:noWrap/>
            <w:vAlign w:val="bottom"/>
            <w:hideMark/>
          </w:tcPr>
          <w:p w:rsidR="00EA7456" w:rsidRPr="008C2E04" w:rsidRDefault="00EA7456" w:rsidP="00EA7456">
            <w:pPr>
              <w:jc w:val="right"/>
              <w:rPr>
                <w:color w:val="000000"/>
                <w:lang w:eastAsia="nl-BE"/>
              </w:rPr>
            </w:pPr>
            <w:r w:rsidRPr="008C2E04">
              <w:rPr>
                <w:color w:val="000000"/>
                <w:lang w:eastAsia="nl-BE"/>
              </w:rPr>
              <w:t>5</w:t>
            </w:r>
          </w:p>
        </w:tc>
      </w:tr>
      <w:tr w:rsidR="00EA7456" w:rsidRPr="008C2E04" w:rsidTr="00EA7456">
        <w:trPr>
          <w:trHeight w:val="300"/>
          <w:jc w:val="center"/>
        </w:trPr>
        <w:tc>
          <w:tcPr>
            <w:tcW w:w="6415" w:type="dxa"/>
            <w:shd w:val="clear" w:color="auto" w:fill="auto"/>
            <w:noWrap/>
            <w:vAlign w:val="bottom"/>
            <w:hideMark/>
          </w:tcPr>
          <w:p w:rsidR="00EA7456" w:rsidRPr="008C2E04" w:rsidRDefault="00EA7456" w:rsidP="00EA7456">
            <w:pPr>
              <w:rPr>
                <w:color w:val="000000"/>
                <w:lang w:eastAsia="nl-BE"/>
              </w:rPr>
            </w:pPr>
            <w:r w:rsidRPr="008C2E04">
              <w:rPr>
                <w:color w:val="000000"/>
                <w:lang w:eastAsia="nl-BE"/>
              </w:rPr>
              <w:t>UZ Brussel</w:t>
            </w:r>
          </w:p>
        </w:tc>
        <w:tc>
          <w:tcPr>
            <w:tcW w:w="960" w:type="dxa"/>
            <w:shd w:val="clear" w:color="auto" w:fill="auto"/>
            <w:noWrap/>
            <w:vAlign w:val="bottom"/>
            <w:hideMark/>
          </w:tcPr>
          <w:p w:rsidR="00EA7456" w:rsidRPr="008C2E04" w:rsidRDefault="00EA7456" w:rsidP="00EA7456">
            <w:pPr>
              <w:jc w:val="right"/>
              <w:rPr>
                <w:color w:val="000000"/>
                <w:lang w:eastAsia="nl-BE"/>
              </w:rPr>
            </w:pPr>
            <w:r w:rsidRPr="008C2E04">
              <w:rPr>
                <w:color w:val="000000"/>
                <w:lang w:eastAsia="nl-BE"/>
              </w:rPr>
              <w:t>2</w:t>
            </w:r>
          </w:p>
        </w:tc>
      </w:tr>
      <w:tr w:rsidR="00EA7456" w:rsidRPr="008C2E04" w:rsidTr="00EA7456">
        <w:trPr>
          <w:trHeight w:val="300"/>
          <w:jc w:val="center"/>
        </w:trPr>
        <w:tc>
          <w:tcPr>
            <w:tcW w:w="6415" w:type="dxa"/>
            <w:shd w:val="clear" w:color="auto" w:fill="auto"/>
            <w:noWrap/>
            <w:vAlign w:val="bottom"/>
            <w:hideMark/>
          </w:tcPr>
          <w:p w:rsidR="00EA7456" w:rsidRPr="008C2E04" w:rsidRDefault="00EA7456" w:rsidP="00EA7456">
            <w:pPr>
              <w:rPr>
                <w:color w:val="000000"/>
                <w:lang w:eastAsia="nl-BE"/>
              </w:rPr>
            </w:pPr>
            <w:r w:rsidRPr="008C2E04">
              <w:rPr>
                <w:color w:val="000000"/>
                <w:lang w:eastAsia="nl-BE"/>
              </w:rPr>
              <w:t>Chirec - Park Leopold</w:t>
            </w:r>
          </w:p>
        </w:tc>
        <w:tc>
          <w:tcPr>
            <w:tcW w:w="960" w:type="dxa"/>
            <w:shd w:val="clear" w:color="auto" w:fill="auto"/>
            <w:noWrap/>
            <w:vAlign w:val="bottom"/>
            <w:hideMark/>
          </w:tcPr>
          <w:p w:rsidR="00EA7456" w:rsidRPr="008C2E04" w:rsidRDefault="00EA7456" w:rsidP="00EA7456">
            <w:pPr>
              <w:jc w:val="right"/>
              <w:rPr>
                <w:color w:val="000000"/>
                <w:lang w:eastAsia="nl-BE"/>
              </w:rPr>
            </w:pPr>
            <w:r w:rsidRPr="008C2E04">
              <w:rPr>
                <w:color w:val="000000"/>
                <w:lang w:eastAsia="nl-BE"/>
              </w:rPr>
              <w:t>2</w:t>
            </w:r>
          </w:p>
        </w:tc>
      </w:tr>
      <w:tr w:rsidR="00EA7456" w:rsidRPr="008C2E04" w:rsidTr="00EA7456">
        <w:trPr>
          <w:trHeight w:val="300"/>
          <w:jc w:val="center"/>
        </w:trPr>
        <w:tc>
          <w:tcPr>
            <w:tcW w:w="6415" w:type="dxa"/>
            <w:shd w:val="clear" w:color="auto" w:fill="auto"/>
            <w:noWrap/>
            <w:vAlign w:val="bottom"/>
            <w:hideMark/>
          </w:tcPr>
          <w:p w:rsidR="00EA7456" w:rsidRPr="008C2E04" w:rsidRDefault="00EA7456" w:rsidP="00EA7456">
            <w:pPr>
              <w:rPr>
                <w:color w:val="000000"/>
                <w:lang w:eastAsia="nl-BE"/>
              </w:rPr>
            </w:pPr>
            <w:r w:rsidRPr="008C2E04">
              <w:rPr>
                <w:color w:val="000000"/>
                <w:lang w:eastAsia="nl-BE"/>
              </w:rPr>
              <w:t>Kliniek Sint-Jan</w:t>
            </w:r>
          </w:p>
        </w:tc>
        <w:tc>
          <w:tcPr>
            <w:tcW w:w="960" w:type="dxa"/>
            <w:shd w:val="clear" w:color="auto" w:fill="auto"/>
            <w:noWrap/>
            <w:vAlign w:val="bottom"/>
            <w:hideMark/>
          </w:tcPr>
          <w:p w:rsidR="00EA7456" w:rsidRPr="008C2E04" w:rsidRDefault="00EA7456" w:rsidP="00EA7456">
            <w:pPr>
              <w:jc w:val="right"/>
              <w:rPr>
                <w:color w:val="000000"/>
                <w:lang w:eastAsia="nl-BE"/>
              </w:rPr>
            </w:pPr>
            <w:r w:rsidRPr="008C2E04">
              <w:rPr>
                <w:color w:val="000000"/>
                <w:lang w:eastAsia="nl-BE"/>
              </w:rPr>
              <w:t>2</w:t>
            </w:r>
          </w:p>
        </w:tc>
      </w:tr>
      <w:tr w:rsidR="00EA7456" w:rsidRPr="008C2E04" w:rsidTr="00EA7456">
        <w:trPr>
          <w:trHeight w:val="300"/>
          <w:jc w:val="center"/>
        </w:trPr>
        <w:tc>
          <w:tcPr>
            <w:tcW w:w="6415" w:type="dxa"/>
            <w:shd w:val="clear" w:color="auto" w:fill="auto"/>
            <w:noWrap/>
            <w:vAlign w:val="bottom"/>
            <w:hideMark/>
          </w:tcPr>
          <w:p w:rsidR="00EA7456" w:rsidRPr="008C2E04" w:rsidRDefault="00EA7456" w:rsidP="00EA7456">
            <w:pPr>
              <w:rPr>
                <w:color w:val="000000"/>
                <w:lang w:eastAsia="nl-BE"/>
              </w:rPr>
            </w:pPr>
            <w:r w:rsidRPr="008C2E04">
              <w:rPr>
                <w:color w:val="000000"/>
                <w:lang w:eastAsia="nl-BE"/>
              </w:rPr>
              <w:t>Iris Ziekenhuizen Zuid - Site Joseph Bracops</w:t>
            </w:r>
          </w:p>
        </w:tc>
        <w:tc>
          <w:tcPr>
            <w:tcW w:w="960" w:type="dxa"/>
            <w:shd w:val="clear" w:color="auto" w:fill="auto"/>
            <w:noWrap/>
            <w:vAlign w:val="bottom"/>
            <w:hideMark/>
          </w:tcPr>
          <w:p w:rsidR="00EA7456" w:rsidRPr="008C2E04" w:rsidRDefault="00EA7456" w:rsidP="00EA7456">
            <w:pPr>
              <w:jc w:val="right"/>
              <w:rPr>
                <w:color w:val="000000"/>
                <w:lang w:eastAsia="nl-BE"/>
              </w:rPr>
            </w:pPr>
            <w:r w:rsidRPr="008C2E04">
              <w:rPr>
                <w:color w:val="000000"/>
                <w:lang w:eastAsia="nl-BE"/>
              </w:rPr>
              <w:t>2</w:t>
            </w:r>
          </w:p>
        </w:tc>
      </w:tr>
      <w:tr w:rsidR="00EA7456" w:rsidRPr="008C2E04" w:rsidTr="00EA7456">
        <w:trPr>
          <w:trHeight w:val="300"/>
          <w:jc w:val="center"/>
        </w:trPr>
        <w:tc>
          <w:tcPr>
            <w:tcW w:w="6415" w:type="dxa"/>
            <w:shd w:val="clear" w:color="auto" w:fill="auto"/>
            <w:noWrap/>
            <w:vAlign w:val="bottom"/>
            <w:hideMark/>
          </w:tcPr>
          <w:p w:rsidR="00EA7456" w:rsidRPr="008C2E04" w:rsidRDefault="00EA7456" w:rsidP="00EA7456">
            <w:pPr>
              <w:rPr>
                <w:color w:val="000000"/>
                <w:lang w:eastAsia="nl-BE"/>
              </w:rPr>
            </w:pPr>
            <w:r w:rsidRPr="008C2E04">
              <w:rPr>
                <w:color w:val="000000"/>
                <w:lang w:eastAsia="nl-BE"/>
              </w:rPr>
              <w:t>Iris Ziekenhuizen Zuid - Site Molière Longchamp</w:t>
            </w:r>
          </w:p>
        </w:tc>
        <w:tc>
          <w:tcPr>
            <w:tcW w:w="960" w:type="dxa"/>
            <w:shd w:val="clear" w:color="auto" w:fill="auto"/>
            <w:noWrap/>
            <w:vAlign w:val="bottom"/>
            <w:hideMark/>
          </w:tcPr>
          <w:p w:rsidR="00EA7456" w:rsidRPr="008C2E04" w:rsidRDefault="00EA7456" w:rsidP="00EA7456">
            <w:pPr>
              <w:jc w:val="right"/>
              <w:rPr>
                <w:color w:val="000000"/>
                <w:lang w:eastAsia="nl-BE"/>
              </w:rPr>
            </w:pPr>
            <w:r w:rsidRPr="008C2E04">
              <w:rPr>
                <w:color w:val="000000"/>
                <w:lang w:eastAsia="nl-BE"/>
              </w:rPr>
              <w:t>2</w:t>
            </w:r>
          </w:p>
        </w:tc>
      </w:tr>
      <w:tr w:rsidR="00EA7456" w:rsidRPr="008C2E04" w:rsidTr="00EA7456">
        <w:trPr>
          <w:trHeight w:val="300"/>
          <w:jc w:val="center"/>
        </w:trPr>
        <w:tc>
          <w:tcPr>
            <w:tcW w:w="6415" w:type="dxa"/>
            <w:shd w:val="clear" w:color="auto" w:fill="auto"/>
            <w:noWrap/>
            <w:vAlign w:val="bottom"/>
            <w:hideMark/>
          </w:tcPr>
          <w:p w:rsidR="00EA7456" w:rsidRPr="008C2E04" w:rsidRDefault="00EA7456" w:rsidP="00EA7456">
            <w:pPr>
              <w:rPr>
                <w:color w:val="000000"/>
                <w:lang w:eastAsia="nl-BE"/>
              </w:rPr>
            </w:pPr>
            <w:r w:rsidRPr="008C2E04">
              <w:rPr>
                <w:color w:val="000000"/>
                <w:lang w:eastAsia="nl-BE"/>
              </w:rPr>
              <w:t>Hoofdstedelijke Dienst voor Brandweer en Dringende Medische Hulp</w:t>
            </w:r>
          </w:p>
        </w:tc>
        <w:tc>
          <w:tcPr>
            <w:tcW w:w="960" w:type="dxa"/>
            <w:shd w:val="clear" w:color="auto" w:fill="auto"/>
            <w:noWrap/>
            <w:vAlign w:val="bottom"/>
            <w:hideMark/>
          </w:tcPr>
          <w:p w:rsidR="00EA7456" w:rsidRPr="008C2E04" w:rsidRDefault="00EA7456" w:rsidP="00EA7456">
            <w:pPr>
              <w:jc w:val="right"/>
              <w:rPr>
                <w:color w:val="000000"/>
                <w:lang w:eastAsia="nl-BE"/>
              </w:rPr>
            </w:pPr>
            <w:r w:rsidRPr="008C2E04">
              <w:rPr>
                <w:color w:val="000000"/>
                <w:lang w:eastAsia="nl-BE"/>
              </w:rPr>
              <w:t>2</w:t>
            </w:r>
          </w:p>
        </w:tc>
      </w:tr>
      <w:tr w:rsidR="00EA7456" w:rsidRPr="008C2E04" w:rsidTr="00EA7456">
        <w:trPr>
          <w:trHeight w:val="300"/>
          <w:jc w:val="center"/>
        </w:trPr>
        <w:tc>
          <w:tcPr>
            <w:tcW w:w="6415" w:type="dxa"/>
            <w:shd w:val="clear" w:color="auto" w:fill="auto"/>
            <w:noWrap/>
            <w:vAlign w:val="bottom"/>
            <w:hideMark/>
          </w:tcPr>
          <w:p w:rsidR="00EA7456" w:rsidRPr="008C2E04" w:rsidRDefault="00EA7456" w:rsidP="00EA7456">
            <w:pPr>
              <w:rPr>
                <w:color w:val="000000"/>
                <w:lang w:eastAsia="nl-BE"/>
              </w:rPr>
            </w:pPr>
            <w:r w:rsidRPr="008C2E04">
              <w:rPr>
                <w:color w:val="000000"/>
                <w:lang w:eastAsia="nl-BE"/>
              </w:rPr>
              <w:t>Universitair Kinderziekenhuis Koningin Fabiola</w:t>
            </w:r>
          </w:p>
        </w:tc>
        <w:tc>
          <w:tcPr>
            <w:tcW w:w="960" w:type="dxa"/>
            <w:shd w:val="clear" w:color="auto" w:fill="auto"/>
            <w:noWrap/>
            <w:vAlign w:val="bottom"/>
            <w:hideMark/>
          </w:tcPr>
          <w:p w:rsidR="00EA7456" w:rsidRPr="008C2E04" w:rsidRDefault="00EA7456" w:rsidP="00EA7456">
            <w:pPr>
              <w:jc w:val="right"/>
              <w:rPr>
                <w:color w:val="000000"/>
                <w:lang w:eastAsia="nl-BE"/>
              </w:rPr>
            </w:pPr>
            <w:r w:rsidRPr="008C2E04">
              <w:rPr>
                <w:color w:val="000000"/>
                <w:lang w:eastAsia="nl-BE"/>
              </w:rPr>
              <w:t>1</w:t>
            </w:r>
          </w:p>
        </w:tc>
      </w:tr>
      <w:tr w:rsidR="00EA7456" w:rsidRPr="008C2E04" w:rsidTr="00EA7456">
        <w:trPr>
          <w:trHeight w:val="300"/>
          <w:jc w:val="center"/>
        </w:trPr>
        <w:tc>
          <w:tcPr>
            <w:tcW w:w="6415" w:type="dxa"/>
            <w:shd w:val="clear" w:color="auto" w:fill="auto"/>
            <w:noWrap/>
            <w:vAlign w:val="bottom"/>
            <w:hideMark/>
          </w:tcPr>
          <w:p w:rsidR="00EA7456" w:rsidRPr="008C2E04" w:rsidRDefault="00EA7456" w:rsidP="00EA7456">
            <w:pPr>
              <w:rPr>
                <w:color w:val="000000"/>
                <w:lang w:eastAsia="nl-BE"/>
              </w:rPr>
            </w:pPr>
            <w:r w:rsidRPr="008C2E04">
              <w:rPr>
                <w:color w:val="000000"/>
                <w:lang w:eastAsia="nl-BE"/>
              </w:rPr>
              <w:t>Centre Hospitalier Valida - Ziekenhuis Albert Laurent</w:t>
            </w:r>
          </w:p>
        </w:tc>
        <w:tc>
          <w:tcPr>
            <w:tcW w:w="960" w:type="dxa"/>
            <w:shd w:val="clear" w:color="auto" w:fill="auto"/>
            <w:noWrap/>
            <w:vAlign w:val="bottom"/>
            <w:hideMark/>
          </w:tcPr>
          <w:p w:rsidR="00EA7456" w:rsidRPr="008C2E04" w:rsidRDefault="00EA7456" w:rsidP="00EA7456">
            <w:pPr>
              <w:jc w:val="right"/>
              <w:rPr>
                <w:color w:val="000000"/>
                <w:lang w:eastAsia="nl-BE"/>
              </w:rPr>
            </w:pPr>
            <w:r w:rsidRPr="008C2E04">
              <w:rPr>
                <w:color w:val="000000"/>
                <w:lang w:eastAsia="nl-BE"/>
              </w:rPr>
              <w:t>1</w:t>
            </w:r>
          </w:p>
        </w:tc>
      </w:tr>
      <w:tr w:rsidR="00EA7456" w:rsidRPr="008C2E04" w:rsidTr="00EA7456">
        <w:trPr>
          <w:trHeight w:val="300"/>
          <w:jc w:val="center"/>
        </w:trPr>
        <w:tc>
          <w:tcPr>
            <w:tcW w:w="6415" w:type="dxa"/>
            <w:shd w:val="clear" w:color="auto" w:fill="auto"/>
            <w:noWrap/>
            <w:vAlign w:val="bottom"/>
            <w:hideMark/>
          </w:tcPr>
          <w:p w:rsidR="00EA7456" w:rsidRPr="008C2E04" w:rsidRDefault="00EA7456" w:rsidP="00EA7456">
            <w:pPr>
              <w:rPr>
                <w:color w:val="000000"/>
                <w:lang w:eastAsia="nl-BE"/>
              </w:rPr>
            </w:pPr>
            <w:r w:rsidRPr="008C2E04">
              <w:rPr>
                <w:color w:val="000000"/>
                <w:lang w:eastAsia="nl-BE"/>
              </w:rPr>
              <w:t>UVC Brugmann - Site Paul Brien</w:t>
            </w:r>
          </w:p>
        </w:tc>
        <w:tc>
          <w:tcPr>
            <w:tcW w:w="960" w:type="dxa"/>
            <w:shd w:val="clear" w:color="auto" w:fill="auto"/>
            <w:noWrap/>
            <w:vAlign w:val="bottom"/>
            <w:hideMark/>
          </w:tcPr>
          <w:p w:rsidR="00EA7456" w:rsidRPr="008C2E04" w:rsidRDefault="00EA7456" w:rsidP="00EA7456">
            <w:pPr>
              <w:jc w:val="right"/>
              <w:rPr>
                <w:color w:val="000000"/>
                <w:lang w:eastAsia="nl-BE"/>
              </w:rPr>
            </w:pPr>
            <w:r w:rsidRPr="008C2E04">
              <w:rPr>
                <w:color w:val="000000"/>
                <w:lang w:eastAsia="nl-BE"/>
              </w:rPr>
              <w:t>1</w:t>
            </w:r>
          </w:p>
        </w:tc>
      </w:tr>
      <w:tr w:rsidR="00EA7456" w:rsidRPr="008C2E04" w:rsidTr="00EA7456">
        <w:trPr>
          <w:trHeight w:val="300"/>
          <w:jc w:val="center"/>
        </w:trPr>
        <w:tc>
          <w:tcPr>
            <w:tcW w:w="6415" w:type="dxa"/>
            <w:shd w:val="clear" w:color="auto" w:fill="auto"/>
            <w:noWrap/>
            <w:vAlign w:val="bottom"/>
            <w:hideMark/>
          </w:tcPr>
          <w:p w:rsidR="00EA7456" w:rsidRPr="008C2E04" w:rsidRDefault="00EA7456" w:rsidP="00EA7456">
            <w:pPr>
              <w:rPr>
                <w:color w:val="000000"/>
                <w:lang w:eastAsia="nl-BE"/>
              </w:rPr>
            </w:pPr>
            <w:r w:rsidRPr="008C2E04">
              <w:rPr>
                <w:color w:val="000000"/>
                <w:lang w:eastAsia="nl-BE"/>
              </w:rPr>
              <w:t>Cheric - Edith Cavell</w:t>
            </w:r>
          </w:p>
        </w:tc>
        <w:tc>
          <w:tcPr>
            <w:tcW w:w="960" w:type="dxa"/>
            <w:shd w:val="clear" w:color="auto" w:fill="auto"/>
            <w:noWrap/>
            <w:vAlign w:val="bottom"/>
            <w:hideMark/>
          </w:tcPr>
          <w:p w:rsidR="00EA7456" w:rsidRPr="008C2E04" w:rsidRDefault="00EA7456" w:rsidP="00EA7456">
            <w:pPr>
              <w:jc w:val="right"/>
              <w:rPr>
                <w:color w:val="000000"/>
                <w:lang w:eastAsia="nl-BE"/>
              </w:rPr>
            </w:pPr>
            <w:r w:rsidRPr="008C2E04">
              <w:rPr>
                <w:color w:val="000000"/>
                <w:lang w:eastAsia="nl-BE"/>
              </w:rPr>
              <w:t>1</w:t>
            </w:r>
          </w:p>
        </w:tc>
      </w:tr>
      <w:tr w:rsidR="00EA7456" w:rsidRPr="008C2E04" w:rsidTr="00EA7456">
        <w:trPr>
          <w:trHeight w:val="300"/>
          <w:jc w:val="center"/>
        </w:trPr>
        <w:tc>
          <w:tcPr>
            <w:tcW w:w="6415" w:type="dxa"/>
            <w:shd w:val="clear" w:color="auto" w:fill="auto"/>
            <w:noWrap/>
            <w:vAlign w:val="bottom"/>
            <w:hideMark/>
          </w:tcPr>
          <w:p w:rsidR="00EA7456" w:rsidRPr="008C2E04" w:rsidRDefault="00EA7456" w:rsidP="00EA7456">
            <w:pPr>
              <w:rPr>
                <w:color w:val="000000"/>
                <w:lang w:eastAsia="nl-BE"/>
              </w:rPr>
            </w:pPr>
            <w:r w:rsidRPr="008C2E04">
              <w:rPr>
                <w:color w:val="000000"/>
                <w:lang w:eastAsia="nl-BE"/>
              </w:rPr>
              <w:t>Chirec - Basiliek-Ziekenhuis</w:t>
            </w:r>
          </w:p>
        </w:tc>
        <w:tc>
          <w:tcPr>
            <w:tcW w:w="960" w:type="dxa"/>
            <w:shd w:val="clear" w:color="auto" w:fill="auto"/>
            <w:noWrap/>
            <w:vAlign w:val="bottom"/>
            <w:hideMark/>
          </w:tcPr>
          <w:p w:rsidR="00EA7456" w:rsidRPr="008C2E04" w:rsidRDefault="00EA7456" w:rsidP="00EA7456">
            <w:pPr>
              <w:jc w:val="right"/>
              <w:rPr>
                <w:color w:val="000000"/>
                <w:lang w:eastAsia="nl-BE"/>
              </w:rPr>
            </w:pPr>
            <w:r w:rsidRPr="008C2E04">
              <w:rPr>
                <w:color w:val="000000"/>
                <w:lang w:eastAsia="nl-BE"/>
              </w:rPr>
              <w:t>1</w:t>
            </w:r>
          </w:p>
        </w:tc>
      </w:tr>
      <w:tr w:rsidR="00EA7456" w:rsidRPr="008C2E04" w:rsidTr="00EA7456">
        <w:trPr>
          <w:trHeight w:val="300"/>
          <w:jc w:val="center"/>
        </w:trPr>
        <w:tc>
          <w:tcPr>
            <w:tcW w:w="6415" w:type="dxa"/>
            <w:shd w:val="clear" w:color="auto" w:fill="auto"/>
            <w:noWrap/>
            <w:vAlign w:val="bottom"/>
            <w:hideMark/>
          </w:tcPr>
          <w:p w:rsidR="00EA7456" w:rsidRPr="008C2E04" w:rsidRDefault="00EA7456" w:rsidP="00EA7456">
            <w:pPr>
              <w:rPr>
                <w:color w:val="000000"/>
                <w:lang w:eastAsia="nl-BE"/>
              </w:rPr>
            </w:pPr>
            <w:r w:rsidRPr="008C2E04">
              <w:rPr>
                <w:color w:val="000000"/>
                <w:lang w:eastAsia="nl-BE"/>
              </w:rPr>
              <w:t>UMC Sint-Pieter - Site Sint-Pieter</w:t>
            </w:r>
          </w:p>
        </w:tc>
        <w:tc>
          <w:tcPr>
            <w:tcW w:w="960" w:type="dxa"/>
            <w:shd w:val="clear" w:color="auto" w:fill="auto"/>
            <w:noWrap/>
            <w:vAlign w:val="bottom"/>
            <w:hideMark/>
          </w:tcPr>
          <w:p w:rsidR="00EA7456" w:rsidRPr="008C2E04" w:rsidRDefault="00EA7456" w:rsidP="00EA7456">
            <w:pPr>
              <w:jc w:val="right"/>
              <w:rPr>
                <w:color w:val="000000"/>
                <w:lang w:eastAsia="nl-BE"/>
              </w:rPr>
            </w:pPr>
            <w:r w:rsidRPr="008C2E04">
              <w:rPr>
                <w:color w:val="000000"/>
                <w:lang w:eastAsia="nl-BE"/>
              </w:rPr>
              <w:t>1</w:t>
            </w:r>
          </w:p>
        </w:tc>
      </w:tr>
      <w:tr w:rsidR="00EA7456" w:rsidRPr="00E72884" w:rsidTr="00EA7456">
        <w:trPr>
          <w:trHeight w:val="300"/>
          <w:jc w:val="center"/>
        </w:trPr>
        <w:tc>
          <w:tcPr>
            <w:tcW w:w="6415" w:type="dxa"/>
            <w:shd w:val="clear" w:color="auto" w:fill="auto"/>
            <w:noWrap/>
            <w:vAlign w:val="bottom"/>
            <w:hideMark/>
          </w:tcPr>
          <w:p w:rsidR="00EA7456" w:rsidRPr="00E72884" w:rsidRDefault="00EA7456" w:rsidP="00EA7456">
            <w:pPr>
              <w:rPr>
                <w:b/>
                <w:i/>
                <w:color w:val="000000"/>
                <w:lang w:eastAsia="nl-BE"/>
              </w:rPr>
            </w:pPr>
            <w:r w:rsidRPr="00E72884">
              <w:rPr>
                <w:b/>
                <w:i/>
                <w:color w:val="000000"/>
                <w:lang w:eastAsia="nl-BE"/>
              </w:rPr>
              <w:t>Totaal</w:t>
            </w:r>
          </w:p>
        </w:tc>
        <w:tc>
          <w:tcPr>
            <w:tcW w:w="960" w:type="dxa"/>
            <w:shd w:val="clear" w:color="auto" w:fill="auto"/>
            <w:noWrap/>
            <w:vAlign w:val="bottom"/>
            <w:hideMark/>
          </w:tcPr>
          <w:p w:rsidR="00EA7456" w:rsidRPr="00E72884" w:rsidRDefault="00EA7456" w:rsidP="00EA7456">
            <w:pPr>
              <w:jc w:val="right"/>
              <w:rPr>
                <w:b/>
                <w:i/>
                <w:color w:val="000000"/>
                <w:lang w:eastAsia="nl-BE"/>
              </w:rPr>
            </w:pPr>
            <w:r w:rsidRPr="00E72884">
              <w:rPr>
                <w:b/>
                <w:i/>
                <w:color w:val="000000"/>
                <w:lang w:eastAsia="nl-BE"/>
              </w:rPr>
              <w:t>40</w:t>
            </w:r>
          </w:p>
        </w:tc>
      </w:tr>
    </w:tbl>
    <w:p w:rsidR="00EA7456" w:rsidRPr="00E72884" w:rsidRDefault="00EA7456" w:rsidP="00EA7456">
      <w:pPr>
        <w:pStyle w:val="StandaardSV"/>
      </w:pPr>
    </w:p>
    <w:p w:rsidR="00EA7456" w:rsidRDefault="00EA7456" w:rsidP="00EA7456">
      <w:pPr>
        <w:pStyle w:val="StandaardSV"/>
        <w:numPr>
          <w:ilvl w:val="0"/>
          <w:numId w:val="16"/>
        </w:numPr>
        <w:rPr>
          <w:lang w:val="nl-NL"/>
        </w:rPr>
      </w:pPr>
      <w:r w:rsidRPr="00E72884">
        <w:rPr>
          <w:lang w:val="nl-NL"/>
        </w:rPr>
        <w:t xml:space="preserve">Bij de veertig verzamelde klachten vallen de volgende zaken op. </w:t>
      </w:r>
    </w:p>
    <w:p w:rsidR="00EA7456" w:rsidRDefault="00EA7456" w:rsidP="00EA7456">
      <w:pPr>
        <w:pStyle w:val="StandaardSV"/>
        <w:numPr>
          <w:ilvl w:val="0"/>
          <w:numId w:val="17"/>
        </w:numPr>
        <w:rPr>
          <w:lang w:val="nl-NL"/>
        </w:rPr>
      </w:pPr>
      <w:r w:rsidRPr="00E72884">
        <w:rPr>
          <w:lang w:val="nl-NL"/>
        </w:rPr>
        <w:t xml:space="preserve">Ongeveer de helft van de klachten heeft betrekking op de taal van de verpleging of het ambulancepersoneel. Bijna een vijfde van meldingen slaat op de taal van (één van) de behandelende arts(en). De overige klachten hebben betrekking op het onthaalpersoneel, het administratieve taalgebruik of andere informatie die wordt meegedeeld aan de patiënt. </w:t>
      </w:r>
    </w:p>
    <w:p w:rsidR="00EA7456" w:rsidRDefault="00EA7456" w:rsidP="00EA7456">
      <w:pPr>
        <w:pStyle w:val="StandaardSV"/>
        <w:numPr>
          <w:ilvl w:val="0"/>
          <w:numId w:val="17"/>
        </w:numPr>
        <w:rPr>
          <w:lang w:val="nl-NL"/>
        </w:rPr>
      </w:pPr>
      <w:r w:rsidRPr="00E72884">
        <w:rPr>
          <w:lang w:val="nl-NL"/>
        </w:rPr>
        <w:t xml:space="preserve">Bij de verdeling van de klachten over </w:t>
      </w:r>
      <w:r w:rsidR="00EA2629" w:rsidRPr="00E72884">
        <w:rPr>
          <w:lang w:val="nl-NL"/>
        </w:rPr>
        <w:t>het</w:t>
      </w:r>
      <w:r w:rsidRPr="00E72884">
        <w:rPr>
          <w:lang w:val="nl-NL"/>
        </w:rPr>
        <w:t xml:space="preserve"> type ziekenhuizen zien we dat een derde van de klachten gaat over openba</w:t>
      </w:r>
      <w:r w:rsidR="004429EA">
        <w:rPr>
          <w:lang w:val="nl-NL"/>
        </w:rPr>
        <w:t>re ziekenhuizen</w:t>
      </w:r>
      <w:r w:rsidRPr="00E72884">
        <w:rPr>
          <w:lang w:val="nl-NL"/>
        </w:rPr>
        <w:t xml:space="preserve"> (</w:t>
      </w:r>
      <w:r w:rsidR="004429EA">
        <w:rPr>
          <w:lang w:val="nl-NL"/>
        </w:rPr>
        <w:t>die</w:t>
      </w:r>
      <w:r w:rsidRPr="00E72884">
        <w:rPr>
          <w:lang w:val="nl-NL"/>
        </w:rPr>
        <w:t xml:space="preserve"> integraal onderworpen </w:t>
      </w:r>
      <w:r w:rsidR="004429EA">
        <w:rPr>
          <w:lang w:val="nl-NL"/>
        </w:rPr>
        <w:t>zijn</w:t>
      </w:r>
      <w:r>
        <w:rPr>
          <w:lang w:val="nl-NL"/>
        </w:rPr>
        <w:t xml:space="preserve"> </w:t>
      </w:r>
      <w:r w:rsidRPr="00E72884">
        <w:rPr>
          <w:lang w:val="nl-NL"/>
        </w:rPr>
        <w:t>aan de taalwetgeving), een derde over bicommunautair</w:t>
      </w:r>
      <w:r w:rsidR="004429EA">
        <w:rPr>
          <w:lang w:val="nl-NL"/>
        </w:rPr>
        <w:t>e,</w:t>
      </w:r>
      <w:r w:rsidRPr="00E72884">
        <w:rPr>
          <w:lang w:val="nl-NL"/>
        </w:rPr>
        <w:t xml:space="preserve"> priva</w:t>
      </w:r>
      <w:r w:rsidR="004429EA">
        <w:rPr>
          <w:lang w:val="nl-NL"/>
        </w:rPr>
        <w:t>te</w:t>
      </w:r>
      <w:r w:rsidRPr="00E72884">
        <w:rPr>
          <w:lang w:val="nl-NL"/>
        </w:rPr>
        <w:t xml:space="preserve"> ziekenhui</w:t>
      </w:r>
      <w:r w:rsidR="004429EA">
        <w:rPr>
          <w:lang w:val="nl-NL"/>
        </w:rPr>
        <w:t>zen</w:t>
      </w:r>
      <w:r w:rsidRPr="00E72884">
        <w:rPr>
          <w:lang w:val="nl-NL"/>
        </w:rPr>
        <w:t xml:space="preserve"> en het resterende derde over unicommunautair</w:t>
      </w:r>
      <w:r w:rsidR="004429EA">
        <w:rPr>
          <w:lang w:val="nl-NL"/>
        </w:rPr>
        <w:t>e,</w:t>
      </w:r>
      <w:r w:rsidRPr="00E72884">
        <w:rPr>
          <w:lang w:val="nl-NL"/>
        </w:rPr>
        <w:t xml:space="preserve"> academisch</w:t>
      </w:r>
      <w:r w:rsidR="004429EA">
        <w:rPr>
          <w:lang w:val="nl-NL"/>
        </w:rPr>
        <w:t>e</w:t>
      </w:r>
      <w:r w:rsidRPr="00E72884">
        <w:rPr>
          <w:lang w:val="nl-NL"/>
        </w:rPr>
        <w:t xml:space="preserve"> ziekenhui</w:t>
      </w:r>
      <w:r w:rsidR="004429EA">
        <w:rPr>
          <w:lang w:val="nl-NL"/>
        </w:rPr>
        <w:t>zen</w:t>
      </w:r>
      <w:r w:rsidRPr="00E72884">
        <w:rPr>
          <w:lang w:val="nl-NL"/>
        </w:rPr>
        <w:t xml:space="preserve">. </w:t>
      </w:r>
    </w:p>
    <w:p w:rsidR="00EA7456" w:rsidRPr="00E72884" w:rsidRDefault="00EA7456" w:rsidP="00EA7456">
      <w:pPr>
        <w:pStyle w:val="StandaardSV"/>
        <w:numPr>
          <w:ilvl w:val="0"/>
          <w:numId w:val="17"/>
        </w:numPr>
        <w:rPr>
          <w:lang w:val="nl-NL"/>
        </w:rPr>
      </w:pPr>
      <w:r w:rsidRPr="00E72884">
        <w:rPr>
          <w:lang w:val="nl-NL"/>
        </w:rPr>
        <w:t>Zeven klachten hebben betrekking hebben op het taalgebruik bij een interventie door de</w:t>
      </w:r>
      <w:r>
        <w:rPr>
          <w:lang w:val="nl-NL"/>
        </w:rPr>
        <w:t xml:space="preserve"> (Brusselse)</w:t>
      </w:r>
      <w:r w:rsidRPr="00E72884">
        <w:rPr>
          <w:lang w:val="nl-NL"/>
        </w:rPr>
        <w:t xml:space="preserve"> MUG, waarbij de betrokkene dus voorafgaandelijk geen vrije keuze had om door een bepaalde dienst te worden opgehaald. Volgens de adviespraktijk van de Vaste Commissie voor Taaltoezicht zijn deze MUG-diensten steeds onderworpen aan de taalwetgeving, ook al hangt deze af van een privaat ziekenhuis.</w:t>
      </w:r>
    </w:p>
    <w:p w:rsidR="00EA7456" w:rsidRPr="00E72884" w:rsidRDefault="00EA7456" w:rsidP="00EA7456">
      <w:pPr>
        <w:pStyle w:val="StandaardSV"/>
        <w:rPr>
          <w:lang w:val="nl-NL"/>
        </w:rPr>
      </w:pPr>
    </w:p>
    <w:p w:rsidR="00EA7456" w:rsidRPr="00E72884" w:rsidRDefault="00EA7456" w:rsidP="00EA7456">
      <w:pPr>
        <w:pStyle w:val="StandaardSV"/>
        <w:ind w:left="360"/>
        <w:rPr>
          <w:lang w:val="nl-NL"/>
        </w:rPr>
      </w:pPr>
      <w:r w:rsidRPr="00E72884">
        <w:rPr>
          <w:lang w:val="nl-NL"/>
        </w:rPr>
        <w:lastRenderedPageBreak/>
        <w:t xml:space="preserve">Algemeen gesteld tonen de meldingen wel aan dat er zich nog steeds problemen voordoen, zowel in de openbare als </w:t>
      </w:r>
      <w:r w:rsidR="004429EA">
        <w:rPr>
          <w:lang w:val="nl-NL"/>
        </w:rPr>
        <w:t xml:space="preserve">in de </w:t>
      </w:r>
      <w:r w:rsidRPr="00E72884">
        <w:rPr>
          <w:lang w:val="nl-NL"/>
        </w:rPr>
        <w:t>private sector, zowel op het niveau van de behandeling als van de verpleging en zowel bij de ziekenhuizen als bij</w:t>
      </w:r>
      <w:r w:rsidR="00CA3284">
        <w:rPr>
          <w:lang w:val="nl-NL"/>
        </w:rPr>
        <w:t xml:space="preserve"> de</w:t>
      </w:r>
      <w:r w:rsidRPr="00E72884">
        <w:rPr>
          <w:lang w:val="nl-NL"/>
        </w:rPr>
        <w:t xml:space="preserve"> diensten 100 of </w:t>
      </w:r>
      <w:proofErr w:type="spellStart"/>
      <w:r w:rsidRPr="00E72884">
        <w:rPr>
          <w:lang w:val="nl-NL"/>
        </w:rPr>
        <w:t>MUG’s</w:t>
      </w:r>
      <w:proofErr w:type="spellEnd"/>
      <w:r w:rsidR="00CA3284">
        <w:rPr>
          <w:lang w:val="nl-NL"/>
        </w:rPr>
        <w:t>.</w:t>
      </w:r>
    </w:p>
    <w:p w:rsidR="00EA7456" w:rsidRPr="00E72884" w:rsidRDefault="00EA7456" w:rsidP="00EA7456">
      <w:pPr>
        <w:pStyle w:val="StandaardSV"/>
        <w:rPr>
          <w:lang w:val="nl-NL"/>
        </w:rPr>
      </w:pPr>
    </w:p>
    <w:p w:rsidR="00EA7456" w:rsidRDefault="00EA7456" w:rsidP="00EA7456">
      <w:pPr>
        <w:pStyle w:val="StandaardSV"/>
        <w:ind w:left="360"/>
        <w:rPr>
          <w:lang w:val="nl-NL"/>
        </w:rPr>
      </w:pPr>
      <w:r w:rsidRPr="00E72884">
        <w:rPr>
          <w:lang w:val="nl-NL"/>
        </w:rPr>
        <w:t xml:space="preserve">Een moeilijkheid die zich stelt bij de verdere analyse van de resultaten is dat slechts een minderheid van de melders ingaat op de mogelijkheid om verdere stappen te zetten in samenwerking met het Meldpunt. De meerderheid lijkt het Meldpunt te gebruiken als een middel om de negatieve </w:t>
      </w:r>
      <w:r w:rsidR="00EA2629" w:rsidRPr="00E72884">
        <w:rPr>
          <w:lang w:val="nl-NL"/>
        </w:rPr>
        <w:t xml:space="preserve">ervaring </w:t>
      </w:r>
      <w:r w:rsidRPr="00E72884">
        <w:rPr>
          <w:lang w:val="nl-NL"/>
        </w:rPr>
        <w:t>mee te delen in de hoop dat hiermee het beleid rekening kan houden, zonder dat men ook de formele klachtmogelijkheden maximaal wenst uit te putten. Omgekeerd zijn er evenzeer personen die wel klacht wensen in te dienen, maar waarbij er juridisch gesproken geen grond toe bestaat (</w:t>
      </w:r>
      <w:r w:rsidR="002365B3">
        <w:rPr>
          <w:lang w:val="nl-NL"/>
        </w:rPr>
        <w:t>bijvoorbeeld</w:t>
      </w:r>
      <w:r w:rsidRPr="00E72884">
        <w:rPr>
          <w:lang w:val="nl-NL"/>
        </w:rPr>
        <w:t xml:space="preserve"> bij behandeling in een privaat ziekenhuis). Het aantal gevallen van actieve begeleiding vormt hierdoor een kleine minderheid van de meldingen</w:t>
      </w:r>
      <w:r w:rsidR="00F21E82">
        <w:rPr>
          <w:lang w:val="nl-NL"/>
        </w:rPr>
        <w:t>.</w:t>
      </w:r>
    </w:p>
    <w:p w:rsidR="00EA7456" w:rsidRDefault="00EA7456" w:rsidP="00EA7456">
      <w:pPr>
        <w:pStyle w:val="StandaardSV"/>
        <w:rPr>
          <w:lang w:val="nl-NL"/>
        </w:rPr>
      </w:pPr>
    </w:p>
    <w:p w:rsidR="00EA7456" w:rsidRPr="00E72884" w:rsidRDefault="00F21E82" w:rsidP="00EA7456">
      <w:pPr>
        <w:pStyle w:val="StandaardSV"/>
        <w:ind w:left="360"/>
        <w:rPr>
          <w:lang w:val="nl-NL"/>
        </w:rPr>
      </w:pPr>
      <w:r>
        <w:rPr>
          <w:lang w:val="nl-NL"/>
        </w:rPr>
        <w:t>H</w:t>
      </w:r>
      <w:r w:rsidR="00EA7456">
        <w:rPr>
          <w:lang w:val="nl-NL"/>
        </w:rPr>
        <w:t xml:space="preserve">et Meldpunt </w:t>
      </w:r>
      <w:r>
        <w:rPr>
          <w:lang w:val="nl-NL"/>
        </w:rPr>
        <w:t xml:space="preserve">kan </w:t>
      </w:r>
      <w:r w:rsidR="00EA7456">
        <w:rPr>
          <w:lang w:val="nl-NL"/>
        </w:rPr>
        <w:t>doo</w:t>
      </w:r>
      <w:r>
        <w:rPr>
          <w:lang w:val="nl-NL"/>
        </w:rPr>
        <w:t xml:space="preserve">r bepaalde acties beter bekend gemaakt worden bij het publiek. </w:t>
      </w:r>
      <w:r w:rsidR="001A70C5">
        <w:rPr>
          <w:lang w:val="nl-NL"/>
        </w:rPr>
        <w:t>Er</w:t>
      </w:r>
      <w:r w:rsidR="00EA7456">
        <w:rPr>
          <w:lang w:val="nl-NL"/>
        </w:rPr>
        <w:t xml:space="preserve"> kan meer de nadruk gelegd</w:t>
      </w:r>
      <w:r w:rsidR="002365B3">
        <w:rPr>
          <w:lang w:val="nl-NL"/>
        </w:rPr>
        <w:t xml:space="preserve"> worden</w:t>
      </w:r>
      <w:r w:rsidR="00EA7456">
        <w:rPr>
          <w:lang w:val="nl-NL"/>
        </w:rPr>
        <w:t xml:space="preserve"> op de mogelijkheid om door het Meldpunt ondersteund te worden bij het neerleggen van een formele klacht. Omgekeerd mag een publiekscampagne niet leiden tot onrealistische verwachtingen, gezien het Meldpunt in een aantal gevallen niet meer kan doen dan registreren. Ik zal aan de betrokken diensten vragen om voorstellen voor gerichte campagnes te formuleren</w:t>
      </w:r>
      <w:r>
        <w:rPr>
          <w:lang w:val="nl-NL"/>
        </w:rPr>
        <w:t xml:space="preserve"> en daarbij ook de gemeentebesturen van Halle-Vilvoorde en de Vlaamse Gemeenschapscommissie te betrekken.</w:t>
      </w:r>
    </w:p>
    <w:p w:rsidR="00EA7456" w:rsidRPr="00EA7456" w:rsidRDefault="00EA7456" w:rsidP="00EA7456">
      <w:pPr>
        <w:jc w:val="both"/>
        <w:rPr>
          <w:smallCaps/>
          <w:szCs w:val="22"/>
          <w:lang w:val="nl-BE"/>
        </w:rPr>
      </w:pPr>
    </w:p>
    <w:p w:rsidR="002365B3" w:rsidRDefault="002365B3" w:rsidP="002365B3">
      <w:pPr>
        <w:pStyle w:val="StandaardSV"/>
        <w:numPr>
          <w:ilvl w:val="0"/>
          <w:numId w:val="16"/>
        </w:numPr>
        <w:rPr>
          <w:lang w:val="nl-NL"/>
        </w:rPr>
      </w:pPr>
      <w:r>
        <w:rPr>
          <w:lang w:val="nl-NL"/>
        </w:rPr>
        <w:t xml:space="preserve">Het succes van het Meldpunt kon moeilijk vooraf voorspeld worden, gezien het aantal meldingen grotendeels afhangt van de bereidheid en motivatie van betrokkenen om de ervaring te laten registreren. Bij het Steunpunt Taalwetwijzer, dat de juridische opvolging van het Meldpunt verzekert, liepen voor de opstart van het Meldpunt ongeveer een vijftiental klachten per jaar binnen over ziekenhuizen of urgentiediensten. Door het Meldpunt bekend te maken via het </w:t>
      </w:r>
      <w:r w:rsidR="001A70C5">
        <w:rPr>
          <w:lang w:val="nl-NL"/>
        </w:rPr>
        <w:t xml:space="preserve">Vlaams </w:t>
      </w:r>
      <w:r>
        <w:rPr>
          <w:lang w:val="nl-NL"/>
        </w:rPr>
        <w:t>Agentschap Zorg &amp; Gezondheid zijn er dus alleszins meer meldingen geregistreerd. Voor de Vlaamse Regering is daarbij zonder meer de inhoudelijke kwaliteit van de klachten van een groter belang dan de kwantiteit: hoe en waar komt het probleem van de (on)toegankelijkheid voor Nederlandstaligen van de zorg in Brussel en de Vlaamse Rand tot uiting?</w:t>
      </w:r>
    </w:p>
    <w:p w:rsidR="002365B3" w:rsidRDefault="002365B3" w:rsidP="002365B3">
      <w:pPr>
        <w:pStyle w:val="StandaardSV"/>
        <w:rPr>
          <w:lang w:val="nl-NL"/>
        </w:rPr>
      </w:pPr>
    </w:p>
    <w:p w:rsidR="002365B3" w:rsidRDefault="001A70C5" w:rsidP="002365B3">
      <w:pPr>
        <w:pStyle w:val="StandaardSV"/>
        <w:ind w:left="360"/>
        <w:rPr>
          <w:lang w:val="nl-NL"/>
        </w:rPr>
      </w:pPr>
      <w:r>
        <w:rPr>
          <w:lang w:val="nl-NL"/>
        </w:rPr>
        <w:t xml:space="preserve">Omwille van het blijvend aantal klachten </w:t>
      </w:r>
      <w:r w:rsidR="002365B3">
        <w:rPr>
          <w:lang w:val="nl-NL"/>
        </w:rPr>
        <w:t>kan alvast geconcludeerd worden dat het probleem van de Nederlandsonkundigheid in de zorg in Brussel en de Vlaamse Rand geen mythe is. De complexiteit van het probleem, zoals het rekruteringsprobleem dat zich algemeen stelt in de zorgverlening en de complexiteit van de juridische en beleidsmatige instrumenten die kunnen worden ingezet om het gebruik van het Nederlands te verzekeren, mag niet worden onderschat. Het Meldpunt wil ook geen afbreuk doen aan de positieve initiatieven die lopen om de kennis van het Nederlands te verhogen. De relevantie van het Meldpunt voor het beleid is immers de mogelijkheid om met feiten en onderbouwde argumenten naar gesprekspartners, zoals andere overheden of de ziekenhuizen zelf, te kunnen stappen.</w:t>
      </w:r>
      <w:bookmarkStart w:id="6" w:name="_GoBack"/>
      <w:bookmarkEnd w:id="6"/>
    </w:p>
    <w:sectPr w:rsidR="002365B3"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A1" w:rsidRDefault="00BF33A1">
      <w:r>
        <w:separator/>
      </w:r>
    </w:p>
  </w:endnote>
  <w:endnote w:type="continuationSeparator" w:id="0">
    <w:p w:rsidR="00BF33A1" w:rsidRDefault="00BF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A1" w:rsidRDefault="00BF33A1">
      <w:r>
        <w:separator/>
      </w:r>
    </w:p>
  </w:footnote>
  <w:footnote w:type="continuationSeparator" w:id="0">
    <w:p w:rsidR="00BF33A1" w:rsidRDefault="00BF3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5D51B73"/>
    <w:multiLevelType w:val="hybridMultilevel"/>
    <w:tmpl w:val="81BEE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6972730"/>
    <w:multiLevelType w:val="hybridMultilevel"/>
    <w:tmpl w:val="17C078F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3">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10"/>
  </w:num>
  <w:num w:numId="4">
    <w:abstractNumId w:val="2"/>
  </w:num>
  <w:num w:numId="5">
    <w:abstractNumId w:val="15"/>
  </w:num>
  <w:num w:numId="6">
    <w:abstractNumId w:val="14"/>
  </w:num>
  <w:num w:numId="7">
    <w:abstractNumId w:val="0"/>
  </w:num>
  <w:num w:numId="8">
    <w:abstractNumId w:val="1"/>
  </w:num>
  <w:num w:numId="9">
    <w:abstractNumId w:val="13"/>
  </w:num>
  <w:num w:numId="10">
    <w:abstractNumId w:val="8"/>
  </w:num>
  <w:num w:numId="11">
    <w:abstractNumId w:val="11"/>
  </w:num>
  <w:num w:numId="12">
    <w:abstractNumId w:val="7"/>
  </w:num>
  <w:num w:numId="13">
    <w:abstractNumId w:val="5"/>
  </w:num>
  <w:num w:numId="14">
    <w:abstractNumId w:val="9"/>
  </w:num>
  <w:num w:numId="15">
    <w:abstractNumId w:val="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17A38"/>
    <w:rsid w:val="00017E91"/>
    <w:rsid w:val="0002649B"/>
    <w:rsid w:val="000402DE"/>
    <w:rsid w:val="00056AC7"/>
    <w:rsid w:val="0009102B"/>
    <w:rsid w:val="000976E9"/>
    <w:rsid w:val="000B43B3"/>
    <w:rsid w:val="000C4E8C"/>
    <w:rsid w:val="000C7C6C"/>
    <w:rsid w:val="000F3532"/>
    <w:rsid w:val="000F5552"/>
    <w:rsid w:val="00126CC3"/>
    <w:rsid w:val="00174411"/>
    <w:rsid w:val="001A654E"/>
    <w:rsid w:val="001A70C5"/>
    <w:rsid w:val="001C211C"/>
    <w:rsid w:val="00210C07"/>
    <w:rsid w:val="002365B3"/>
    <w:rsid w:val="00250C88"/>
    <w:rsid w:val="0025145A"/>
    <w:rsid w:val="002812CD"/>
    <w:rsid w:val="00291F05"/>
    <w:rsid w:val="002A27A5"/>
    <w:rsid w:val="002A44B9"/>
    <w:rsid w:val="002C1389"/>
    <w:rsid w:val="00316596"/>
    <w:rsid w:val="00326A58"/>
    <w:rsid w:val="00340BDC"/>
    <w:rsid w:val="00355B81"/>
    <w:rsid w:val="003B45FE"/>
    <w:rsid w:val="003D7B9E"/>
    <w:rsid w:val="003F5ED2"/>
    <w:rsid w:val="004037CA"/>
    <w:rsid w:val="00421318"/>
    <w:rsid w:val="00422BB7"/>
    <w:rsid w:val="004337D3"/>
    <w:rsid w:val="004429EA"/>
    <w:rsid w:val="00451B61"/>
    <w:rsid w:val="004545D6"/>
    <w:rsid w:val="004C554A"/>
    <w:rsid w:val="004E6F83"/>
    <w:rsid w:val="00526536"/>
    <w:rsid w:val="00552955"/>
    <w:rsid w:val="00572762"/>
    <w:rsid w:val="00595C65"/>
    <w:rsid w:val="005A5E23"/>
    <w:rsid w:val="005C4E46"/>
    <w:rsid w:val="005E38CA"/>
    <w:rsid w:val="005F09EF"/>
    <w:rsid w:val="006454B2"/>
    <w:rsid w:val="00645C10"/>
    <w:rsid w:val="006563FB"/>
    <w:rsid w:val="006640D2"/>
    <w:rsid w:val="0067306B"/>
    <w:rsid w:val="006A6789"/>
    <w:rsid w:val="006B3EE5"/>
    <w:rsid w:val="006B7A39"/>
    <w:rsid w:val="00703E55"/>
    <w:rsid w:val="0071248C"/>
    <w:rsid w:val="00715E0D"/>
    <w:rsid w:val="007252C7"/>
    <w:rsid w:val="00766407"/>
    <w:rsid w:val="007902C7"/>
    <w:rsid w:val="0079380B"/>
    <w:rsid w:val="00796356"/>
    <w:rsid w:val="007A07CF"/>
    <w:rsid w:val="007C007C"/>
    <w:rsid w:val="007C3518"/>
    <w:rsid w:val="007F0C63"/>
    <w:rsid w:val="007F6352"/>
    <w:rsid w:val="00800EE1"/>
    <w:rsid w:val="00822F1B"/>
    <w:rsid w:val="008356C7"/>
    <w:rsid w:val="00837915"/>
    <w:rsid w:val="00864305"/>
    <w:rsid w:val="00884FA1"/>
    <w:rsid w:val="008860F8"/>
    <w:rsid w:val="00887F9E"/>
    <w:rsid w:val="008D5DB4"/>
    <w:rsid w:val="0090401E"/>
    <w:rsid w:val="00905982"/>
    <w:rsid w:val="00921BFC"/>
    <w:rsid w:val="009347E0"/>
    <w:rsid w:val="009455AD"/>
    <w:rsid w:val="00952C2D"/>
    <w:rsid w:val="00987BBD"/>
    <w:rsid w:val="009D7043"/>
    <w:rsid w:val="009F0511"/>
    <w:rsid w:val="00A04E1C"/>
    <w:rsid w:val="00A222E2"/>
    <w:rsid w:val="00A22807"/>
    <w:rsid w:val="00A2736D"/>
    <w:rsid w:val="00A51FCA"/>
    <w:rsid w:val="00A64695"/>
    <w:rsid w:val="00A86C48"/>
    <w:rsid w:val="00AC19C1"/>
    <w:rsid w:val="00AC4E76"/>
    <w:rsid w:val="00AC5936"/>
    <w:rsid w:val="00AD3F3A"/>
    <w:rsid w:val="00AE721D"/>
    <w:rsid w:val="00AF6BEF"/>
    <w:rsid w:val="00B14702"/>
    <w:rsid w:val="00B246FE"/>
    <w:rsid w:val="00B45EB2"/>
    <w:rsid w:val="00B55E0E"/>
    <w:rsid w:val="00B915D2"/>
    <w:rsid w:val="00BB2756"/>
    <w:rsid w:val="00BE3D21"/>
    <w:rsid w:val="00BE425A"/>
    <w:rsid w:val="00BF330F"/>
    <w:rsid w:val="00BF33A1"/>
    <w:rsid w:val="00C00755"/>
    <w:rsid w:val="00C17BAF"/>
    <w:rsid w:val="00C26239"/>
    <w:rsid w:val="00C57362"/>
    <w:rsid w:val="00C70531"/>
    <w:rsid w:val="00C7570D"/>
    <w:rsid w:val="00C77630"/>
    <w:rsid w:val="00C91441"/>
    <w:rsid w:val="00C92969"/>
    <w:rsid w:val="00C95EE0"/>
    <w:rsid w:val="00CA3284"/>
    <w:rsid w:val="00CA50F3"/>
    <w:rsid w:val="00CA6539"/>
    <w:rsid w:val="00CC532C"/>
    <w:rsid w:val="00CE4D99"/>
    <w:rsid w:val="00D04FBF"/>
    <w:rsid w:val="00D10499"/>
    <w:rsid w:val="00D23804"/>
    <w:rsid w:val="00D549F3"/>
    <w:rsid w:val="00D57EC8"/>
    <w:rsid w:val="00D65CEC"/>
    <w:rsid w:val="00D71D99"/>
    <w:rsid w:val="00D754F2"/>
    <w:rsid w:val="00D86F22"/>
    <w:rsid w:val="00DB41C0"/>
    <w:rsid w:val="00DC1813"/>
    <w:rsid w:val="00DC2940"/>
    <w:rsid w:val="00DC4DB6"/>
    <w:rsid w:val="00DD0684"/>
    <w:rsid w:val="00DF23EB"/>
    <w:rsid w:val="00E26FA5"/>
    <w:rsid w:val="00E55200"/>
    <w:rsid w:val="00E80CC0"/>
    <w:rsid w:val="00E85C8D"/>
    <w:rsid w:val="00EA2629"/>
    <w:rsid w:val="00EA32C7"/>
    <w:rsid w:val="00EA7456"/>
    <w:rsid w:val="00EB4635"/>
    <w:rsid w:val="00EC59DD"/>
    <w:rsid w:val="00ED4D74"/>
    <w:rsid w:val="00F21E82"/>
    <w:rsid w:val="00F262A3"/>
    <w:rsid w:val="00F608EE"/>
    <w:rsid w:val="00F826BA"/>
    <w:rsid w:val="00F85CC6"/>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customStyle="1" w:styleId="StandaardSV">
    <w:name w:val="Standaard SV"/>
    <w:basedOn w:val="Standaard"/>
    <w:rsid w:val="00EA7456"/>
    <w:pPr>
      <w:jc w:val="both"/>
    </w:pPr>
    <w:rPr>
      <w:rFonts w:eastAsia="Calibri"/>
      <w:szCs w:val="22"/>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812</Words>
  <Characters>4622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Overloru</dc:creator>
  <cp:lastModifiedBy>Nathalie De Keyzer</cp:lastModifiedBy>
  <cp:revision>7</cp:revision>
  <cp:lastPrinted>2012-09-11T07:04:00Z</cp:lastPrinted>
  <dcterms:created xsi:type="dcterms:W3CDTF">2012-09-10T07:08:00Z</dcterms:created>
  <dcterms:modified xsi:type="dcterms:W3CDTF">2012-09-12T14:48:00Z</dcterms:modified>
</cp:coreProperties>
</file>