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3F" w:rsidRPr="00F45B3E" w:rsidRDefault="0000463F" w:rsidP="0000463F">
      <w:pPr>
        <w:pStyle w:val="Titel"/>
        <w:jc w:val="both"/>
        <w:outlineLvl w:val="0"/>
        <w:rPr>
          <w:rFonts w:ascii="Times New Roman Vet" w:hAnsi="Times New Roman Vet"/>
          <w:smallCaps/>
          <w:spacing w:val="-3"/>
          <w:sz w:val="22"/>
        </w:rPr>
      </w:pPr>
      <w:bookmarkStart w:id="0" w:name="OLE_LINK1"/>
      <w:bookmarkStart w:id="1" w:name="OLE_LINK2"/>
      <w:r w:rsidRPr="00F45B3E">
        <w:rPr>
          <w:rFonts w:ascii="Times New Roman Vet" w:hAnsi="Times New Roman Vet"/>
          <w:smallCaps/>
          <w:spacing w:val="-3"/>
          <w:sz w:val="22"/>
        </w:rPr>
        <w:t xml:space="preserve">joke </w:t>
      </w:r>
      <w:proofErr w:type="spellStart"/>
      <w:r w:rsidRPr="00F45B3E">
        <w:rPr>
          <w:rFonts w:ascii="Times New Roman Vet" w:hAnsi="Times New Roman Vet"/>
          <w:smallCaps/>
          <w:spacing w:val="-3"/>
          <w:sz w:val="22"/>
        </w:rPr>
        <w:t>schauvliege</w:t>
      </w:r>
      <w:proofErr w:type="spellEnd"/>
    </w:p>
    <w:p w:rsidR="0000463F" w:rsidRDefault="0000463F" w:rsidP="0000463F">
      <w:pPr>
        <w:pStyle w:val="Titel"/>
        <w:jc w:val="both"/>
        <w:outlineLvl w:val="0"/>
        <w:rPr>
          <w:b w:val="0"/>
          <w:smallCaps/>
          <w:spacing w:val="-3"/>
          <w:sz w:val="22"/>
        </w:rPr>
      </w:pPr>
      <w:proofErr w:type="spellStart"/>
      <w:r>
        <w:rPr>
          <w:b w:val="0"/>
          <w:smallCaps/>
          <w:spacing w:val="-3"/>
          <w:sz w:val="22"/>
        </w:rPr>
        <w:t>vlaams</w:t>
      </w:r>
      <w:proofErr w:type="spellEnd"/>
      <w:r>
        <w:rPr>
          <w:b w:val="0"/>
          <w:smallCaps/>
          <w:spacing w:val="-3"/>
          <w:sz w:val="22"/>
        </w:rPr>
        <w:t xml:space="preserve"> minister van leefmilieu, natuur en cultuur</w:t>
      </w:r>
    </w:p>
    <w:p w:rsidR="0000463F" w:rsidRDefault="0000463F" w:rsidP="0084788A">
      <w:pPr>
        <w:pStyle w:val="StandaardSV"/>
        <w:pBdr>
          <w:bottom w:val="single" w:sz="4" w:space="1" w:color="000000"/>
        </w:pBdr>
        <w:rPr>
          <w:smallCaps/>
        </w:rPr>
      </w:pPr>
    </w:p>
    <w:p w:rsidR="0084788A" w:rsidRDefault="0084788A" w:rsidP="0000463F">
      <w:pPr>
        <w:pStyle w:val="Titel"/>
        <w:jc w:val="both"/>
        <w:outlineLvl w:val="0"/>
        <w:rPr>
          <w:rFonts w:ascii="Times New Roman Vet" w:hAnsi="Times New Roman Vet"/>
          <w:smallCaps/>
          <w:spacing w:val="-3"/>
          <w:sz w:val="22"/>
        </w:rPr>
      </w:pPr>
    </w:p>
    <w:p w:rsidR="0000463F" w:rsidRPr="00F45B3E" w:rsidRDefault="0000463F" w:rsidP="0000463F">
      <w:pPr>
        <w:pStyle w:val="Titel"/>
        <w:jc w:val="both"/>
        <w:outlineLvl w:val="0"/>
        <w:rPr>
          <w:rFonts w:ascii="Times New Roman Vet" w:hAnsi="Times New Roman Vet"/>
          <w:smallCaps/>
          <w:spacing w:val="-3"/>
          <w:sz w:val="22"/>
        </w:rPr>
      </w:pPr>
      <w:r w:rsidRPr="00F45B3E">
        <w:rPr>
          <w:rFonts w:ascii="Times New Roman Vet" w:hAnsi="Times New Roman Vet"/>
          <w:smallCaps/>
          <w:spacing w:val="-3"/>
          <w:sz w:val="22"/>
        </w:rPr>
        <w:t xml:space="preserve">antwoord </w:t>
      </w:r>
    </w:p>
    <w:p w:rsidR="0000463F" w:rsidRDefault="0000463F" w:rsidP="0000463F">
      <w:pPr>
        <w:pStyle w:val="Titel"/>
        <w:jc w:val="both"/>
        <w:rPr>
          <w:b w:val="0"/>
          <w:spacing w:val="-3"/>
          <w:sz w:val="22"/>
        </w:rPr>
      </w:pPr>
      <w:r>
        <w:rPr>
          <w:b w:val="0"/>
          <w:spacing w:val="-3"/>
          <w:sz w:val="22"/>
        </w:rPr>
        <w:t>op vraag nr. 565 van 14 juni 2012</w:t>
      </w:r>
    </w:p>
    <w:p w:rsidR="0000463F" w:rsidRDefault="0000463F" w:rsidP="0000463F">
      <w:pPr>
        <w:pStyle w:val="Titel"/>
        <w:jc w:val="both"/>
        <w:rPr>
          <w:smallCaps/>
          <w:spacing w:val="-3"/>
          <w:sz w:val="22"/>
        </w:rPr>
      </w:pPr>
      <w:r>
        <w:rPr>
          <w:b w:val="0"/>
          <w:spacing w:val="-3"/>
          <w:sz w:val="22"/>
        </w:rPr>
        <w:t xml:space="preserve">van </w:t>
      </w:r>
      <w:proofErr w:type="spellStart"/>
      <w:r w:rsidR="006D447C">
        <w:rPr>
          <w:rFonts w:ascii="Times New Roman Vet" w:hAnsi="Times New Roman Vet"/>
          <w:smallCaps/>
          <w:spacing w:val="-3"/>
          <w:sz w:val="22"/>
        </w:rPr>
        <w:t>tine</w:t>
      </w:r>
      <w:proofErr w:type="spellEnd"/>
      <w:r w:rsidR="006D447C">
        <w:rPr>
          <w:rFonts w:ascii="Times New Roman Vet" w:hAnsi="Times New Roman Vet"/>
          <w:smallCaps/>
          <w:spacing w:val="-3"/>
          <w:sz w:val="22"/>
        </w:rPr>
        <w:t xml:space="preserve"> </w:t>
      </w:r>
      <w:proofErr w:type="spellStart"/>
      <w:r w:rsidR="006D447C">
        <w:rPr>
          <w:rFonts w:ascii="Times New Roman Vet" w:hAnsi="Times New Roman Vet"/>
          <w:smallCaps/>
          <w:spacing w:val="-3"/>
          <w:sz w:val="22"/>
        </w:rPr>
        <w:t>e</w:t>
      </w:r>
      <w:r w:rsidRPr="00D86E8C">
        <w:rPr>
          <w:rFonts w:ascii="Times New Roman Vet" w:hAnsi="Times New Roman Vet"/>
          <w:smallCaps/>
          <w:spacing w:val="-3"/>
          <w:sz w:val="22"/>
        </w:rPr>
        <w:t>erlingen</w:t>
      </w:r>
      <w:proofErr w:type="spellEnd"/>
    </w:p>
    <w:p w:rsidR="0000463F" w:rsidRDefault="0000463F" w:rsidP="0084788A">
      <w:pPr>
        <w:pStyle w:val="Titel"/>
        <w:pBdr>
          <w:bottom w:val="single" w:sz="4" w:space="1" w:color="000000"/>
        </w:pBdr>
        <w:jc w:val="both"/>
        <w:rPr>
          <w:b w:val="0"/>
          <w:spacing w:val="-3"/>
          <w:sz w:val="22"/>
        </w:rPr>
      </w:pPr>
    </w:p>
    <w:p w:rsidR="0000463F" w:rsidRDefault="0000463F" w:rsidP="0000463F">
      <w:pPr>
        <w:jc w:val="both"/>
        <w:rPr>
          <w:rFonts w:ascii="Times New Roman" w:hAnsi="Times New Roman"/>
          <w:sz w:val="22"/>
        </w:rPr>
      </w:pPr>
    </w:p>
    <w:bookmarkEnd w:id="0"/>
    <w:bookmarkEnd w:id="1"/>
    <w:p w:rsidR="0000463F" w:rsidRDefault="0000463F" w:rsidP="0000463F">
      <w:pPr>
        <w:pStyle w:val="SVTitel"/>
      </w:pPr>
    </w:p>
    <w:p w:rsidR="0000463F" w:rsidRDefault="0000463F" w:rsidP="0084788A">
      <w:pPr>
        <w:pStyle w:val="SVTitel"/>
        <w:numPr>
          <w:ilvl w:val="0"/>
          <w:numId w:val="4"/>
        </w:numPr>
        <w:rPr>
          <w:i w:val="0"/>
          <w:szCs w:val="22"/>
        </w:rPr>
      </w:pPr>
      <w:r>
        <w:rPr>
          <w:i w:val="0"/>
          <w:szCs w:val="22"/>
        </w:rPr>
        <w:t>Aangezien het Vlaams Adaptatieplan samen met het Vlaams Mitigatieplan het Vlaams Klimaatbeleidsplan vormt, is de planning en de procedure v</w:t>
      </w:r>
      <w:r w:rsidR="006D447C">
        <w:rPr>
          <w:i w:val="0"/>
          <w:szCs w:val="22"/>
        </w:rPr>
        <w:t>oor het Vlaams Adaptatieplan de</w:t>
      </w:r>
      <w:r>
        <w:rPr>
          <w:i w:val="0"/>
          <w:szCs w:val="22"/>
        </w:rPr>
        <w:t xml:space="preserve">zelfde als die van het Vlaams Mitigatieplan, waarbij gewerkt wordt richting een goedkeuring voor het einde van dit jaar. </w:t>
      </w:r>
    </w:p>
    <w:p w:rsidR="0000463F" w:rsidRDefault="0000463F" w:rsidP="0000463F">
      <w:pPr>
        <w:pStyle w:val="SVTitel"/>
        <w:rPr>
          <w:i w:val="0"/>
          <w:szCs w:val="22"/>
        </w:rPr>
      </w:pPr>
    </w:p>
    <w:p w:rsidR="0000463F" w:rsidRDefault="0000463F" w:rsidP="0084788A">
      <w:pPr>
        <w:pStyle w:val="SVTitel"/>
        <w:ind w:left="360"/>
        <w:rPr>
          <w:i w:val="0"/>
          <w:szCs w:val="22"/>
        </w:rPr>
      </w:pPr>
      <w:r w:rsidRPr="00B87173">
        <w:rPr>
          <w:i w:val="0"/>
          <w:szCs w:val="22"/>
        </w:rPr>
        <w:t>Op dit moment wordt het ontwerp</w:t>
      </w:r>
      <w:r>
        <w:rPr>
          <w:i w:val="0"/>
          <w:szCs w:val="22"/>
        </w:rPr>
        <w:t>-Adaptatie</w:t>
      </w:r>
      <w:r w:rsidRPr="00B87173">
        <w:rPr>
          <w:i w:val="0"/>
          <w:szCs w:val="22"/>
        </w:rPr>
        <w:t xml:space="preserve">plan geschreven, mede op basis van de input van de andere beleidsvelden en het middenveld (zoals </w:t>
      </w:r>
      <w:r>
        <w:rPr>
          <w:i w:val="0"/>
          <w:szCs w:val="22"/>
        </w:rPr>
        <w:t xml:space="preserve">ook </w:t>
      </w:r>
      <w:r w:rsidRPr="00B87173">
        <w:rPr>
          <w:i w:val="0"/>
          <w:szCs w:val="22"/>
        </w:rPr>
        <w:t xml:space="preserve">beschreven </w:t>
      </w:r>
      <w:r>
        <w:rPr>
          <w:i w:val="0"/>
          <w:szCs w:val="22"/>
        </w:rPr>
        <w:t>onder deelvraag 2 en 3). Na afronding zullen beide plannen (gezamenlijk) aan de regering worden voorgelegd ter principiële goedkeuring. Vervolgens zal het advies van de betrokken adviesraden worden ingewonnen. Nadat deze adviezen in de respectievelijke plannen verwerkt zijn, zal het plan ter finale goedkeuring aan de regering worden voorgelegd.</w:t>
      </w:r>
    </w:p>
    <w:p w:rsidR="0000463F" w:rsidRDefault="0000463F" w:rsidP="0000463F">
      <w:pPr>
        <w:pStyle w:val="SVTitel"/>
        <w:rPr>
          <w:szCs w:val="22"/>
        </w:rPr>
      </w:pPr>
    </w:p>
    <w:p w:rsidR="0000463F" w:rsidRDefault="0000463F" w:rsidP="0084788A">
      <w:pPr>
        <w:pStyle w:val="SVTitel"/>
        <w:numPr>
          <w:ilvl w:val="0"/>
          <w:numId w:val="4"/>
        </w:numPr>
        <w:rPr>
          <w:i w:val="0"/>
          <w:szCs w:val="22"/>
        </w:rPr>
      </w:pPr>
      <w:r>
        <w:rPr>
          <w:i w:val="0"/>
          <w:szCs w:val="22"/>
        </w:rPr>
        <w:t xml:space="preserve">Het ontwikkelingstraject van het Vlaams Adaptatieplan is </w:t>
      </w:r>
      <w:r w:rsidR="006D447C">
        <w:rPr>
          <w:i w:val="0"/>
          <w:szCs w:val="22"/>
        </w:rPr>
        <w:t xml:space="preserve">gestart </w:t>
      </w:r>
      <w:r>
        <w:rPr>
          <w:i w:val="0"/>
          <w:szCs w:val="22"/>
        </w:rPr>
        <w:t>met een grote klimaatconferentie over adaptatie op 28 mei 2011. Hier hebben ongeveer 100 deelnemers (middenveldorganisaties, provincies, steden en gemeenten, universiteiten,…) input geleverd op het voorgestelde traject en aangegeven wat binnen de verschillende sectoren de belangrijkste elementen waren om mee te nemen.</w:t>
      </w:r>
    </w:p>
    <w:p w:rsidR="0000463F" w:rsidRDefault="0000463F" w:rsidP="0000463F">
      <w:pPr>
        <w:pStyle w:val="SVTitel"/>
        <w:rPr>
          <w:i w:val="0"/>
          <w:szCs w:val="22"/>
        </w:rPr>
      </w:pPr>
    </w:p>
    <w:p w:rsidR="0000463F" w:rsidRDefault="0000463F" w:rsidP="0084788A">
      <w:pPr>
        <w:pStyle w:val="SVTitel"/>
        <w:ind w:left="360"/>
        <w:rPr>
          <w:i w:val="0"/>
          <w:szCs w:val="22"/>
        </w:rPr>
      </w:pPr>
      <w:r>
        <w:rPr>
          <w:i w:val="0"/>
          <w:szCs w:val="22"/>
        </w:rPr>
        <w:t>Mede op basis van deze input is gestart met het opmaken van het plan, waarvan de opbouw en grote lijnen op 14 juni 2012 besproken zijn in een ronde tafel overleg met de verschillende relevante adviesraden. Hierbij waren aanwezig:</w:t>
      </w:r>
    </w:p>
    <w:p w:rsidR="0000463F" w:rsidRDefault="0000463F" w:rsidP="0000463F">
      <w:pPr>
        <w:pStyle w:val="SVTitel"/>
        <w:rPr>
          <w:i w:val="0"/>
          <w:szCs w:val="22"/>
        </w:rPr>
      </w:pPr>
    </w:p>
    <w:p w:rsidR="0000463F" w:rsidRDefault="006D447C" w:rsidP="0000463F">
      <w:pPr>
        <w:pStyle w:val="SVTitel"/>
        <w:numPr>
          <w:ilvl w:val="0"/>
          <w:numId w:val="1"/>
        </w:numPr>
        <w:rPr>
          <w:i w:val="0"/>
          <w:szCs w:val="22"/>
        </w:rPr>
      </w:pPr>
      <w:r>
        <w:rPr>
          <w:i w:val="0"/>
          <w:szCs w:val="22"/>
        </w:rPr>
        <w:t>De Milieu- en Natuurraad (</w:t>
      </w:r>
      <w:proofErr w:type="spellStart"/>
      <w:r>
        <w:rPr>
          <w:i w:val="0"/>
          <w:szCs w:val="22"/>
        </w:rPr>
        <w:t>Minaraad</w:t>
      </w:r>
      <w:proofErr w:type="spellEnd"/>
      <w:r w:rsidR="0000463F">
        <w:rPr>
          <w:i w:val="0"/>
          <w:szCs w:val="22"/>
        </w:rPr>
        <w:t>)</w:t>
      </w:r>
    </w:p>
    <w:p w:rsidR="0000463F" w:rsidRDefault="0000463F" w:rsidP="0000463F">
      <w:pPr>
        <w:pStyle w:val="SVTitel"/>
        <w:numPr>
          <w:ilvl w:val="0"/>
          <w:numId w:val="1"/>
        </w:numPr>
        <w:rPr>
          <w:i w:val="0"/>
          <w:szCs w:val="22"/>
        </w:rPr>
      </w:pPr>
      <w:r>
        <w:rPr>
          <w:i w:val="0"/>
          <w:szCs w:val="22"/>
        </w:rPr>
        <w:t>De Strategische Adviesraad Ruimtelijke Ordening (SARO)</w:t>
      </w:r>
    </w:p>
    <w:p w:rsidR="0000463F" w:rsidRDefault="0000463F" w:rsidP="0000463F">
      <w:pPr>
        <w:pStyle w:val="SVTitel"/>
        <w:numPr>
          <w:ilvl w:val="0"/>
          <w:numId w:val="1"/>
        </w:numPr>
        <w:rPr>
          <w:i w:val="0"/>
          <w:szCs w:val="22"/>
        </w:rPr>
      </w:pPr>
      <w:r>
        <w:rPr>
          <w:i w:val="0"/>
          <w:szCs w:val="22"/>
        </w:rPr>
        <w:t>De Strategische Adviesraad voor Landbouw en Visserij (SALV)</w:t>
      </w:r>
    </w:p>
    <w:p w:rsidR="0000463F" w:rsidRDefault="0000463F" w:rsidP="0000463F">
      <w:pPr>
        <w:pStyle w:val="SVTitel"/>
        <w:numPr>
          <w:ilvl w:val="0"/>
          <w:numId w:val="1"/>
        </w:numPr>
        <w:rPr>
          <w:i w:val="0"/>
          <w:szCs w:val="22"/>
        </w:rPr>
      </w:pPr>
      <w:r>
        <w:rPr>
          <w:i w:val="0"/>
          <w:szCs w:val="22"/>
        </w:rPr>
        <w:t>De Mobiliteitsraad (MORA)</w:t>
      </w:r>
    </w:p>
    <w:p w:rsidR="0000463F" w:rsidRDefault="0000463F" w:rsidP="0000463F">
      <w:pPr>
        <w:pStyle w:val="SVTitel"/>
        <w:numPr>
          <w:ilvl w:val="0"/>
          <w:numId w:val="1"/>
        </w:numPr>
        <w:rPr>
          <w:i w:val="0"/>
          <w:szCs w:val="22"/>
        </w:rPr>
      </w:pPr>
      <w:r>
        <w:rPr>
          <w:i w:val="0"/>
          <w:szCs w:val="22"/>
        </w:rPr>
        <w:t>De Strategische Adviesraad internationaal Vlaanderen (</w:t>
      </w:r>
      <w:proofErr w:type="spellStart"/>
      <w:r>
        <w:rPr>
          <w:i w:val="0"/>
          <w:szCs w:val="22"/>
        </w:rPr>
        <w:t>SARiV</w:t>
      </w:r>
      <w:proofErr w:type="spellEnd"/>
      <w:r>
        <w:rPr>
          <w:i w:val="0"/>
          <w:szCs w:val="22"/>
        </w:rPr>
        <w:t>)</w:t>
      </w:r>
    </w:p>
    <w:p w:rsidR="0000463F" w:rsidRDefault="0000463F" w:rsidP="0000463F">
      <w:pPr>
        <w:pStyle w:val="SVTitel"/>
        <w:numPr>
          <w:ilvl w:val="0"/>
          <w:numId w:val="1"/>
        </w:numPr>
        <w:rPr>
          <w:i w:val="0"/>
          <w:szCs w:val="22"/>
        </w:rPr>
      </w:pPr>
      <w:r>
        <w:rPr>
          <w:i w:val="0"/>
          <w:szCs w:val="22"/>
        </w:rPr>
        <w:t>De Vlaamse Adviesraad voor Bestuurszaken (Vlabest)</w:t>
      </w:r>
    </w:p>
    <w:p w:rsidR="0000463F" w:rsidRDefault="0000463F" w:rsidP="0000463F">
      <w:pPr>
        <w:pStyle w:val="SVTitel"/>
        <w:rPr>
          <w:i w:val="0"/>
          <w:szCs w:val="22"/>
        </w:rPr>
      </w:pPr>
    </w:p>
    <w:p w:rsidR="0000463F" w:rsidRDefault="0000463F" w:rsidP="0084788A">
      <w:pPr>
        <w:pStyle w:val="SVTitel"/>
        <w:ind w:left="360"/>
        <w:rPr>
          <w:i w:val="0"/>
          <w:szCs w:val="22"/>
        </w:rPr>
      </w:pPr>
      <w:r>
        <w:rPr>
          <w:i w:val="0"/>
          <w:szCs w:val="22"/>
        </w:rPr>
        <w:t>Ook aanwezig waren vertegenwoordigers van de Boerenbond, het Vlaams netwerk van ondernemers (VOKA), Natuurpunt en de Vereniging van Vlaamse Steden en Gemeenten (VVSG). De Sociaal Economische Raad voor Vlaanderen (SERV) en de Strategische Adviesraad Welzijn Volksgezondheid en Gezin waren ook uitgenodigd, maar konden niet aanwezig zijn.</w:t>
      </w:r>
    </w:p>
    <w:p w:rsidR="0000463F" w:rsidRDefault="0000463F" w:rsidP="0000463F">
      <w:pPr>
        <w:pStyle w:val="SVTitel"/>
        <w:rPr>
          <w:i w:val="0"/>
          <w:szCs w:val="22"/>
        </w:rPr>
      </w:pPr>
    </w:p>
    <w:p w:rsidR="0000463F" w:rsidRDefault="0000463F" w:rsidP="0084788A">
      <w:pPr>
        <w:pStyle w:val="SVTitel"/>
        <w:ind w:left="360"/>
        <w:rPr>
          <w:i w:val="0"/>
          <w:szCs w:val="22"/>
        </w:rPr>
      </w:pPr>
      <w:r>
        <w:rPr>
          <w:i w:val="0"/>
          <w:szCs w:val="22"/>
        </w:rPr>
        <w:t>Daarnaast worden de verschillende beleidsdomeinen via de Vlaamse Taskforce Adaptatie aangespoord om (het voor hen relevante deel van) het adaptatieplan met hun eigen stakeholders te bespreken en zo verdere input te krijgen. Dit is al gedaan door het beleidsdomein Landbouw en Visserij, de Coördinati</w:t>
      </w:r>
      <w:r w:rsidR="006D447C">
        <w:rPr>
          <w:i w:val="0"/>
          <w:szCs w:val="22"/>
        </w:rPr>
        <w:t>ecommissie Integraal Waterbeleid</w:t>
      </w:r>
      <w:r>
        <w:rPr>
          <w:i w:val="0"/>
          <w:szCs w:val="22"/>
        </w:rPr>
        <w:t xml:space="preserve"> en door </w:t>
      </w:r>
      <w:r w:rsidR="006D447C">
        <w:rPr>
          <w:i w:val="0"/>
          <w:szCs w:val="22"/>
        </w:rPr>
        <w:t>het</w:t>
      </w:r>
      <w:r>
        <w:rPr>
          <w:i w:val="0"/>
          <w:szCs w:val="22"/>
        </w:rPr>
        <w:t xml:space="preserve"> beleidsdomein Leefmilieu, Natuur en Energie.</w:t>
      </w:r>
    </w:p>
    <w:p w:rsidR="0000463F" w:rsidRDefault="0000463F" w:rsidP="0000463F">
      <w:pPr>
        <w:pStyle w:val="SVTitel"/>
        <w:rPr>
          <w:i w:val="0"/>
          <w:szCs w:val="22"/>
        </w:rPr>
      </w:pPr>
    </w:p>
    <w:p w:rsidR="0000463F" w:rsidRPr="0079531D" w:rsidRDefault="0000463F" w:rsidP="0084788A">
      <w:pPr>
        <w:pStyle w:val="SVTitel"/>
        <w:ind w:left="360"/>
        <w:rPr>
          <w:i w:val="0"/>
          <w:szCs w:val="22"/>
        </w:rPr>
      </w:pPr>
      <w:r>
        <w:rPr>
          <w:i w:val="0"/>
          <w:szCs w:val="22"/>
        </w:rPr>
        <w:t xml:space="preserve">Verder is het belangrijk om op te merken dat het Vlaams Adaptatieplan in principe enkel te nemen maatregelen beschrijft voor de Vlaamse overheid en dus geen opdrachten richting andere overheden of de burger formuleert. </w:t>
      </w:r>
    </w:p>
    <w:p w:rsidR="0000463F" w:rsidRDefault="0000463F" w:rsidP="0000463F">
      <w:pPr>
        <w:pStyle w:val="SVTitel"/>
        <w:rPr>
          <w:i w:val="0"/>
          <w:szCs w:val="22"/>
        </w:rPr>
      </w:pPr>
    </w:p>
    <w:p w:rsidR="0000463F" w:rsidRDefault="006D447C" w:rsidP="0084788A">
      <w:pPr>
        <w:pStyle w:val="SVTitel"/>
        <w:numPr>
          <w:ilvl w:val="0"/>
          <w:numId w:val="4"/>
        </w:numPr>
        <w:rPr>
          <w:i w:val="0"/>
          <w:szCs w:val="22"/>
        </w:rPr>
      </w:pPr>
      <w:r>
        <w:rPr>
          <w:i w:val="0"/>
          <w:szCs w:val="22"/>
        </w:rPr>
        <w:lastRenderedPageBreak/>
        <w:t>H</w:t>
      </w:r>
      <w:r w:rsidR="0000463F">
        <w:rPr>
          <w:i w:val="0"/>
          <w:szCs w:val="22"/>
        </w:rPr>
        <w:t xml:space="preserve">et Vlaams Adaptatieplan </w:t>
      </w:r>
      <w:r>
        <w:rPr>
          <w:i w:val="0"/>
          <w:szCs w:val="22"/>
        </w:rPr>
        <w:t xml:space="preserve">wordt </w:t>
      </w:r>
      <w:r w:rsidR="0000463F">
        <w:rPr>
          <w:i w:val="0"/>
          <w:szCs w:val="22"/>
        </w:rPr>
        <w:t xml:space="preserve">ontwikkeld door de Vlaamse Taskforce Adaptatie, waarin de volgende beleidsdomeinen vertegenwoordigd zijn: </w:t>
      </w:r>
    </w:p>
    <w:p w:rsidR="0000463F" w:rsidRDefault="0000463F" w:rsidP="0000463F">
      <w:pPr>
        <w:pStyle w:val="SVTitel"/>
        <w:rPr>
          <w:i w:val="0"/>
          <w:szCs w:val="22"/>
        </w:rPr>
      </w:pPr>
    </w:p>
    <w:p w:rsidR="0000463F" w:rsidRPr="00E1297E" w:rsidRDefault="0000463F" w:rsidP="0000463F">
      <w:pPr>
        <w:pStyle w:val="SVTitel"/>
        <w:numPr>
          <w:ilvl w:val="0"/>
          <w:numId w:val="2"/>
        </w:numPr>
        <w:rPr>
          <w:i w:val="0"/>
          <w:szCs w:val="22"/>
        </w:rPr>
      </w:pPr>
      <w:r w:rsidRPr="00E1297E">
        <w:rPr>
          <w:i w:val="0"/>
          <w:szCs w:val="22"/>
        </w:rPr>
        <w:t>Bestuurszaken</w:t>
      </w:r>
    </w:p>
    <w:p w:rsidR="0000463F" w:rsidRPr="00E1297E" w:rsidRDefault="0000463F" w:rsidP="0000463F">
      <w:pPr>
        <w:pStyle w:val="SVTitel"/>
        <w:numPr>
          <w:ilvl w:val="0"/>
          <w:numId w:val="2"/>
        </w:numPr>
        <w:rPr>
          <w:i w:val="0"/>
          <w:szCs w:val="22"/>
        </w:rPr>
      </w:pPr>
      <w:r w:rsidRPr="00E1297E">
        <w:rPr>
          <w:i w:val="0"/>
          <w:szCs w:val="22"/>
        </w:rPr>
        <w:t>Economie, Wetenschap en Innovatie</w:t>
      </w:r>
    </w:p>
    <w:p w:rsidR="0000463F" w:rsidRPr="00E1297E" w:rsidRDefault="0000463F" w:rsidP="0000463F">
      <w:pPr>
        <w:pStyle w:val="SVTitel"/>
        <w:numPr>
          <w:ilvl w:val="0"/>
          <w:numId w:val="2"/>
        </w:numPr>
        <w:rPr>
          <w:i w:val="0"/>
          <w:szCs w:val="22"/>
        </w:rPr>
      </w:pPr>
      <w:r w:rsidRPr="00E1297E">
        <w:rPr>
          <w:i w:val="0"/>
          <w:szCs w:val="22"/>
        </w:rPr>
        <w:t>Financiën en Begroting</w:t>
      </w:r>
    </w:p>
    <w:p w:rsidR="0000463F" w:rsidRPr="00E1297E" w:rsidRDefault="0000463F" w:rsidP="0000463F">
      <w:pPr>
        <w:pStyle w:val="SVTitel"/>
        <w:numPr>
          <w:ilvl w:val="0"/>
          <w:numId w:val="2"/>
        </w:numPr>
        <w:rPr>
          <w:i w:val="0"/>
          <w:szCs w:val="22"/>
        </w:rPr>
      </w:pPr>
      <w:r w:rsidRPr="00E1297E">
        <w:rPr>
          <w:i w:val="0"/>
          <w:szCs w:val="22"/>
        </w:rPr>
        <w:t>Internationaal Vlaanderen</w:t>
      </w:r>
    </w:p>
    <w:p w:rsidR="0000463F" w:rsidRPr="00E1297E" w:rsidRDefault="0000463F" w:rsidP="0000463F">
      <w:pPr>
        <w:pStyle w:val="SVTitel"/>
        <w:numPr>
          <w:ilvl w:val="0"/>
          <w:numId w:val="2"/>
        </w:numPr>
        <w:rPr>
          <w:i w:val="0"/>
          <w:szCs w:val="22"/>
        </w:rPr>
      </w:pPr>
      <w:r w:rsidRPr="00E1297E">
        <w:rPr>
          <w:i w:val="0"/>
          <w:szCs w:val="22"/>
        </w:rPr>
        <w:t>Landbouw en Visserij</w:t>
      </w:r>
    </w:p>
    <w:p w:rsidR="0000463F" w:rsidRPr="00E1297E" w:rsidRDefault="0000463F" w:rsidP="0000463F">
      <w:pPr>
        <w:pStyle w:val="SVTitel"/>
        <w:numPr>
          <w:ilvl w:val="0"/>
          <w:numId w:val="2"/>
        </w:numPr>
        <w:rPr>
          <w:i w:val="0"/>
          <w:szCs w:val="22"/>
        </w:rPr>
      </w:pPr>
      <w:r w:rsidRPr="00E1297E">
        <w:rPr>
          <w:i w:val="0"/>
          <w:szCs w:val="22"/>
        </w:rPr>
        <w:t xml:space="preserve">Leefmilieu, Natuur en Energie </w:t>
      </w:r>
    </w:p>
    <w:p w:rsidR="0000463F" w:rsidRPr="00E1297E" w:rsidRDefault="0000463F" w:rsidP="0000463F">
      <w:pPr>
        <w:pStyle w:val="SVTitel"/>
        <w:numPr>
          <w:ilvl w:val="0"/>
          <w:numId w:val="2"/>
        </w:numPr>
        <w:rPr>
          <w:i w:val="0"/>
          <w:szCs w:val="22"/>
        </w:rPr>
      </w:pPr>
      <w:r w:rsidRPr="00E1297E">
        <w:rPr>
          <w:i w:val="0"/>
          <w:szCs w:val="22"/>
        </w:rPr>
        <w:t>Mobiliteit en Openbare Werken</w:t>
      </w:r>
    </w:p>
    <w:p w:rsidR="0000463F" w:rsidRPr="00E1297E" w:rsidRDefault="0000463F" w:rsidP="0000463F">
      <w:pPr>
        <w:pStyle w:val="SVTitel"/>
        <w:numPr>
          <w:ilvl w:val="0"/>
          <w:numId w:val="2"/>
        </w:numPr>
        <w:rPr>
          <w:i w:val="0"/>
          <w:szCs w:val="22"/>
        </w:rPr>
      </w:pPr>
      <w:r w:rsidRPr="00E1297E">
        <w:rPr>
          <w:i w:val="0"/>
          <w:szCs w:val="22"/>
        </w:rPr>
        <w:t>Onderwijs en Vorming</w:t>
      </w:r>
    </w:p>
    <w:p w:rsidR="0000463F" w:rsidRPr="00E1297E" w:rsidRDefault="0000463F" w:rsidP="0000463F">
      <w:pPr>
        <w:pStyle w:val="SVTitel"/>
        <w:numPr>
          <w:ilvl w:val="0"/>
          <w:numId w:val="2"/>
        </w:numPr>
        <w:rPr>
          <w:i w:val="0"/>
          <w:szCs w:val="22"/>
        </w:rPr>
      </w:pPr>
      <w:r w:rsidRPr="00E1297E">
        <w:rPr>
          <w:i w:val="0"/>
          <w:szCs w:val="22"/>
        </w:rPr>
        <w:t>Ruimtelijke Ordening, Woonbeleid en Onroerend Erfgoed</w:t>
      </w:r>
    </w:p>
    <w:p w:rsidR="0000463F" w:rsidRDefault="0000463F" w:rsidP="0000463F">
      <w:pPr>
        <w:pStyle w:val="SVTitel"/>
        <w:numPr>
          <w:ilvl w:val="0"/>
          <w:numId w:val="2"/>
        </w:numPr>
        <w:rPr>
          <w:i w:val="0"/>
          <w:szCs w:val="22"/>
        </w:rPr>
      </w:pPr>
      <w:r w:rsidRPr="00E1297E">
        <w:rPr>
          <w:i w:val="0"/>
          <w:szCs w:val="22"/>
        </w:rPr>
        <w:t>Welzijn, Volksgezondheid en Gezin</w:t>
      </w:r>
    </w:p>
    <w:p w:rsidR="0000463F" w:rsidRDefault="0000463F" w:rsidP="0000463F">
      <w:pPr>
        <w:pStyle w:val="SVTitel"/>
        <w:ind w:left="1068"/>
        <w:rPr>
          <w:i w:val="0"/>
          <w:szCs w:val="22"/>
        </w:rPr>
      </w:pPr>
    </w:p>
    <w:p w:rsidR="0000463F" w:rsidRPr="009E3FAD" w:rsidRDefault="0000463F" w:rsidP="0084788A">
      <w:pPr>
        <w:pStyle w:val="SVTitel"/>
        <w:ind w:left="360"/>
        <w:rPr>
          <w:i w:val="0"/>
          <w:szCs w:val="22"/>
        </w:rPr>
      </w:pPr>
      <w:r w:rsidRPr="009E3FAD">
        <w:rPr>
          <w:i w:val="0"/>
          <w:szCs w:val="22"/>
        </w:rPr>
        <w:t>Daarnaast is ook de Coördinatiecomm</w:t>
      </w:r>
      <w:r w:rsidR="006D447C">
        <w:rPr>
          <w:i w:val="0"/>
          <w:szCs w:val="22"/>
        </w:rPr>
        <w:t>issie Integraal Waterbeleid</w:t>
      </w:r>
      <w:r w:rsidRPr="009E3FAD">
        <w:rPr>
          <w:i w:val="0"/>
          <w:szCs w:val="22"/>
        </w:rPr>
        <w:t xml:space="preserve"> (C</w:t>
      </w:r>
      <w:r>
        <w:rPr>
          <w:i w:val="0"/>
          <w:szCs w:val="22"/>
        </w:rPr>
        <w:t xml:space="preserve">IW) gevraagd om van </w:t>
      </w:r>
      <w:r w:rsidRPr="009E3FAD">
        <w:rPr>
          <w:i w:val="0"/>
          <w:szCs w:val="22"/>
        </w:rPr>
        <w:t xml:space="preserve">deze taskforce </w:t>
      </w:r>
      <w:r>
        <w:rPr>
          <w:i w:val="0"/>
          <w:szCs w:val="22"/>
        </w:rPr>
        <w:t>deel uit te maken</w:t>
      </w:r>
      <w:r w:rsidRPr="009E3FAD">
        <w:rPr>
          <w:i w:val="0"/>
          <w:szCs w:val="22"/>
        </w:rPr>
        <w:t xml:space="preserve">. </w:t>
      </w:r>
    </w:p>
    <w:p w:rsidR="0000463F" w:rsidRDefault="0000463F" w:rsidP="0000463F">
      <w:pPr>
        <w:pStyle w:val="SVTitel"/>
        <w:rPr>
          <w:i w:val="0"/>
          <w:szCs w:val="22"/>
        </w:rPr>
      </w:pPr>
    </w:p>
    <w:p w:rsidR="0000463F" w:rsidRDefault="0000463F" w:rsidP="0084788A">
      <w:pPr>
        <w:pStyle w:val="SVTitel"/>
        <w:ind w:left="360"/>
        <w:rPr>
          <w:i w:val="0"/>
          <w:szCs w:val="22"/>
        </w:rPr>
      </w:pPr>
      <w:r>
        <w:rPr>
          <w:i w:val="0"/>
          <w:szCs w:val="22"/>
        </w:rPr>
        <w:t>Het plan is gebaseerd op de input van de verschillende beleidsdomeinen. Met uitzondering van de beleidsdomeinen ‘Bestuurszaken’ en ‘Financiën en Begroting’ hebben de taskforce-leden teksten aangeleverd waarin de effecten en mogelijke maatregelen staan beschreven.</w:t>
      </w:r>
      <w:bookmarkStart w:id="2" w:name="_GoBack"/>
      <w:bookmarkEnd w:id="2"/>
    </w:p>
    <w:sectPr w:rsidR="0000463F" w:rsidSect="005C7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3D5"/>
    <w:multiLevelType w:val="hybridMultilevel"/>
    <w:tmpl w:val="020E4682"/>
    <w:lvl w:ilvl="0" w:tplc="08130001">
      <w:start w:val="1"/>
      <w:numFmt w:val="bullet"/>
      <w:lvlText w:val=""/>
      <w:lvlJc w:val="left"/>
      <w:pPr>
        <w:ind w:left="1068" w:hanging="708"/>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FE0828"/>
    <w:multiLevelType w:val="hybridMultilevel"/>
    <w:tmpl w:val="08CCDD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FA11183"/>
    <w:multiLevelType w:val="hybridMultilevel"/>
    <w:tmpl w:val="EF9AAE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21A2A70"/>
    <w:multiLevelType w:val="hybridMultilevel"/>
    <w:tmpl w:val="08FA9C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0463F"/>
    <w:rsid w:val="0000463F"/>
    <w:rsid w:val="005C7CB4"/>
    <w:rsid w:val="006D447C"/>
    <w:rsid w:val="0084788A"/>
    <w:rsid w:val="00FE5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63F"/>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00463F"/>
    <w:pPr>
      <w:jc w:val="center"/>
    </w:pPr>
    <w:rPr>
      <w:rFonts w:ascii="Times New Roman" w:hAnsi="Times New Roman"/>
      <w:b/>
    </w:rPr>
  </w:style>
  <w:style w:type="character" w:customStyle="1" w:styleId="TitelChar">
    <w:name w:val="Titel Char"/>
    <w:basedOn w:val="Standaardalinea-lettertype"/>
    <w:link w:val="Titel"/>
    <w:rsid w:val="0000463F"/>
    <w:rPr>
      <w:rFonts w:ascii="Times New Roman" w:eastAsia="Times New Roman" w:hAnsi="Times New Roman" w:cs="Times New Roman"/>
      <w:b/>
      <w:sz w:val="20"/>
      <w:szCs w:val="20"/>
      <w:lang w:val="nl-NL" w:eastAsia="ar-SA"/>
    </w:rPr>
  </w:style>
  <w:style w:type="paragraph" w:customStyle="1" w:styleId="StandaardSV">
    <w:name w:val="Standaard SV"/>
    <w:basedOn w:val="Standaard"/>
    <w:uiPriority w:val="99"/>
    <w:rsid w:val="0000463F"/>
    <w:pPr>
      <w:jc w:val="both"/>
    </w:pPr>
    <w:rPr>
      <w:rFonts w:ascii="Times New Roman" w:hAnsi="Times New Roman"/>
      <w:sz w:val="22"/>
    </w:rPr>
  </w:style>
  <w:style w:type="paragraph" w:customStyle="1" w:styleId="SVTitel">
    <w:name w:val="SV Titel"/>
    <w:basedOn w:val="Standaard"/>
    <w:rsid w:val="0000463F"/>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Ondertitel">
    <w:name w:val="Subtitle"/>
    <w:basedOn w:val="Standaard"/>
    <w:next w:val="Standaard"/>
    <w:link w:val="OndertitelChar"/>
    <w:uiPriority w:val="11"/>
    <w:qFormat/>
    <w:rsid w:val="000046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463F"/>
    <w:rPr>
      <w:rFonts w:asciiTheme="majorHAnsi" w:eastAsiaTheme="majorEastAsia" w:hAnsiTheme="majorHAnsi" w:cstheme="majorBidi"/>
      <w:i/>
      <w:iCs/>
      <w:color w:val="4F81BD" w:themeColor="accent1"/>
      <w:spacing w:val="15"/>
      <w:sz w:val="24"/>
      <w:szCs w:val="24"/>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3045</Characters>
  <Application>Microsoft Office Word</Application>
  <DocSecurity>0</DocSecurity>
  <Lines>25</Lines>
  <Paragraphs>7</Paragraphs>
  <ScaleCrop>false</ScaleCrop>
  <Company>Vlaamse Overheid</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Van Keymolen</dc:creator>
  <cp:lastModifiedBy>Nathalie De Keyzer</cp:lastModifiedBy>
  <cp:revision>3</cp:revision>
  <dcterms:created xsi:type="dcterms:W3CDTF">2012-06-25T13:03:00Z</dcterms:created>
  <dcterms:modified xsi:type="dcterms:W3CDTF">2012-09-04T11:06:00Z</dcterms:modified>
</cp:coreProperties>
</file>