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662" w:rsidRPr="00EF4662" w:rsidRDefault="00EF4662" w:rsidP="00EF4662">
      <w:pPr>
        <w:jc w:val="right"/>
        <w:rPr>
          <w:rFonts w:eastAsiaTheme="minorHAnsi"/>
          <w:szCs w:val="22"/>
          <w:u w:val="single"/>
          <w:lang w:val="nl-BE" w:eastAsia="en-US"/>
        </w:rPr>
      </w:pPr>
      <w:r w:rsidRPr="00EF4662">
        <w:rPr>
          <w:rFonts w:eastAsiaTheme="minorHAnsi"/>
          <w:szCs w:val="22"/>
          <w:u w:val="single"/>
          <w:lang w:val="nl-BE" w:eastAsia="en-US"/>
        </w:rPr>
        <w:t>Bijlage 2</w:t>
      </w:r>
      <w:r w:rsidR="00E66CCF">
        <w:rPr>
          <w:rFonts w:eastAsiaTheme="minorHAnsi"/>
          <w:szCs w:val="22"/>
          <w:u w:val="single"/>
          <w:lang w:val="nl-BE" w:eastAsia="en-US"/>
        </w:rPr>
        <w:t>a</w:t>
      </w:r>
    </w:p>
    <w:p w:rsidR="00EF4662" w:rsidRPr="00E66CCF" w:rsidRDefault="00EF4662" w:rsidP="00EF4662">
      <w:pPr>
        <w:jc w:val="center"/>
        <w:rPr>
          <w:rFonts w:eastAsiaTheme="minorHAnsi"/>
          <w:b/>
          <w:szCs w:val="22"/>
          <w:lang w:val="nl-BE" w:eastAsia="en-US"/>
        </w:rPr>
      </w:pPr>
    </w:p>
    <w:p w:rsidR="00EF4662" w:rsidRPr="00E66CCF" w:rsidRDefault="00EF4662" w:rsidP="00EF4662">
      <w:pPr>
        <w:jc w:val="center"/>
        <w:rPr>
          <w:rFonts w:eastAsiaTheme="minorHAnsi"/>
          <w:b/>
          <w:szCs w:val="22"/>
          <w:lang w:val="nl-BE" w:eastAsia="en-US"/>
        </w:rPr>
      </w:pPr>
    </w:p>
    <w:p w:rsidR="00EF4662" w:rsidRPr="00E66CCF" w:rsidRDefault="00EF4662" w:rsidP="00EF4662">
      <w:pPr>
        <w:jc w:val="center"/>
        <w:rPr>
          <w:rFonts w:ascii="Times New Roman Vet" w:hAnsi="Times New Roman Vet"/>
          <w:b/>
          <w:sz w:val="24"/>
        </w:rPr>
      </w:pPr>
      <w:r w:rsidRPr="00E66CCF">
        <w:rPr>
          <w:rFonts w:ascii="Times New Roman Vet" w:hAnsi="Times New Roman Vet"/>
          <w:b/>
          <w:sz w:val="24"/>
        </w:rPr>
        <w:t>Aanvulling op de bijlage 1 m.b.t. de bevoegdheden Inburgering en Integratie (minister Bourgeois) en Stedenbeleid (minister Van den Bossche)</w:t>
      </w:r>
    </w:p>
    <w:p w:rsidR="00EF4662" w:rsidRPr="00E66CCF" w:rsidRDefault="00EF4662" w:rsidP="00EF4662">
      <w:pPr>
        <w:jc w:val="center"/>
        <w:rPr>
          <w:rFonts w:eastAsiaTheme="minorHAnsi"/>
          <w:b/>
          <w:szCs w:val="22"/>
          <w:lang w:val="nl-BE" w:eastAsia="en-US"/>
        </w:rPr>
      </w:pPr>
    </w:p>
    <w:p w:rsidR="00EF4662" w:rsidRPr="003A6075" w:rsidRDefault="00EF4662" w:rsidP="00EF4662">
      <w:pPr>
        <w:jc w:val="both"/>
        <w:rPr>
          <w:b/>
        </w:rPr>
      </w:pPr>
    </w:p>
    <w:p w:rsidR="00EF4662" w:rsidRPr="001379AC" w:rsidRDefault="00EF4662" w:rsidP="00EF4662">
      <w:pPr>
        <w:ind w:left="708" w:hanging="708"/>
        <w:jc w:val="both"/>
        <w:rPr>
          <w:i/>
          <w:u w:val="single"/>
        </w:rPr>
      </w:pPr>
      <w:r>
        <w:rPr>
          <w:rFonts w:ascii="Times New Roman Vet" w:hAnsi="Times New Roman Vet"/>
          <w:b/>
          <w:i/>
          <w:u w:val="single"/>
        </w:rPr>
        <w:t>Inburgering en integratie</w:t>
      </w:r>
      <w:r w:rsidRPr="001379AC">
        <w:rPr>
          <w:rFonts w:ascii="Times New Roman Vet" w:hAnsi="Times New Roman Vet"/>
          <w:b/>
          <w:i/>
          <w:u w:val="single"/>
        </w:rPr>
        <w:t xml:space="preserve"> (minister </w:t>
      </w:r>
      <w:r>
        <w:rPr>
          <w:rFonts w:ascii="Times New Roman Vet" w:hAnsi="Times New Roman Vet"/>
          <w:b/>
          <w:i/>
          <w:u w:val="single"/>
        </w:rPr>
        <w:t>Bourgeois</w:t>
      </w:r>
      <w:r w:rsidRPr="001379AC">
        <w:rPr>
          <w:rFonts w:ascii="Times New Roman Vet" w:hAnsi="Times New Roman Vet"/>
          <w:b/>
          <w:i/>
          <w:u w:val="single"/>
        </w:rPr>
        <w:t>)</w:t>
      </w:r>
    </w:p>
    <w:p w:rsidR="00EF4662" w:rsidRDefault="00EF4662" w:rsidP="00EF4662">
      <w:pPr>
        <w:ind w:left="708" w:hanging="708"/>
        <w:jc w:val="both"/>
      </w:pPr>
    </w:p>
    <w:p w:rsidR="00EF4662" w:rsidRDefault="00EF4662" w:rsidP="00EF4662">
      <w:pPr>
        <w:ind w:left="708" w:hanging="708"/>
        <w:jc w:val="both"/>
      </w:pPr>
    </w:p>
    <w:p w:rsidR="00EF4662" w:rsidRPr="00136C99" w:rsidRDefault="00EF4662" w:rsidP="00EF4662">
      <w:pPr>
        <w:ind w:left="708" w:hanging="708"/>
        <w:jc w:val="both"/>
      </w:pPr>
      <w:r>
        <w:t>1.</w:t>
      </w:r>
      <w:r w:rsidRPr="003A6075">
        <w:t>a)</w:t>
      </w:r>
      <w:r>
        <w:tab/>
        <w:t>Ged</w:t>
      </w:r>
      <w:r w:rsidRPr="00136C99">
        <w:t>etailleerd overzicht van de subsidies ten behoeve van Brussel in het kader van het integratie- en inburgeringsbeleid</w:t>
      </w:r>
      <w:r>
        <w:t xml:space="preserve"> </w:t>
      </w:r>
      <w:r w:rsidRPr="00136C99">
        <w:t>:</w:t>
      </w:r>
    </w:p>
    <w:p w:rsidR="00EF4662" w:rsidRPr="000720DD" w:rsidRDefault="00EF4662" w:rsidP="00EF4662">
      <w:pPr>
        <w:pStyle w:val="SVTitel"/>
        <w:rPr>
          <w:i w:val="0"/>
        </w:rPr>
      </w:pPr>
    </w:p>
    <w:tbl>
      <w:tblPr>
        <w:tblW w:w="7655" w:type="dxa"/>
        <w:tblInd w:w="779" w:type="dxa"/>
        <w:tblLayout w:type="fixed"/>
        <w:tblCellMar>
          <w:left w:w="70" w:type="dxa"/>
          <w:right w:w="70" w:type="dxa"/>
        </w:tblCellMar>
        <w:tblLook w:val="0000"/>
      </w:tblPr>
      <w:tblGrid>
        <w:gridCol w:w="3089"/>
        <w:gridCol w:w="1522"/>
        <w:gridCol w:w="1522"/>
        <w:gridCol w:w="1522"/>
      </w:tblGrid>
      <w:tr w:rsidR="00EF4662" w:rsidRPr="000720DD" w:rsidTr="003F47F7">
        <w:trPr>
          <w:trHeight w:val="255"/>
        </w:trPr>
        <w:tc>
          <w:tcPr>
            <w:tcW w:w="30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662" w:rsidRPr="00136C99" w:rsidRDefault="00EF4662" w:rsidP="003F47F7">
            <w:pPr>
              <w:jc w:val="center"/>
              <w:rPr>
                <w:b/>
                <w:bCs/>
              </w:rPr>
            </w:pPr>
          </w:p>
        </w:tc>
        <w:tc>
          <w:tcPr>
            <w:tcW w:w="1522" w:type="dxa"/>
            <w:tcBorders>
              <w:top w:val="single" w:sz="4" w:space="0" w:color="auto"/>
              <w:left w:val="nil"/>
              <w:bottom w:val="single" w:sz="4" w:space="0" w:color="auto"/>
              <w:right w:val="single" w:sz="4" w:space="0" w:color="auto"/>
            </w:tcBorders>
            <w:shd w:val="clear" w:color="auto" w:fill="auto"/>
            <w:noWrap/>
            <w:vAlign w:val="center"/>
          </w:tcPr>
          <w:p w:rsidR="00EF4662" w:rsidRPr="00136C99" w:rsidRDefault="00EF4662" w:rsidP="003F47F7">
            <w:pPr>
              <w:jc w:val="center"/>
              <w:rPr>
                <w:b/>
                <w:bCs/>
              </w:rPr>
            </w:pPr>
            <w:r w:rsidRPr="00136C99">
              <w:rPr>
                <w:b/>
                <w:bCs/>
              </w:rPr>
              <w:t>2009</w:t>
            </w:r>
          </w:p>
        </w:tc>
        <w:tc>
          <w:tcPr>
            <w:tcW w:w="1522" w:type="dxa"/>
            <w:tcBorders>
              <w:top w:val="single" w:sz="4" w:space="0" w:color="auto"/>
              <w:left w:val="nil"/>
              <w:bottom w:val="single" w:sz="4" w:space="0" w:color="auto"/>
              <w:right w:val="single" w:sz="4" w:space="0" w:color="auto"/>
            </w:tcBorders>
            <w:shd w:val="clear" w:color="auto" w:fill="auto"/>
            <w:noWrap/>
            <w:vAlign w:val="center"/>
          </w:tcPr>
          <w:p w:rsidR="00EF4662" w:rsidRPr="00136C99" w:rsidRDefault="00EF4662" w:rsidP="003F47F7">
            <w:pPr>
              <w:jc w:val="center"/>
              <w:rPr>
                <w:b/>
                <w:bCs/>
              </w:rPr>
            </w:pPr>
            <w:r w:rsidRPr="00136C99">
              <w:rPr>
                <w:b/>
                <w:bCs/>
              </w:rPr>
              <w:t>2010</w:t>
            </w:r>
          </w:p>
        </w:tc>
        <w:tc>
          <w:tcPr>
            <w:tcW w:w="1522" w:type="dxa"/>
            <w:tcBorders>
              <w:top w:val="single" w:sz="4" w:space="0" w:color="auto"/>
              <w:left w:val="nil"/>
              <w:bottom w:val="single" w:sz="4" w:space="0" w:color="auto"/>
              <w:right w:val="single" w:sz="4" w:space="0" w:color="auto"/>
            </w:tcBorders>
            <w:shd w:val="clear" w:color="auto" w:fill="auto"/>
            <w:noWrap/>
            <w:vAlign w:val="center"/>
          </w:tcPr>
          <w:p w:rsidR="00EF4662" w:rsidRPr="00136C99" w:rsidRDefault="00EF4662" w:rsidP="003F47F7">
            <w:pPr>
              <w:jc w:val="center"/>
              <w:rPr>
                <w:b/>
                <w:bCs/>
              </w:rPr>
            </w:pPr>
            <w:r w:rsidRPr="00136C99">
              <w:rPr>
                <w:b/>
                <w:bCs/>
              </w:rPr>
              <w:t>2011</w:t>
            </w:r>
          </w:p>
        </w:tc>
      </w:tr>
      <w:tr w:rsidR="00EF4662" w:rsidRPr="000720DD" w:rsidTr="003F47F7">
        <w:trPr>
          <w:trHeight w:val="255"/>
        </w:trPr>
        <w:tc>
          <w:tcPr>
            <w:tcW w:w="3089" w:type="dxa"/>
            <w:tcBorders>
              <w:top w:val="nil"/>
              <w:left w:val="single" w:sz="4" w:space="0" w:color="auto"/>
              <w:bottom w:val="single" w:sz="4" w:space="0" w:color="auto"/>
              <w:right w:val="single" w:sz="4" w:space="0" w:color="auto"/>
            </w:tcBorders>
            <w:shd w:val="clear" w:color="auto" w:fill="auto"/>
            <w:noWrap/>
            <w:vAlign w:val="bottom"/>
          </w:tcPr>
          <w:p w:rsidR="00EF4662" w:rsidRPr="00136C99" w:rsidRDefault="00EF4662" w:rsidP="003F47F7">
            <w:pPr>
              <w:rPr>
                <w:b/>
                <w:bCs/>
              </w:rPr>
            </w:pPr>
            <w:r w:rsidRPr="00136C99">
              <w:rPr>
                <w:b/>
                <w:bCs/>
              </w:rPr>
              <w:t>Onthaalbureau BON</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188"/>
              <w:jc w:val="right"/>
            </w:pPr>
            <w:r w:rsidRPr="00136C99">
              <w:t>4.156.045 €</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69"/>
              <w:jc w:val="right"/>
            </w:pPr>
            <w:r w:rsidRPr="00136C99">
              <w:t>3.956.044 €</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92"/>
              <w:jc w:val="right"/>
            </w:pPr>
            <w:r w:rsidRPr="00136C99">
              <w:t>4.159.265 €</w:t>
            </w:r>
          </w:p>
        </w:tc>
      </w:tr>
      <w:tr w:rsidR="00EF4662" w:rsidRPr="000720DD" w:rsidTr="003F47F7">
        <w:trPr>
          <w:trHeight w:val="255"/>
        </w:trPr>
        <w:tc>
          <w:tcPr>
            <w:tcW w:w="3089" w:type="dxa"/>
            <w:tcBorders>
              <w:top w:val="nil"/>
              <w:left w:val="single" w:sz="4" w:space="0" w:color="auto"/>
              <w:bottom w:val="single" w:sz="4" w:space="0" w:color="auto"/>
              <w:right w:val="single" w:sz="4" w:space="0" w:color="auto"/>
            </w:tcBorders>
            <w:shd w:val="clear" w:color="auto" w:fill="auto"/>
            <w:noWrap/>
            <w:vAlign w:val="bottom"/>
          </w:tcPr>
          <w:p w:rsidR="00EF4662" w:rsidRPr="00136C99" w:rsidRDefault="00EF4662" w:rsidP="003F47F7">
            <w:pPr>
              <w:rPr>
                <w:b/>
                <w:bCs/>
              </w:rPr>
            </w:pPr>
            <w:r w:rsidRPr="00136C99">
              <w:rPr>
                <w:b/>
                <w:bCs/>
              </w:rPr>
              <w:t>Sociaal tolkendienst Brussel</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188"/>
              <w:jc w:val="right"/>
            </w:pPr>
            <w:r w:rsidRPr="00136C99">
              <w:t>98.016 €</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69"/>
              <w:jc w:val="right"/>
            </w:pPr>
            <w:r w:rsidRPr="00136C99">
              <w:t>160.211 €</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92"/>
              <w:jc w:val="right"/>
            </w:pPr>
            <w:r w:rsidRPr="00136C99">
              <w:t>173.175 €</w:t>
            </w:r>
          </w:p>
        </w:tc>
      </w:tr>
      <w:tr w:rsidR="00EF4662" w:rsidRPr="000720DD" w:rsidTr="003F47F7">
        <w:trPr>
          <w:trHeight w:val="255"/>
        </w:trPr>
        <w:tc>
          <w:tcPr>
            <w:tcW w:w="3089" w:type="dxa"/>
            <w:tcBorders>
              <w:top w:val="nil"/>
              <w:left w:val="single" w:sz="4" w:space="0" w:color="auto"/>
              <w:bottom w:val="single" w:sz="4" w:space="0" w:color="auto"/>
              <w:right w:val="single" w:sz="4" w:space="0" w:color="auto"/>
            </w:tcBorders>
            <w:shd w:val="clear" w:color="auto" w:fill="auto"/>
            <w:noWrap/>
            <w:vAlign w:val="bottom"/>
          </w:tcPr>
          <w:p w:rsidR="00EF4662" w:rsidRPr="00136C99" w:rsidRDefault="00EF4662" w:rsidP="003F47F7">
            <w:pPr>
              <w:rPr>
                <w:b/>
                <w:bCs/>
              </w:rPr>
            </w:pPr>
            <w:r w:rsidRPr="00136C99">
              <w:rPr>
                <w:b/>
                <w:bCs/>
              </w:rPr>
              <w:t xml:space="preserve">RIC Foyer vzw </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188"/>
              <w:jc w:val="right"/>
            </w:pPr>
            <w:r w:rsidRPr="00136C99">
              <w:t>1.052.984 €</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69"/>
              <w:jc w:val="right"/>
            </w:pPr>
            <w:r w:rsidRPr="00136C99">
              <w:t>1.059.233 €</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92"/>
              <w:jc w:val="right"/>
            </w:pPr>
            <w:r w:rsidRPr="00136C99">
              <w:t>1.098.357 €</w:t>
            </w:r>
          </w:p>
        </w:tc>
      </w:tr>
      <w:tr w:rsidR="00EF4662" w:rsidRPr="000720DD" w:rsidTr="003F47F7">
        <w:trPr>
          <w:trHeight w:val="255"/>
        </w:trPr>
        <w:tc>
          <w:tcPr>
            <w:tcW w:w="3089" w:type="dxa"/>
            <w:tcBorders>
              <w:top w:val="nil"/>
              <w:left w:val="single" w:sz="4" w:space="0" w:color="auto"/>
              <w:bottom w:val="single" w:sz="4" w:space="0" w:color="auto"/>
              <w:right w:val="single" w:sz="4" w:space="0" w:color="auto"/>
            </w:tcBorders>
            <w:shd w:val="clear" w:color="auto" w:fill="auto"/>
            <w:noWrap/>
            <w:vAlign w:val="bottom"/>
          </w:tcPr>
          <w:p w:rsidR="00EF4662" w:rsidRPr="00136C99" w:rsidRDefault="00EF4662" w:rsidP="003F47F7">
            <w:pPr>
              <w:rPr>
                <w:b/>
                <w:bCs/>
              </w:rPr>
            </w:pPr>
            <w:r w:rsidRPr="00136C99">
              <w:rPr>
                <w:b/>
                <w:bCs/>
              </w:rPr>
              <w:t>Managers van Diversiteit</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188"/>
              <w:jc w:val="right"/>
            </w:pPr>
            <w:r w:rsidRPr="00136C99">
              <w:t>442.725 €</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69"/>
              <w:jc w:val="right"/>
            </w:pPr>
            <w:r w:rsidRPr="00136C99">
              <w:t>247.846 €</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92"/>
              <w:jc w:val="right"/>
            </w:pPr>
            <w:r w:rsidRPr="00136C99">
              <w:t>32.250 €</w:t>
            </w:r>
          </w:p>
        </w:tc>
      </w:tr>
      <w:tr w:rsidR="00EF4662" w:rsidRPr="000720DD" w:rsidTr="003F47F7">
        <w:trPr>
          <w:trHeight w:val="255"/>
        </w:trPr>
        <w:tc>
          <w:tcPr>
            <w:tcW w:w="3089" w:type="dxa"/>
            <w:tcBorders>
              <w:top w:val="nil"/>
              <w:left w:val="single" w:sz="4" w:space="0" w:color="auto"/>
              <w:bottom w:val="single" w:sz="4" w:space="0" w:color="auto"/>
              <w:right w:val="single" w:sz="4" w:space="0" w:color="auto"/>
            </w:tcBorders>
            <w:shd w:val="clear" w:color="auto" w:fill="auto"/>
            <w:noWrap/>
            <w:vAlign w:val="bottom"/>
          </w:tcPr>
          <w:p w:rsidR="00EF4662" w:rsidRPr="00136C99" w:rsidRDefault="00EF4662" w:rsidP="003F47F7">
            <w:pPr>
              <w:rPr>
                <w:b/>
                <w:bCs/>
              </w:rPr>
            </w:pPr>
            <w:r w:rsidRPr="00136C99">
              <w:rPr>
                <w:b/>
                <w:bCs/>
              </w:rPr>
              <w:t>experimentele projectsubsidies</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188"/>
              <w:jc w:val="right"/>
            </w:pPr>
            <w:r w:rsidRPr="00136C99">
              <w:t>345.050 €</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69"/>
              <w:jc w:val="right"/>
            </w:pPr>
            <w:r w:rsidRPr="00136C99">
              <w:t>200.978 €</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92"/>
              <w:jc w:val="right"/>
            </w:pPr>
            <w:r w:rsidRPr="00136C99">
              <w:t>0 €</w:t>
            </w:r>
          </w:p>
        </w:tc>
      </w:tr>
      <w:tr w:rsidR="00EF4662" w:rsidRPr="000720DD" w:rsidTr="003F47F7">
        <w:trPr>
          <w:trHeight w:val="255"/>
        </w:trPr>
        <w:tc>
          <w:tcPr>
            <w:tcW w:w="3089" w:type="dxa"/>
            <w:tcBorders>
              <w:top w:val="nil"/>
              <w:left w:val="single" w:sz="4" w:space="0" w:color="auto"/>
              <w:bottom w:val="single" w:sz="4" w:space="0" w:color="auto"/>
              <w:right w:val="single" w:sz="4" w:space="0" w:color="auto"/>
            </w:tcBorders>
            <w:shd w:val="clear" w:color="auto" w:fill="auto"/>
            <w:noWrap/>
            <w:vAlign w:val="bottom"/>
          </w:tcPr>
          <w:p w:rsidR="00EF4662" w:rsidRPr="00136C99" w:rsidRDefault="00EF4662" w:rsidP="003F47F7">
            <w:pPr>
              <w:jc w:val="right"/>
              <w:rPr>
                <w:b/>
                <w:bCs/>
              </w:rPr>
            </w:pPr>
            <w:r w:rsidRPr="00136C99">
              <w:rPr>
                <w:b/>
                <w:bCs/>
              </w:rPr>
              <w:t xml:space="preserve">Totaal: </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188"/>
              <w:jc w:val="right"/>
              <w:rPr>
                <w:b/>
                <w:bCs/>
              </w:rPr>
            </w:pPr>
            <w:r w:rsidRPr="00136C99">
              <w:rPr>
                <w:b/>
                <w:bCs/>
              </w:rPr>
              <w:t>6.094.820 €</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69"/>
              <w:jc w:val="right"/>
              <w:rPr>
                <w:b/>
                <w:bCs/>
              </w:rPr>
            </w:pPr>
            <w:r w:rsidRPr="00136C99">
              <w:rPr>
                <w:b/>
                <w:bCs/>
              </w:rPr>
              <w:t>5.624.312 €</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92"/>
              <w:jc w:val="right"/>
              <w:rPr>
                <w:b/>
                <w:bCs/>
              </w:rPr>
            </w:pPr>
            <w:r w:rsidRPr="00136C99">
              <w:rPr>
                <w:b/>
                <w:bCs/>
              </w:rPr>
              <w:t>5.463.047 €</w:t>
            </w:r>
          </w:p>
        </w:tc>
      </w:tr>
    </w:tbl>
    <w:p w:rsidR="00EF4662" w:rsidRDefault="00EF4662" w:rsidP="00EF4662">
      <w:pPr>
        <w:pStyle w:val="SVTitel"/>
        <w:ind w:left="705"/>
        <w:rPr>
          <w:i w:val="0"/>
        </w:rPr>
      </w:pPr>
    </w:p>
    <w:p w:rsidR="00EF4662" w:rsidRPr="000720DD" w:rsidRDefault="00EF4662" w:rsidP="00EF4662">
      <w:pPr>
        <w:pStyle w:val="SVTitel"/>
        <w:ind w:left="705"/>
        <w:rPr>
          <w:i w:val="0"/>
        </w:rPr>
      </w:pPr>
    </w:p>
    <w:p w:rsidR="00EF4662" w:rsidRPr="00136C99" w:rsidRDefault="00EF4662" w:rsidP="00EF4662">
      <w:pPr>
        <w:ind w:left="708" w:hanging="708"/>
        <w:jc w:val="both"/>
      </w:pPr>
      <w:r>
        <w:t>1.b</w:t>
      </w:r>
      <w:r w:rsidRPr="003A6075">
        <w:t>)</w:t>
      </w:r>
      <w:r>
        <w:tab/>
        <w:t>Ged</w:t>
      </w:r>
      <w:r w:rsidRPr="00136C99">
        <w:t>etailleerd overzicht van de subsidies voor Vlaanderen + Brussel samen in het kader van het integratie- en inburgeringsbeleid</w:t>
      </w:r>
      <w:r>
        <w:t xml:space="preserve"> </w:t>
      </w:r>
      <w:r w:rsidRPr="00136C99">
        <w:t>:</w:t>
      </w:r>
    </w:p>
    <w:p w:rsidR="00EF4662" w:rsidRPr="00136C99" w:rsidRDefault="00EF4662" w:rsidP="00EF4662">
      <w:pPr>
        <w:ind w:left="708" w:hanging="708"/>
        <w:jc w:val="both"/>
      </w:pPr>
    </w:p>
    <w:tbl>
      <w:tblPr>
        <w:tblW w:w="7655" w:type="dxa"/>
        <w:tblInd w:w="779" w:type="dxa"/>
        <w:tblLayout w:type="fixed"/>
        <w:tblCellMar>
          <w:left w:w="70" w:type="dxa"/>
          <w:right w:w="70" w:type="dxa"/>
        </w:tblCellMar>
        <w:tblLook w:val="0000"/>
      </w:tblPr>
      <w:tblGrid>
        <w:gridCol w:w="3089"/>
        <w:gridCol w:w="1522"/>
        <w:gridCol w:w="1522"/>
        <w:gridCol w:w="1522"/>
      </w:tblGrid>
      <w:tr w:rsidR="00EF4662" w:rsidRPr="000720DD" w:rsidTr="003F47F7">
        <w:trPr>
          <w:trHeight w:val="300"/>
        </w:trPr>
        <w:tc>
          <w:tcPr>
            <w:tcW w:w="30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4662" w:rsidRPr="00136C99" w:rsidRDefault="00EF4662" w:rsidP="003F47F7">
            <w:pPr>
              <w:rPr>
                <w:b/>
                <w:bCs/>
              </w:rPr>
            </w:pPr>
          </w:p>
        </w:tc>
        <w:tc>
          <w:tcPr>
            <w:tcW w:w="1522" w:type="dxa"/>
            <w:tcBorders>
              <w:top w:val="single" w:sz="4" w:space="0" w:color="auto"/>
              <w:left w:val="nil"/>
              <w:bottom w:val="single" w:sz="4" w:space="0" w:color="auto"/>
              <w:right w:val="single" w:sz="4" w:space="0" w:color="auto"/>
            </w:tcBorders>
            <w:shd w:val="clear" w:color="auto" w:fill="auto"/>
            <w:noWrap/>
            <w:vAlign w:val="bottom"/>
          </w:tcPr>
          <w:p w:rsidR="00EF4662" w:rsidRPr="00136C99" w:rsidRDefault="00EF4662" w:rsidP="003F47F7">
            <w:pPr>
              <w:jc w:val="center"/>
              <w:rPr>
                <w:b/>
                <w:bCs/>
              </w:rPr>
            </w:pPr>
            <w:r w:rsidRPr="00136C99">
              <w:rPr>
                <w:b/>
                <w:bCs/>
              </w:rPr>
              <w:t>2009</w:t>
            </w:r>
          </w:p>
        </w:tc>
        <w:tc>
          <w:tcPr>
            <w:tcW w:w="1522" w:type="dxa"/>
            <w:tcBorders>
              <w:top w:val="single" w:sz="4" w:space="0" w:color="auto"/>
              <w:left w:val="nil"/>
              <w:bottom w:val="single" w:sz="4" w:space="0" w:color="auto"/>
              <w:right w:val="single" w:sz="4" w:space="0" w:color="auto"/>
            </w:tcBorders>
            <w:shd w:val="clear" w:color="auto" w:fill="auto"/>
            <w:noWrap/>
            <w:vAlign w:val="bottom"/>
          </w:tcPr>
          <w:p w:rsidR="00EF4662" w:rsidRPr="00136C99" w:rsidRDefault="00EF4662" w:rsidP="003F47F7">
            <w:pPr>
              <w:jc w:val="center"/>
              <w:rPr>
                <w:b/>
                <w:bCs/>
              </w:rPr>
            </w:pPr>
            <w:r w:rsidRPr="00136C99">
              <w:rPr>
                <w:b/>
                <w:bCs/>
              </w:rPr>
              <w:t>2010</w:t>
            </w:r>
          </w:p>
        </w:tc>
        <w:tc>
          <w:tcPr>
            <w:tcW w:w="1522" w:type="dxa"/>
            <w:tcBorders>
              <w:top w:val="single" w:sz="4" w:space="0" w:color="auto"/>
              <w:left w:val="nil"/>
              <w:bottom w:val="single" w:sz="4" w:space="0" w:color="auto"/>
              <w:right w:val="single" w:sz="4" w:space="0" w:color="auto"/>
            </w:tcBorders>
            <w:shd w:val="clear" w:color="auto" w:fill="auto"/>
            <w:noWrap/>
            <w:vAlign w:val="bottom"/>
          </w:tcPr>
          <w:p w:rsidR="00EF4662" w:rsidRPr="00136C99" w:rsidRDefault="00EF4662" w:rsidP="003F47F7">
            <w:pPr>
              <w:jc w:val="center"/>
              <w:rPr>
                <w:b/>
                <w:bCs/>
              </w:rPr>
            </w:pPr>
            <w:r w:rsidRPr="00136C99">
              <w:rPr>
                <w:b/>
                <w:bCs/>
              </w:rPr>
              <w:t>2011</w:t>
            </w:r>
          </w:p>
        </w:tc>
      </w:tr>
      <w:tr w:rsidR="00EF4662" w:rsidRPr="000720DD" w:rsidTr="003F47F7">
        <w:trPr>
          <w:trHeight w:val="300"/>
        </w:trPr>
        <w:tc>
          <w:tcPr>
            <w:tcW w:w="3089" w:type="dxa"/>
            <w:tcBorders>
              <w:top w:val="nil"/>
              <w:left w:val="single" w:sz="4" w:space="0" w:color="auto"/>
              <w:bottom w:val="single" w:sz="4" w:space="0" w:color="auto"/>
              <w:right w:val="single" w:sz="4" w:space="0" w:color="auto"/>
            </w:tcBorders>
            <w:shd w:val="clear" w:color="auto" w:fill="auto"/>
            <w:noWrap/>
            <w:vAlign w:val="bottom"/>
          </w:tcPr>
          <w:p w:rsidR="00EF4662" w:rsidRPr="00136C99" w:rsidRDefault="00EF4662" w:rsidP="003F47F7">
            <w:pPr>
              <w:rPr>
                <w:b/>
                <w:bCs/>
              </w:rPr>
            </w:pPr>
            <w:r w:rsidRPr="00136C99">
              <w:rPr>
                <w:b/>
                <w:bCs/>
              </w:rPr>
              <w:t>onthaalbureaus</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147"/>
              <w:jc w:val="right"/>
            </w:pPr>
            <w:r w:rsidRPr="00136C99">
              <w:t>28.252.755 €</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109"/>
              <w:jc w:val="right"/>
            </w:pPr>
            <w:r w:rsidRPr="00136C99">
              <w:t>24.367.379 €</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72"/>
              <w:jc w:val="right"/>
            </w:pPr>
            <w:r w:rsidRPr="00136C99">
              <w:t>27.485.431 €</w:t>
            </w:r>
          </w:p>
        </w:tc>
      </w:tr>
      <w:tr w:rsidR="00EF4662" w:rsidRPr="000720DD" w:rsidTr="003F47F7">
        <w:trPr>
          <w:trHeight w:val="300"/>
        </w:trPr>
        <w:tc>
          <w:tcPr>
            <w:tcW w:w="3089" w:type="dxa"/>
            <w:tcBorders>
              <w:top w:val="nil"/>
              <w:left w:val="single" w:sz="4" w:space="0" w:color="auto"/>
              <w:bottom w:val="single" w:sz="4" w:space="0" w:color="auto"/>
              <w:right w:val="single" w:sz="4" w:space="0" w:color="auto"/>
            </w:tcBorders>
            <w:shd w:val="clear" w:color="auto" w:fill="auto"/>
            <w:noWrap/>
            <w:vAlign w:val="bottom"/>
          </w:tcPr>
          <w:p w:rsidR="00EF4662" w:rsidRPr="00136C99" w:rsidRDefault="00EF4662" w:rsidP="003F47F7">
            <w:pPr>
              <w:rPr>
                <w:b/>
                <w:bCs/>
              </w:rPr>
            </w:pPr>
            <w:r w:rsidRPr="00136C99">
              <w:rPr>
                <w:b/>
                <w:bCs/>
              </w:rPr>
              <w:t>sociaal tolkendiensten</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147"/>
              <w:jc w:val="right"/>
            </w:pPr>
            <w:r w:rsidRPr="00136C99">
              <w:t>495.742 €</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109"/>
              <w:jc w:val="right"/>
            </w:pPr>
            <w:r w:rsidRPr="00136C99">
              <w:t>1.002.007 €</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72"/>
              <w:jc w:val="right"/>
            </w:pPr>
            <w:r w:rsidRPr="00136C99">
              <w:t>1.142.919 €</w:t>
            </w:r>
          </w:p>
        </w:tc>
      </w:tr>
      <w:tr w:rsidR="00EF4662" w:rsidRPr="000720DD" w:rsidTr="003F47F7">
        <w:trPr>
          <w:trHeight w:val="300"/>
        </w:trPr>
        <w:tc>
          <w:tcPr>
            <w:tcW w:w="3089" w:type="dxa"/>
            <w:tcBorders>
              <w:top w:val="nil"/>
              <w:left w:val="single" w:sz="4" w:space="0" w:color="auto"/>
              <w:bottom w:val="single" w:sz="4" w:space="0" w:color="auto"/>
              <w:right w:val="single" w:sz="4" w:space="0" w:color="auto"/>
            </w:tcBorders>
            <w:shd w:val="clear" w:color="auto" w:fill="auto"/>
            <w:noWrap/>
            <w:vAlign w:val="bottom"/>
          </w:tcPr>
          <w:p w:rsidR="00EF4662" w:rsidRPr="00136C99" w:rsidRDefault="00EF4662" w:rsidP="003F47F7">
            <w:pPr>
              <w:rPr>
                <w:b/>
                <w:bCs/>
              </w:rPr>
            </w:pPr>
            <w:r w:rsidRPr="00136C99">
              <w:rPr>
                <w:b/>
                <w:bCs/>
              </w:rPr>
              <w:t>integratiecentra</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147"/>
              <w:jc w:val="right"/>
            </w:pPr>
            <w:r w:rsidRPr="00136C99">
              <w:t>8.494.065 €</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109"/>
              <w:jc w:val="right"/>
            </w:pPr>
            <w:r w:rsidRPr="00136C99">
              <w:t>8.417.440 €</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72"/>
              <w:jc w:val="right"/>
            </w:pPr>
            <w:r w:rsidRPr="00136C99">
              <w:t>8.604.763 €</w:t>
            </w:r>
          </w:p>
        </w:tc>
      </w:tr>
      <w:tr w:rsidR="00EF4662" w:rsidRPr="000720DD" w:rsidTr="003F47F7">
        <w:trPr>
          <w:trHeight w:val="300"/>
        </w:trPr>
        <w:tc>
          <w:tcPr>
            <w:tcW w:w="3089" w:type="dxa"/>
            <w:tcBorders>
              <w:top w:val="nil"/>
              <w:left w:val="single" w:sz="4" w:space="0" w:color="auto"/>
              <w:bottom w:val="single" w:sz="4" w:space="0" w:color="auto"/>
              <w:right w:val="single" w:sz="4" w:space="0" w:color="auto"/>
            </w:tcBorders>
            <w:shd w:val="clear" w:color="auto" w:fill="auto"/>
            <w:noWrap/>
            <w:vAlign w:val="bottom"/>
          </w:tcPr>
          <w:p w:rsidR="00EF4662" w:rsidRPr="00136C99" w:rsidRDefault="00EF4662" w:rsidP="003F47F7">
            <w:pPr>
              <w:rPr>
                <w:b/>
                <w:bCs/>
              </w:rPr>
            </w:pPr>
            <w:r w:rsidRPr="00136C99">
              <w:rPr>
                <w:b/>
                <w:bCs/>
              </w:rPr>
              <w:t>participatie-organisatie</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147"/>
              <w:jc w:val="right"/>
            </w:pPr>
            <w:r w:rsidRPr="00136C99">
              <w:t>513.614 €</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109"/>
              <w:jc w:val="right"/>
            </w:pPr>
            <w:r w:rsidRPr="00136C99">
              <w:t>544.120 €</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72"/>
              <w:jc w:val="right"/>
            </w:pPr>
            <w:r w:rsidRPr="00136C99">
              <w:t>604.233 €</w:t>
            </w:r>
          </w:p>
        </w:tc>
      </w:tr>
      <w:tr w:rsidR="00EF4662" w:rsidRPr="000720DD" w:rsidTr="003F47F7">
        <w:trPr>
          <w:trHeight w:val="300"/>
        </w:trPr>
        <w:tc>
          <w:tcPr>
            <w:tcW w:w="3089" w:type="dxa"/>
            <w:tcBorders>
              <w:top w:val="nil"/>
              <w:left w:val="single" w:sz="4" w:space="0" w:color="auto"/>
              <w:bottom w:val="single" w:sz="4" w:space="0" w:color="auto"/>
              <w:right w:val="single" w:sz="4" w:space="0" w:color="auto"/>
            </w:tcBorders>
            <w:shd w:val="clear" w:color="auto" w:fill="auto"/>
            <w:noWrap/>
            <w:vAlign w:val="bottom"/>
          </w:tcPr>
          <w:p w:rsidR="00EF4662" w:rsidRPr="00136C99" w:rsidRDefault="00EF4662" w:rsidP="003F47F7">
            <w:pPr>
              <w:rPr>
                <w:b/>
                <w:bCs/>
              </w:rPr>
            </w:pPr>
            <w:r w:rsidRPr="00136C99">
              <w:rPr>
                <w:b/>
                <w:bCs/>
              </w:rPr>
              <w:t>expertisecentrum VLEMI</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147"/>
              <w:jc w:val="right"/>
            </w:pPr>
            <w:r w:rsidRPr="00136C99">
              <w:t>1.720.667 €</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109"/>
              <w:jc w:val="right"/>
            </w:pPr>
            <w:r w:rsidRPr="00136C99">
              <w:t>2.118.534 €</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72"/>
              <w:jc w:val="right"/>
            </w:pPr>
            <w:r w:rsidRPr="00136C99">
              <w:t>2.612.641 €</w:t>
            </w:r>
          </w:p>
        </w:tc>
      </w:tr>
      <w:tr w:rsidR="00EF4662" w:rsidRPr="000720DD" w:rsidTr="003F47F7">
        <w:trPr>
          <w:trHeight w:val="300"/>
        </w:trPr>
        <w:tc>
          <w:tcPr>
            <w:tcW w:w="3089" w:type="dxa"/>
            <w:tcBorders>
              <w:top w:val="nil"/>
              <w:left w:val="single" w:sz="4" w:space="0" w:color="auto"/>
              <w:bottom w:val="single" w:sz="4" w:space="0" w:color="auto"/>
              <w:right w:val="single" w:sz="4" w:space="0" w:color="auto"/>
            </w:tcBorders>
            <w:shd w:val="clear" w:color="auto" w:fill="auto"/>
            <w:noWrap/>
            <w:vAlign w:val="bottom"/>
          </w:tcPr>
          <w:p w:rsidR="00EF4662" w:rsidRPr="00136C99" w:rsidRDefault="00EF4662" w:rsidP="003F47F7">
            <w:pPr>
              <w:rPr>
                <w:b/>
                <w:bCs/>
              </w:rPr>
            </w:pPr>
            <w:r w:rsidRPr="00136C99">
              <w:rPr>
                <w:b/>
                <w:bCs/>
              </w:rPr>
              <w:t xml:space="preserve">De Schroef vzw </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147"/>
              <w:jc w:val="right"/>
            </w:pPr>
            <w:r w:rsidRPr="00136C99">
              <w:t>64.727 €</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109"/>
              <w:jc w:val="right"/>
            </w:pPr>
            <w:r w:rsidRPr="00136C99">
              <w:t>65.123 €</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72"/>
              <w:jc w:val="right"/>
            </w:pPr>
            <w:r w:rsidRPr="00136C99">
              <w:t>66.834 €</w:t>
            </w:r>
          </w:p>
        </w:tc>
      </w:tr>
      <w:tr w:rsidR="00EF4662" w:rsidRPr="000720DD" w:rsidTr="003F47F7">
        <w:trPr>
          <w:trHeight w:val="300"/>
        </w:trPr>
        <w:tc>
          <w:tcPr>
            <w:tcW w:w="3089" w:type="dxa"/>
            <w:tcBorders>
              <w:top w:val="nil"/>
              <w:left w:val="single" w:sz="4" w:space="0" w:color="auto"/>
              <w:bottom w:val="single" w:sz="4" w:space="0" w:color="auto"/>
              <w:right w:val="single" w:sz="4" w:space="0" w:color="auto"/>
            </w:tcBorders>
            <w:shd w:val="clear" w:color="auto" w:fill="auto"/>
            <w:noWrap/>
            <w:vAlign w:val="bottom"/>
          </w:tcPr>
          <w:p w:rsidR="00EF4662" w:rsidRPr="00136C99" w:rsidRDefault="00EF4662" w:rsidP="003F47F7">
            <w:pPr>
              <w:rPr>
                <w:b/>
                <w:bCs/>
              </w:rPr>
            </w:pPr>
            <w:r w:rsidRPr="00136C99">
              <w:rPr>
                <w:b/>
                <w:bCs/>
              </w:rPr>
              <w:t>integratiediensten</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147"/>
              <w:jc w:val="right"/>
            </w:pPr>
            <w:r w:rsidRPr="00136C99">
              <w:t>3.767.464 €</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109"/>
              <w:jc w:val="right"/>
            </w:pPr>
            <w:r w:rsidRPr="00136C99">
              <w:t>4.629.783 €</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72"/>
              <w:jc w:val="right"/>
            </w:pPr>
            <w:r w:rsidRPr="00136C99">
              <w:t>4.606.406 €</w:t>
            </w:r>
          </w:p>
        </w:tc>
      </w:tr>
      <w:tr w:rsidR="00EF4662" w:rsidRPr="000720DD" w:rsidTr="003F47F7">
        <w:trPr>
          <w:trHeight w:val="300"/>
        </w:trPr>
        <w:tc>
          <w:tcPr>
            <w:tcW w:w="3089" w:type="dxa"/>
            <w:tcBorders>
              <w:top w:val="nil"/>
              <w:left w:val="single" w:sz="4" w:space="0" w:color="auto"/>
              <w:bottom w:val="single" w:sz="4" w:space="0" w:color="auto"/>
              <w:right w:val="single" w:sz="4" w:space="0" w:color="auto"/>
            </w:tcBorders>
            <w:shd w:val="clear" w:color="auto" w:fill="auto"/>
            <w:noWrap/>
            <w:vAlign w:val="bottom"/>
          </w:tcPr>
          <w:p w:rsidR="00EF4662" w:rsidRPr="00136C99" w:rsidRDefault="00EF4662" w:rsidP="003F47F7">
            <w:pPr>
              <w:rPr>
                <w:b/>
                <w:bCs/>
              </w:rPr>
            </w:pPr>
            <w:r w:rsidRPr="00136C99">
              <w:rPr>
                <w:b/>
                <w:bCs/>
              </w:rPr>
              <w:t>Managers van Diversiteit</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147"/>
              <w:jc w:val="right"/>
            </w:pPr>
            <w:r w:rsidRPr="00136C99">
              <w:t>2.777.382 €</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109"/>
              <w:jc w:val="right"/>
            </w:pPr>
            <w:r w:rsidRPr="00136C99">
              <w:t>979.643 €</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72"/>
              <w:jc w:val="right"/>
            </w:pPr>
            <w:r w:rsidRPr="00136C99">
              <w:t>636.825 €</w:t>
            </w:r>
          </w:p>
        </w:tc>
      </w:tr>
      <w:tr w:rsidR="00EF4662" w:rsidRPr="000720DD" w:rsidTr="003F47F7">
        <w:trPr>
          <w:trHeight w:val="300"/>
        </w:trPr>
        <w:tc>
          <w:tcPr>
            <w:tcW w:w="3089" w:type="dxa"/>
            <w:tcBorders>
              <w:top w:val="nil"/>
              <w:left w:val="single" w:sz="4" w:space="0" w:color="auto"/>
              <w:bottom w:val="single" w:sz="4" w:space="0" w:color="auto"/>
              <w:right w:val="single" w:sz="4" w:space="0" w:color="auto"/>
            </w:tcBorders>
            <w:shd w:val="clear" w:color="auto" w:fill="auto"/>
            <w:noWrap/>
            <w:vAlign w:val="bottom"/>
          </w:tcPr>
          <w:p w:rsidR="00EF4662" w:rsidRPr="00136C99" w:rsidRDefault="00EF4662" w:rsidP="003F47F7">
            <w:pPr>
              <w:rPr>
                <w:b/>
                <w:bCs/>
              </w:rPr>
            </w:pPr>
            <w:r w:rsidRPr="00136C99">
              <w:rPr>
                <w:b/>
                <w:bCs/>
              </w:rPr>
              <w:t>experimentele projectsubsidies</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147"/>
              <w:jc w:val="right"/>
            </w:pPr>
            <w:r w:rsidRPr="00136C99">
              <w:t>578.784 €</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109"/>
              <w:jc w:val="right"/>
            </w:pPr>
            <w:r w:rsidRPr="00136C99">
              <w:t>389.175 €</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72"/>
              <w:jc w:val="right"/>
            </w:pPr>
            <w:r w:rsidRPr="00136C99">
              <w:t>0 €</w:t>
            </w:r>
          </w:p>
        </w:tc>
      </w:tr>
      <w:tr w:rsidR="00EF4662" w:rsidRPr="000720DD" w:rsidTr="003F47F7">
        <w:trPr>
          <w:trHeight w:val="255"/>
        </w:trPr>
        <w:tc>
          <w:tcPr>
            <w:tcW w:w="3089" w:type="dxa"/>
            <w:tcBorders>
              <w:top w:val="nil"/>
              <w:left w:val="single" w:sz="4" w:space="0" w:color="auto"/>
              <w:bottom w:val="single" w:sz="4" w:space="0" w:color="auto"/>
              <w:right w:val="single" w:sz="4" w:space="0" w:color="auto"/>
            </w:tcBorders>
            <w:shd w:val="clear" w:color="auto" w:fill="auto"/>
            <w:noWrap/>
            <w:vAlign w:val="bottom"/>
          </w:tcPr>
          <w:p w:rsidR="00EF4662" w:rsidRPr="00136C99" w:rsidRDefault="00EF4662" w:rsidP="003F47F7">
            <w:pPr>
              <w:jc w:val="right"/>
              <w:rPr>
                <w:b/>
                <w:bCs/>
              </w:rPr>
            </w:pPr>
            <w:r w:rsidRPr="00136C99">
              <w:rPr>
                <w:b/>
                <w:bCs/>
              </w:rPr>
              <w:t xml:space="preserve">Totaal: </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147"/>
              <w:jc w:val="right"/>
              <w:rPr>
                <w:b/>
                <w:bCs/>
              </w:rPr>
            </w:pPr>
            <w:r w:rsidRPr="00136C99">
              <w:rPr>
                <w:b/>
                <w:bCs/>
              </w:rPr>
              <w:t>46.665.200 €</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109"/>
              <w:jc w:val="right"/>
              <w:rPr>
                <w:b/>
                <w:bCs/>
              </w:rPr>
            </w:pPr>
            <w:r w:rsidRPr="00136C99">
              <w:rPr>
                <w:b/>
                <w:bCs/>
              </w:rPr>
              <w:t>42.513.204 €</w:t>
            </w:r>
          </w:p>
        </w:tc>
        <w:tc>
          <w:tcPr>
            <w:tcW w:w="1522" w:type="dxa"/>
            <w:tcBorders>
              <w:top w:val="nil"/>
              <w:left w:val="nil"/>
              <w:bottom w:val="single" w:sz="4" w:space="0" w:color="auto"/>
              <w:right w:val="single" w:sz="4" w:space="0" w:color="auto"/>
            </w:tcBorders>
            <w:shd w:val="clear" w:color="auto" w:fill="auto"/>
            <w:noWrap/>
            <w:vAlign w:val="bottom"/>
          </w:tcPr>
          <w:p w:rsidR="00EF4662" w:rsidRPr="00136C99" w:rsidRDefault="00EF4662" w:rsidP="003F47F7">
            <w:pPr>
              <w:ind w:right="72"/>
              <w:jc w:val="right"/>
              <w:rPr>
                <w:b/>
                <w:bCs/>
              </w:rPr>
            </w:pPr>
            <w:r w:rsidRPr="00136C99">
              <w:rPr>
                <w:b/>
                <w:bCs/>
              </w:rPr>
              <w:t>45.760.052 €</w:t>
            </w:r>
          </w:p>
        </w:tc>
      </w:tr>
    </w:tbl>
    <w:p w:rsidR="00EF4662" w:rsidRPr="000720DD" w:rsidRDefault="00EF4662" w:rsidP="00EF4662">
      <w:pPr>
        <w:pStyle w:val="SVTitel"/>
        <w:ind w:left="709"/>
        <w:rPr>
          <w:i w:val="0"/>
        </w:rPr>
      </w:pPr>
    </w:p>
    <w:p w:rsidR="00EF4662" w:rsidRDefault="00EF4662" w:rsidP="00EF4662">
      <w:pPr>
        <w:pStyle w:val="SVTitel"/>
        <w:ind w:left="705"/>
        <w:rPr>
          <w:i w:val="0"/>
        </w:rPr>
      </w:pPr>
      <w:r w:rsidRPr="000720DD">
        <w:rPr>
          <w:i w:val="0"/>
        </w:rPr>
        <w:t>In 2009 en 2010 werden 13% van de subsidies aan Brussel toegekend</w:t>
      </w:r>
      <w:r>
        <w:rPr>
          <w:i w:val="0"/>
        </w:rPr>
        <w:t xml:space="preserve"> </w:t>
      </w:r>
      <w:r w:rsidRPr="000720DD">
        <w:rPr>
          <w:i w:val="0"/>
        </w:rPr>
        <w:t>; in 2011 bedroeg dit 12%.</w:t>
      </w:r>
    </w:p>
    <w:p w:rsidR="00EF4662" w:rsidRDefault="00EF4662" w:rsidP="00EF4662">
      <w:pPr>
        <w:pStyle w:val="SVTitel"/>
        <w:ind w:left="705"/>
        <w:rPr>
          <w:i w:val="0"/>
        </w:rPr>
      </w:pPr>
    </w:p>
    <w:p w:rsidR="00EF4662" w:rsidRDefault="00EF4662" w:rsidP="00EF4662">
      <w:pPr>
        <w:pStyle w:val="SVTitel"/>
        <w:ind w:left="705"/>
        <w:rPr>
          <w:i w:val="0"/>
        </w:rPr>
      </w:pPr>
      <w:r>
        <w:rPr>
          <w:i w:val="0"/>
        </w:rPr>
        <w:t>Per deelsector krijgen we volgende percentages van middelen die aan Brussel toegekend worden:</w:t>
      </w:r>
    </w:p>
    <w:p w:rsidR="00EF4662" w:rsidRDefault="00EF4662" w:rsidP="00EF4662">
      <w:pPr>
        <w:pStyle w:val="SVTitel"/>
        <w:ind w:left="705"/>
        <w:rPr>
          <w:i w:val="0"/>
        </w:rPr>
      </w:pPr>
    </w:p>
    <w:p w:rsidR="00EF4662" w:rsidRPr="00DE73BB" w:rsidRDefault="00EF4662" w:rsidP="00EF4662">
      <w:pPr>
        <w:pStyle w:val="SVTitel"/>
        <w:tabs>
          <w:tab w:val="left" w:pos="3261"/>
          <w:tab w:val="left" w:pos="3828"/>
          <w:tab w:val="left" w:pos="3969"/>
          <w:tab w:val="left" w:pos="5387"/>
          <w:tab w:val="left" w:pos="5812"/>
          <w:tab w:val="left" w:pos="6096"/>
          <w:tab w:val="left" w:pos="7371"/>
          <w:tab w:val="left" w:pos="8080"/>
        </w:tabs>
        <w:ind w:left="705"/>
        <w:rPr>
          <w:b/>
          <w:i w:val="0"/>
        </w:rPr>
      </w:pPr>
      <w:r w:rsidRPr="00DE73BB">
        <w:rPr>
          <w:b/>
          <w:i w:val="0"/>
        </w:rPr>
        <w:t>Onthaalbureau</w:t>
      </w:r>
      <w:r w:rsidR="00BB24D0">
        <w:rPr>
          <w:b/>
          <w:i w:val="0"/>
        </w:rPr>
        <w:t xml:space="preserve"> </w:t>
      </w:r>
      <w:r w:rsidRPr="00DE73BB">
        <w:rPr>
          <w:b/>
          <w:i w:val="0"/>
        </w:rPr>
        <w:t xml:space="preserve">: </w:t>
      </w:r>
      <w:r>
        <w:rPr>
          <w:b/>
          <w:i w:val="0"/>
        </w:rPr>
        <w:tab/>
      </w:r>
      <w:r w:rsidRPr="00DE73BB">
        <w:rPr>
          <w:b/>
          <w:i w:val="0"/>
        </w:rPr>
        <w:t>2009</w:t>
      </w:r>
      <w:r>
        <w:rPr>
          <w:b/>
          <w:i w:val="0"/>
        </w:rPr>
        <w:t xml:space="preserve"> </w:t>
      </w:r>
      <w:r w:rsidRPr="00DE73BB">
        <w:rPr>
          <w:b/>
          <w:i w:val="0"/>
        </w:rPr>
        <w:t>:</w:t>
      </w:r>
      <w:r>
        <w:rPr>
          <w:b/>
          <w:i w:val="0"/>
        </w:rPr>
        <w:tab/>
      </w:r>
      <w:r w:rsidRPr="00DE73BB">
        <w:rPr>
          <w:b/>
          <w:i w:val="0"/>
        </w:rPr>
        <w:t>14,7%</w:t>
      </w:r>
      <w:r w:rsidRPr="00DE73BB">
        <w:rPr>
          <w:b/>
          <w:i w:val="0"/>
        </w:rPr>
        <w:tab/>
        <w:t>2010</w:t>
      </w:r>
      <w:r>
        <w:rPr>
          <w:b/>
          <w:i w:val="0"/>
        </w:rPr>
        <w:t xml:space="preserve"> </w:t>
      </w:r>
      <w:r w:rsidRPr="00DE73BB">
        <w:rPr>
          <w:b/>
          <w:i w:val="0"/>
        </w:rPr>
        <w:t>:</w:t>
      </w:r>
      <w:r>
        <w:rPr>
          <w:b/>
          <w:i w:val="0"/>
        </w:rPr>
        <w:tab/>
      </w:r>
      <w:r w:rsidRPr="00DE73BB">
        <w:rPr>
          <w:b/>
          <w:i w:val="0"/>
        </w:rPr>
        <w:t>16,2%</w:t>
      </w:r>
      <w:r w:rsidRPr="00DE73BB">
        <w:rPr>
          <w:b/>
          <w:i w:val="0"/>
        </w:rPr>
        <w:tab/>
        <w:t>2011</w:t>
      </w:r>
      <w:r>
        <w:rPr>
          <w:b/>
          <w:i w:val="0"/>
        </w:rPr>
        <w:t xml:space="preserve"> </w:t>
      </w:r>
      <w:r w:rsidRPr="00DE73BB">
        <w:rPr>
          <w:b/>
          <w:i w:val="0"/>
        </w:rPr>
        <w:t>:</w:t>
      </w:r>
      <w:r>
        <w:rPr>
          <w:b/>
          <w:i w:val="0"/>
        </w:rPr>
        <w:tab/>
      </w:r>
      <w:r w:rsidRPr="00DE73BB">
        <w:rPr>
          <w:b/>
          <w:i w:val="0"/>
        </w:rPr>
        <w:t>15,13%</w:t>
      </w:r>
    </w:p>
    <w:p w:rsidR="00EF4662" w:rsidRPr="00DE73BB" w:rsidRDefault="00EF4662" w:rsidP="00EF4662">
      <w:pPr>
        <w:pStyle w:val="SVTitel"/>
        <w:tabs>
          <w:tab w:val="left" w:pos="3261"/>
          <w:tab w:val="left" w:pos="3828"/>
          <w:tab w:val="left" w:pos="3969"/>
          <w:tab w:val="left" w:pos="5387"/>
          <w:tab w:val="left" w:pos="5812"/>
          <w:tab w:val="left" w:pos="6096"/>
          <w:tab w:val="left" w:pos="7371"/>
          <w:tab w:val="left" w:pos="8080"/>
        </w:tabs>
        <w:ind w:left="705"/>
        <w:rPr>
          <w:b/>
          <w:i w:val="0"/>
        </w:rPr>
      </w:pPr>
      <w:r w:rsidRPr="00DE73BB">
        <w:rPr>
          <w:b/>
          <w:i w:val="0"/>
        </w:rPr>
        <w:t>Sociaal tolkendienst</w:t>
      </w:r>
      <w:r w:rsidR="00BB24D0">
        <w:rPr>
          <w:b/>
          <w:i w:val="0"/>
        </w:rPr>
        <w:t xml:space="preserve"> </w:t>
      </w:r>
      <w:r w:rsidRPr="00DE73BB">
        <w:rPr>
          <w:b/>
          <w:i w:val="0"/>
        </w:rPr>
        <w:t xml:space="preserve">: </w:t>
      </w:r>
      <w:r w:rsidRPr="00DE73BB">
        <w:rPr>
          <w:b/>
          <w:i w:val="0"/>
        </w:rPr>
        <w:tab/>
        <w:t>2009</w:t>
      </w:r>
      <w:r>
        <w:rPr>
          <w:b/>
          <w:i w:val="0"/>
        </w:rPr>
        <w:t xml:space="preserve"> </w:t>
      </w:r>
      <w:r w:rsidRPr="00DE73BB">
        <w:rPr>
          <w:b/>
          <w:i w:val="0"/>
        </w:rPr>
        <w:t>:</w:t>
      </w:r>
      <w:r>
        <w:rPr>
          <w:b/>
          <w:i w:val="0"/>
        </w:rPr>
        <w:tab/>
      </w:r>
      <w:r w:rsidRPr="00DE73BB">
        <w:rPr>
          <w:b/>
          <w:i w:val="0"/>
        </w:rPr>
        <w:t>19,7%</w:t>
      </w:r>
      <w:r w:rsidRPr="00DE73BB">
        <w:rPr>
          <w:b/>
          <w:i w:val="0"/>
        </w:rPr>
        <w:tab/>
        <w:t>2010</w:t>
      </w:r>
      <w:r>
        <w:rPr>
          <w:b/>
          <w:i w:val="0"/>
        </w:rPr>
        <w:t xml:space="preserve"> </w:t>
      </w:r>
      <w:r w:rsidRPr="00DE73BB">
        <w:rPr>
          <w:b/>
          <w:i w:val="0"/>
        </w:rPr>
        <w:t>:</w:t>
      </w:r>
      <w:r>
        <w:rPr>
          <w:b/>
          <w:i w:val="0"/>
        </w:rPr>
        <w:tab/>
      </w:r>
      <w:r w:rsidRPr="00DE73BB">
        <w:rPr>
          <w:b/>
          <w:i w:val="0"/>
        </w:rPr>
        <w:t>15,9%</w:t>
      </w:r>
      <w:r w:rsidRPr="00DE73BB">
        <w:rPr>
          <w:b/>
          <w:i w:val="0"/>
        </w:rPr>
        <w:tab/>
        <w:t>2011</w:t>
      </w:r>
      <w:r>
        <w:rPr>
          <w:b/>
          <w:i w:val="0"/>
        </w:rPr>
        <w:t xml:space="preserve"> </w:t>
      </w:r>
      <w:r w:rsidRPr="00DE73BB">
        <w:rPr>
          <w:b/>
          <w:i w:val="0"/>
        </w:rPr>
        <w:t>:</w:t>
      </w:r>
      <w:r>
        <w:rPr>
          <w:b/>
          <w:i w:val="0"/>
        </w:rPr>
        <w:tab/>
      </w:r>
      <w:r w:rsidRPr="00DE73BB">
        <w:rPr>
          <w:b/>
          <w:i w:val="0"/>
        </w:rPr>
        <w:t>15,15%</w:t>
      </w:r>
    </w:p>
    <w:p w:rsidR="00EF4662" w:rsidRDefault="00EF4662" w:rsidP="00EF4662">
      <w:pPr>
        <w:pStyle w:val="SVTitel"/>
        <w:tabs>
          <w:tab w:val="left" w:pos="3261"/>
          <w:tab w:val="left" w:pos="3828"/>
          <w:tab w:val="left" w:pos="3969"/>
          <w:tab w:val="left" w:pos="5387"/>
          <w:tab w:val="left" w:pos="5812"/>
          <w:tab w:val="left" w:pos="6096"/>
          <w:tab w:val="left" w:pos="7371"/>
          <w:tab w:val="left" w:pos="7797"/>
          <w:tab w:val="left" w:pos="8080"/>
        </w:tabs>
        <w:ind w:left="705"/>
        <w:rPr>
          <w:b/>
          <w:i w:val="0"/>
        </w:rPr>
      </w:pPr>
      <w:r w:rsidRPr="00DE73BB">
        <w:rPr>
          <w:b/>
          <w:i w:val="0"/>
        </w:rPr>
        <w:t>Integratiesector</w:t>
      </w:r>
      <w:r w:rsidR="00BB24D0">
        <w:rPr>
          <w:b/>
          <w:i w:val="0"/>
        </w:rPr>
        <w:t xml:space="preserve"> </w:t>
      </w:r>
      <w:r w:rsidRPr="00DE73BB">
        <w:rPr>
          <w:b/>
          <w:i w:val="0"/>
        </w:rPr>
        <w:t xml:space="preserve">: </w:t>
      </w:r>
      <w:r w:rsidRPr="00DE73BB">
        <w:rPr>
          <w:b/>
          <w:i w:val="0"/>
        </w:rPr>
        <w:tab/>
        <w:t>2009</w:t>
      </w:r>
      <w:r>
        <w:rPr>
          <w:b/>
          <w:i w:val="0"/>
        </w:rPr>
        <w:t xml:space="preserve"> </w:t>
      </w:r>
      <w:r w:rsidRPr="00DE73BB">
        <w:rPr>
          <w:b/>
          <w:i w:val="0"/>
        </w:rPr>
        <w:t>:</w:t>
      </w:r>
      <w:r>
        <w:rPr>
          <w:b/>
          <w:i w:val="0"/>
        </w:rPr>
        <w:tab/>
        <w:t xml:space="preserve">  </w:t>
      </w:r>
      <w:r w:rsidRPr="00DE73BB">
        <w:rPr>
          <w:b/>
          <w:i w:val="0"/>
        </w:rPr>
        <w:t>7,2%</w:t>
      </w:r>
      <w:r w:rsidRPr="00DE73BB">
        <w:rPr>
          <w:b/>
          <w:i w:val="0"/>
        </w:rPr>
        <w:tab/>
        <w:t>2010</w:t>
      </w:r>
      <w:r>
        <w:rPr>
          <w:b/>
          <w:i w:val="0"/>
        </w:rPr>
        <w:t xml:space="preserve"> </w:t>
      </w:r>
      <w:r w:rsidRPr="00DE73BB">
        <w:rPr>
          <w:b/>
          <w:i w:val="0"/>
        </w:rPr>
        <w:t>:</w:t>
      </w:r>
      <w:r>
        <w:rPr>
          <w:b/>
          <w:i w:val="0"/>
        </w:rPr>
        <w:tab/>
        <w:t xml:space="preserve">  </w:t>
      </w:r>
      <w:r w:rsidRPr="00DE73BB">
        <w:rPr>
          <w:b/>
          <w:i w:val="0"/>
        </w:rPr>
        <w:t>6,7%</w:t>
      </w:r>
      <w:r w:rsidRPr="00DE73BB">
        <w:rPr>
          <w:b/>
          <w:i w:val="0"/>
        </w:rPr>
        <w:tab/>
        <w:t>2011</w:t>
      </w:r>
      <w:r>
        <w:rPr>
          <w:b/>
          <w:i w:val="0"/>
        </w:rPr>
        <w:t xml:space="preserve"> </w:t>
      </w:r>
      <w:r w:rsidRPr="00DE73BB">
        <w:rPr>
          <w:b/>
          <w:i w:val="0"/>
        </w:rPr>
        <w:t>:</w:t>
      </w:r>
      <w:r>
        <w:rPr>
          <w:b/>
          <w:i w:val="0"/>
        </w:rPr>
        <w:tab/>
        <w:t xml:space="preserve"> </w:t>
      </w:r>
      <w:r w:rsidR="00BB24D0">
        <w:rPr>
          <w:b/>
          <w:i w:val="0"/>
        </w:rPr>
        <w:t xml:space="preserve">  </w:t>
      </w:r>
      <w:r>
        <w:rPr>
          <w:b/>
          <w:i w:val="0"/>
        </w:rPr>
        <w:t xml:space="preserve"> </w:t>
      </w:r>
      <w:r w:rsidRPr="00DE73BB">
        <w:rPr>
          <w:b/>
          <w:i w:val="0"/>
        </w:rPr>
        <w:t>6,6%</w:t>
      </w:r>
    </w:p>
    <w:p w:rsidR="00EF4662" w:rsidRPr="00650D48" w:rsidRDefault="00EF4662" w:rsidP="00EF4662">
      <w:pPr>
        <w:pStyle w:val="SVTitel"/>
        <w:tabs>
          <w:tab w:val="left" w:pos="5387"/>
          <w:tab w:val="left" w:pos="6096"/>
          <w:tab w:val="left" w:pos="7371"/>
          <w:tab w:val="left" w:pos="8080"/>
        </w:tabs>
        <w:ind w:left="705"/>
        <w:rPr>
          <w:i w:val="0"/>
        </w:rPr>
      </w:pPr>
    </w:p>
    <w:p w:rsidR="00EF4662" w:rsidRPr="00650D48" w:rsidRDefault="00EF4662" w:rsidP="00EF4662">
      <w:pPr>
        <w:pStyle w:val="SVTitel"/>
        <w:tabs>
          <w:tab w:val="left" w:pos="5387"/>
          <w:tab w:val="left" w:pos="6096"/>
          <w:tab w:val="left" w:pos="7371"/>
          <w:tab w:val="left" w:pos="8080"/>
        </w:tabs>
        <w:ind w:left="705"/>
        <w:rPr>
          <w:i w:val="0"/>
        </w:rPr>
      </w:pPr>
      <w:r w:rsidRPr="00650D48">
        <w:rPr>
          <w:i w:val="0"/>
        </w:rPr>
        <w:t>De subsidies aan de integratiesector zijn structureel en worden jaarlijks uitgekeerd. In het tweetalig gebied Brussel-Hoofdstad wordt RIC Foyer vzw gesubsidieerd als hoofdstedelijk integratiecentrum. In het tweetalig gebied Brussel-Hoofdstad is het onmogelijk om lokale integratiediensten te erkennen en te subsidiëren.</w:t>
      </w:r>
    </w:p>
    <w:p w:rsidR="00EF4662" w:rsidRPr="00650D48" w:rsidRDefault="00EF4662" w:rsidP="00EF4662">
      <w:pPr>
        <w:pStyle w:val="SVTitel"/>
        <w:tabs>
          <w:tab w:val="left" w:pos="5387"/>
          <w:tab w:val="left" w:pos="6096"/>
          <w:tab w:val="left" w:pos="7371"/>
          <w:tab w:val="left" w:pos="8080"/>
        </w:tabs>
        <w:ind w:left="705"/>
        <w:rPr>
          <w:i w:val="0"/>
        </w:rPr>
      </w:pPr>
    </w:p>
    <w:p w:rsidR="00EF4662" w:rsidRPr="00DE73BB" w:rsidRDefault="00EF4662" w:rsidP="00BB24D0">
      <w:pPr>
        <w:pStyle w:val="SVTitel"/>
        <w:tabs>
          <w:tab w:val="left" w:pos="4111"/>
          <w:tab w:val="left" w:pos="4820"/>
          <w:tab w:val="left" w:pos="5812"/>
          <w:tab w:val="left" w:pos="6521"/>
          <w:tab w:val="left" w:pos="7513"/>
          <w:tab w:val="left" w:pos="8222"/>
        </w:tabs>
        <w:ind w:left="705"/>
        <w:rPr>
          <w:b/>
          <w:i w:val="0"/>
        </w:rPr>
      </w:pPr>
      <w:r w:rsidRPr="00DE73BB">
        <w:rPr>
          <w:b/>
          <w:i w:val="0"/>
        </w:rPr>
        <w:lastRenderedPageBreak/>
        <w:t>Manage</w:t>
      </w:r>
      <w:r>
        <w:rPr>
          <w:b/>
          <w:i w:val="0"/>
        </w:rPr>
        <w:t>rs van</w:t>
      </w:r>
      <w:r w:rsidRPr="00DE73BB">
        <w:rPr>
          <w:b/>
          <w:i w:val="0"/>
        </w:rPr>
        <w:t xml:space="preserve"> diversiteit:</w:t>
      </w:r>
      <w:r>
        <w:rPr>
          <w:b/>
          <w:i w:val="0"/>
        </w:rPr>
        <w:tab/>
      </w:r>
      <w:r w:rsidRPr="00DE73BB">
        <w:rPr>
          <w:b/>
          <w:i w:val="0"/>
        </w:rPr>
        <w:t>2009</w:t>
      </w:r>
      <w:r>
        <w:rPr>
          <w:b/>
          <w:i w:val="0"/>
        </w:rPr>
        <w:t xml:space="preserve"> </w:t>
      </w:r>
      <w:r w:rsidRPr="00DE73BB">
        <w:rPr>
          <w:b/>
          <w:i w:val="0"/>
        </w:rPr>
        <w:t>:</w:t>
      </w:r>
      <w:r>
        <w:rPr>
          <w:b/>
          <w:i w:val="0"/>
        </w:rPr>
        <w:tab/>
      </w:r>
      <w:r w:rsidRPr="00DE73BB">
        <w:rPr>
          <w:b/>
          <w:i w:val="0"/>
        </w:rPr>
        <w:t>15,9%</w:t>
      </w:r>
      <w:r w:rsidRPr="00DE73BB">
        <w:rPr>
          <w:b/>
          <w:i w:val="0"/>
        </w:rPr>
        <w:tab/>
        <w:t>2010</w:t>
      </w:r>
      <w:r>
        <w:rPr>
          <w:b/>
          <w:i w:val="0"/>
        </w:rPr>
        <w:t xml:space="preserve"> </w:t>
      </w:r>
      <w:r w:rsidRPr="00DE73BB">
        <w:rPr>
          <w:b/>
          <w:i w:val="0"/>
        </w:rPr>
        <w:t>:</w:t>
      </w:r>
      <w:r>
        <w:rPr>
          <w:b/>
          <w:i w:val="0"/>
        </w:rPr>
        <w:tab/>
      </w:r>
      <w:r w:rsidRPr="00DE73BB">
        <w:rPr>
          <w:b/>
          <w:i w:val="0"/>
        </w:rPr>
        <w:t>25,3%</w:t>
      </w:r>
      <w:r w:rsidRPr="00DE73BB">
        <w:rPr>
          <w:b/>
          <w:i w:val="0"/>
        </w:rPr>
        <w:tab/>
        <w:t>2011</w:t>
      </w:r>
      <w:r>
        <w:rPr>
          <w:b/>
          <w:i w:val="0"/>
        </w:rPr>
        <w:t xml:space="preserve"> </w:t>
      </w:r>
      <w:r w:rsidRPr="00DE73BB">
        <w:rPr>
          <w:b/>
          <w:i w:val="0"/>
        </w:rPr>
        <w:t>:</w:t>
      </w:r>
      <w:r>
        <w:rPr>
          <w:b/>
          <w:i w:val="0"/>
        </w:rPr>
        <w:tab/>
      </w:r>
      <w:r w:rsidRPr="00DE73BB">
        <w:rPr>
          <w:b/>
          <w:i w:val="0"/>
        </w:rPr>
        <w:t>5,1%</w:t>
      </w:r>
    </w:p>
    <w:p w:rsidR="00EF4662" w:rsidRPr="00650D48" w:rsidRDefault="00EF4662" w:rsidP="00BB24D0">
      <w:pPr>
        <w:pStyle w:val="SVTitel"/>
        <w:tabs>
          <w:tab w:val="left" w:pos="5812"/>
          <w:tab w:val="left" w:pos="6521"/>
          <w:tab w:val="left" w:pos="7513"/>
          <w:tab w:val="left" w:pos="8222"/>
        </w:tabs>
        <w:ind w:left="705"/>
        <w:rPr>
          <w:i w:val="0"/>
        </w:rPr>
      </w:pPr>
    </w:p>
    <w:p w:rsidR="00EF4662" w:rsidRPr="00650D48" w:rsidRDefault="00EF4662" w:rsidP="00BB24D0">
      <w:pPr>
        <w:pStyle w:val="SVTitel"/>
        <w:tabs>
          <w:tab w:val="left" w:pos="5812"/>
          <w:tab w:val="left" w:pos="6521"/>
          <w:tab w:val="left" w:pos="7513"/>
          <w:tab w:val="left" w:pos="8222"/>
        </w:tabs>
        <w:ind w:left="705"/>
        <w:rPr>
          <w:i w:val="0"/>
        </w:rPr>
      </w:pPr>
      <w:r w:rsidRPr="00650D48">
        <w:rPr>
          <w:i w:val="0"/>
        </w:rPr>
        <w:t xml:space="preserve">Wat de oproep ‘Gezocht: managers van diversiteit’ betreft, werden er in 2009 8 projecten in Brussel gesubsidieerd. Voor de oproep van 2010 werden er 2 projecten gesubsidieerd. In 2011 werden er eveneens 2 projecten goedgekeurd voor Brussel. </w:t>
      </w:r>
    </w:p>
    <w:p w:rsidR="00EF4662" w:rsidRPr="00650D48" w:rsidRDefault="00EF4662" w:rsidP="00BB24D0">
      <w:pPr>
        <w:pStyle w:val="SVTitel"/>
        <w:tabs>
          <w:tab w:val="left" w:pos="5812"/>
          <w:tab w:val="left" w:pos="6521"/>
          <w:tab w:val="left" w:pos="7513"/>
          <w:tab w:val="left" w:pos="8222"/>
        </w:tabs>
        <w:ind w:left="705"/>
        <w:rPr>
          <w:i w:val="0"/>
        </w:rPr>
      </w:pPr>
      <w:r w:rsidRPr="00650D48">
        <w:rPr>
          <w:i w:val="0"/>
        </w:rPr>
        <w:t>Een overzicht van de geselecteerde Brusselse projecten is toegevoegd als bijlage</w:t>
      </w:r>
      <w:r w:rsidR="002A0643">
        <w:rPr>
          <w:i w:val="0"/>
        </w:rPr>
        <w:t xml:space="preserve"> 2b</w:t>
      </w:r>
      <w:r w:rsidRPr="00650D48">
        <w:rPr>
          <w:i w:val="0"/>
        </w:rPr>
        <w:t xml:space="preserve">. </w:t>
      </w:r>
    </w:p>
    <w:p w:rsidR="00EF4662" w:rsidRPr="00650D48" w:rsidRDefault="00EF4662" w:rsidP="00BB24D0">
      <w:pPr>
        <w:pStyle w:val="SVTitel"/>
        <w:tabs>
          <w:tab w:val="left" w:pos="5812"/>
          <w:tab w:val="left" w:pos="6521"/>
          <w:tab w:val="left" w:pos="7513"/>
          <w:tab w:val="left" w:pos="8222"/>
        </w:tabs>
        <w:ind w:left="705"/>
        <w:rPr>
          <w:i w:val="0"/>
        </w:rPr>
      </w:pPr>
    </w:p>
    <w:p w:rsidR="00EF4662" w:rsidRPr="00DE73BB" w:rsidRDefault="00EF4662" w:rsidP="00BB24D0">
      <w:pPr>
        <w:pStyle w:val="SVTitel"/>
        <w:tabs>
          <w:tab w:val="left" w:pos="3828"/>
          <w:tab w:val="left" w:pos="4111"/>
          <w:tab w:val="left" w:pos="4820"/>
          <w:tab w:val="left" w:pos="5812"/>
          <w:tab w:val="left" w:pos="6521"/>
          <w:tab w:val="left" w:pos="7513"/>
          <w:tab w:val="left" w:pos="8222"/>
        </w:tabs>
        <w:ind w:left="705"/>
        <w:rPr>
          <w:b/>
          <w:i w:val="0"/>
        </w:rPr>
      </w:pPr>
      <w:r>
        <w:rPr>
          <w:b/>
          <w:i w:val="0"/>
        </w:rPr>
        <w:t>Experimentele projectsubsidies:</w:t>
      </w:r>
      <w:r>
        <w:rPr>
          <w:b/>
          <w:i w:val="0"/>
        </w:rPr>
        <w:tab/>
      </w:r>
      <w:r w:rsidR="00BB24D0">
        <w:rPr>
          <w:b/>
          <w:i w:val="0"/>
        </w:rPr>
        <w:tab/>
      </w:r>
      <w:r w:rsidRPr="00DE73BB">
        <w:rPr>
          <w:b/>
          <w:i w:val="0"/>
        </w:rPr>
        <w:t>2009</w:t>
      </w:r>
      <w:r>
        <w:rPr>
          <w:b/>
          <w:i w:val="0"/>
        </w:rPr>
        <w:t xml:space="preserve"> </w:t>
      </w:r>
      <w:r w:rsidRPr="00DE73BB">
        <w:rPr>
          <w:b/>
          <w:i w:val="0"/>
        </w:rPr>
        <w:t>:</w:t>
      </w:r>
      <w:r w:rsidR="00BB24D0">
        <w:rPr>
          <w:b/>
          <w:i w:val="0"/>
        </w:rPr>
        <w:tab/>
      </w:r>
      <w:r>
        <w:rPr>
          <w:b/>
          <w:i w:val="0"/>
        </w:rPr>
        <w:t>59,6</w:t>
      </w:r>
      <w:r w:rsidRPr="00DE73BB">
        <w:rPr>
          <w:b/>
          <w:i w:val="0"/>
        </w:rPr>
        <w:t>%</w:t>
      </w:r>
      <w:r w:rsidR="00BB24D0">
        <w:rPr>
          <w:b/>
          <w:i w:val="0"/>
        </w:rPr>
        <w:tab/>
      </w:r>
      <w:r w:rsidRPr="00DE73BB">
        <w:rPr>
          <w:b/>
          <w:i w:val="0"/>
        </w:rPr>
        <w:t>2010</w:t>
      </w:r>
      <w:r>
        <w:rPr>
          <w:b/>
          <w:i w:val="0"/>
        </w:rPr>
        <w:t xml:space="preserve"> </w:t>
      </w:r>
      <w:r w:rsidRPr="00DE73BB">
        <w:rPr>
          <w:b/>
          <w:i w:val="0"/>
        </w:rPr>
        <w:t>:</w:t>
      </w:r>
      <w:r>
        <w:rPr>
          <w:b/>
          <w:i w:val="0"/>
        </w:rPr>
        <w:tab/>
        <w:t>51,6</w:t>
      </w:r>
      <w:r w:rsidRPr="00DE73BB">
        <w:rPr>
          <w:b/>
          <w:i w:val="0"/>
        </w:rPr>
        <w:t>%</w:t>
      </w:r>
      <w:r w:rsidRPr="00DE73BB">
        <w:rPr>
          <w:b/>
          <w:i w:val="0"/>
        </w:rPr>
        <w:tab/>
        <w:t>2011</w:t>
      </w:r>
      <w:r>
        <w:rPr>
          <w:b/>
          <w:i w:val="0"/>
        </w:rPr>
        <w:t xml:space="preserve"> </w:t>
      </w:r>
      <w:r w:rsidRPr="00DE73BB">
        <w:rPr>
          <w:b/>
          <w:i w:val="0"/>
        </w:rPr>
        <w:t>:</w:t>
      </w:r>
      <w:r>
        <w:rPr>
          <w:b/>
          <w:i w:val="0"/>
        </w:rPr>
        <w:tab/>
        <w:t>0</w:t>
      </w:r>
      <w:r w:rsidRPr="00DE73BB">
        <w:rPr>
          <w:b/>
          <w:i w:val="0"/>
        </w:rPr>
        <w:t>%</w:t>
      </w:r>
    </w:p>
    <w:p w:rsidR="00EF4662" w:rsidRPr="00650D48" w:rsidRDefault="00EF4662" w:rsidP="00EF4662">
      <w:pPr>
        <w:pStyle w:val="SVTitel"/>
        <w:tabs>
          <w:tab w:val="left" w:pos="7371"/>
          <w:tab w:val="left" w:pos="8080"/>
        </w:tabs>
        <w:ind w:left="705"/>
        <w:rPr>
          <w:i w:val="0"/>
        </w:rPr>
      </w:pPr>
    </w:p>
    <w:p w:rsidR="00EF4662" w:rsidRPr="00650D48" w:rsidRDefault="00EF4662" w:rsidP="00EF4662">
      <w:pPr>
        <w:pStyle w:val="SVTitel"/>
        <w:tabs>
          <w:tab w:val="left" w:pos="7371"/>
          <w:tab w:val="left" w:pos="8080"/>
        </w:tabs>
        <w:ind w:left="705"/>
        <w:rPr>
          <w:i w:val="0"/>
        </w:rPr>
      </w:pPr>
      <w:r w:rsidRPr="00650D48">
        <w:rPr>
          <w:i w:val="0"/>
        </w:rPr>
        <w:t>Wat de experimentele projectsubsidies betreft, werden in 2009 in Brussel 3 projecten gesubsidieerd. In 2010 werden er in het tweetalige gebied Brussel-Hoofdstad 2 projecten gesubsidieerd. Eén project, voor een totaalbedrag van 64.661 euro richt zich op alle integratiecentra, inclusief RIC Foyer. Het andere project werkt wel vanuit Brussel, maar is gericht op de ondersteuning van het lokale integratiebeleid in de Vlaamse gemeenten. In 2011 waren er geen experimentele projectsubsidies.</w:t>
      </w:r>
    </w:p>
    <w:p w:rsidR="00EF4662" w:rsidRPr="00650D48" w:rsidRDefault="00EF4662" w:rsidP="00EF4662">
      <w:pPr>
        <w:pStyle w:val="SVTitel"/>
        <w:tabs>
          <w:tab w:val="left" w:pos="7371"/>
          <w:tab w:val="left" w:pos="8080"/>
        </w:tabs>
        <w:ind w:left="705"/>
        <w:rPr>
          <w:i w:val="0"/>
        </w:rPr>
      </w:pPr>
      <w:r w:rsidRPr="00650D48">
        <w:rPr>
          <w:i w:val="0"/>
        </w:rPr>
        <w:t>Een overzicht van de geselecteerde Brusselse projecten is toegevoegd als bijlage</w:t>
      </w:r>
      <w:r>
        <w:rPr>
          <w:i w:val="0"/>
        </w:rPr>
        <w:t xml:space="preserve"> 2b</w:t>
      </w:r>
      <w:r w:rsidRPr="00650D48">
        <w:rPr>
          <w:i w:val="0"/>
        </w:rPr>
        <w:t>.</w:t>
      </w:r>
    </w:p>
    <w:p w:rsidR="00EF4662" w:rsidRDefault="00EF4662" w:rsidP="00E66CCF">
      <w:pPr>
        <w:jc w:val="both"/>
        <w:rPr>
          <w:bCs/>
        </w:rPr>
      </w:pPr>
    </w:p>
    <w:p w:rsidR="00E66CCF" w:rsidRDefault="00E66CCF" w:rsidP="00E66CCF">
      <w:pPr>
        <w:jc w:val="both"/>
        <w:rPr>
          <w:bCs/>
        </w:rPr>
      </w:pPr>
    </w:p>
    <w:p w:rsidR="00EF4662" w:rsidRPr="00650D48" w:rsidRDefault="00EF4662" w:rsidP="00EF4662">
      <w:pPr>
        <w:ind w:left="708" w:hanging="708"/>
        <w:jc w:val="both"/>
      </w:pPr>
      <w:r>
        <w:t>2.</w:t>
      </w:r>
      <w:r>
        <w:tab/>
        <w:t xml:space="preserve">De tabel geeft </w:t>
      </w:r>
      <w:r w:rsidRPr="00650D48">
        <w:t xml:space="preserve">een overzicht van de uitgaven </w:t>
      </w:r>
      <w:r>
        <w:t xml:space="preserve">die </w:t>
      </w:r>
      <w:r w:rsidRPr="00650D48">
        <w:t>in 2012 begroot zijn voor de verschillende gemeenschapsbevoegdheden in Brussel</w:t>
      </w:r>
      <w:r>
        <w:t xml:space="preserve"> :</w:t>
      </w:r>
    </w:p>
    <w:p w:rsidR="00EF4662" w:rsidRPr="000720DD" w:rsidRDefault="00EF4662" w:rsidP="00E66CCF">
      <w:pPr>
        <w:pStyle w:val="SVTitel"/>
        <w:ind w:left="709"/>
        <w:rPr>
          <w:i w:val="0"/>
        </w:rPr>
      </w:pPr>
    </w:p>
    <w:tbl>
      <w:tblPr>
        <w:tblW w:w="5103" w:type="dxa"/>
        <w:tblInd w:w="779" w:type="dxa"/>
        <w:tblCellMar>
          <w:left w:w="70" w:type="dxa"/>
          <w:right w:w="70" w:type="dxa"/>
        </w:tblCellMar>
        <w:tblLook w:val="0000"/>
      </w:tblPr>
      <w:tblGrid>
        <w:gridCol w:w="3260"/>
        <w:gridCol w:w="1843"/>
      </w:tblGrid>
      <w:tr w:rsidR="00EF4662" w:rsidRPr="00E51189" w:rsidTr="00EF4662">
        <w:trPr>
          <w:trHeight w:val="255"/>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662" w:rsidRPr="00650D48" w:rsidRDefault="00EF4662" w:rsidP="003F47F7">
            <w:pPr>
              <w:jc w:val="center"/>
              <w:rPr>
                <w:b/>
                <w:bCs/>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F4662" w:rsidRPr="00650D48" w:rsidRDefault="00EF4662" w:rsidP="003F47F7">
            <w:pPr>
              <w:jc w:val="center"/>
              <w:rPr>
                <w:b/>
                <w:bCs/>
              </w:rPr>
            </w:pPr>
            <w:r w:rsidRPr="00650D48">
              <w:rPr>
                <w:b/>
                <w:bCs/>
              </w:rPr>
              <w:t>2012</w:t>
            </w:r>
          </w:p>
        </w:tc>
      </w:tr>
      <w:tr w:rsidR="00EF4662" w:rsidRPr="00E51189" w:rsidTr="00EF4662">
        <w:trPr>
          <w:trHeight w:val="255"/>
        </w:trPr>
        <w:tc>
          <w:tcPr>
            <w:tcW w:w="3260" w:type="dxa"/>
            <w:tcBorders>
              <w:top w:val="nil"/>
              <w:left w:val="single" w:sz="4" w:space="0" w:color="auto"/>
              <w:bottom w:val="single" w:sz="4" w:space="0" w:color="auto"/>
              <w:right w:val="single" w:sz="4" w:space="0" w:color="auto"/>
            </w:tcBorders>
            <w:shd w:val="clear" w:color="auto" w:fill="auto"/>
            <w:noWrap/>
            <w:vAlign w:val="center"/>
          </w:tcPr>
          <w:p w:rsidR="00EF4662" w:rsidRPr="00650D48" w:rsidRDefault="00EF4662" w:rsidP="003F47F7">
            <w:pPr>
              <w:rPr>
                <w:b/>
                <w:bCs/>
              </w:rPr>
            </w:pPr>
            <w:r w:rsidRPr="00650D48">
              <w:rPr>
                <w:b/>
                <w:bCs/>
              </w:rPr>
              <w:t>onthaalbureau</w:t>
            </w:r>
          </w:p>
        </w:tc>
        <w:tc>
          <w:tcPr>
            <w:tcW w:w="1843" w:type="dxa"/>
            <w:tcBorders>
              <w:top w:val="nil"/>
              <w:left w:val="nil"/>
              <w:bottom w:val="single" w:sz="4" w:space="0" w:color="auto"/>
              <w:right w:val="single" w:sz="4" w:space="0" w:color="auto"/>
            </w:tcBorders>
            <w:shd w:val="clear" w:color="auto" w:fill="auto"/>
            <w:noWrap/>
            <w:vAlign w:val="center"/>
          </w:tcPr>
          <w:p w:rsidR="00EF4662" w:rsidRPr="00650D48" w:rsidRDefault="00EF4662" w:rsidP="00EF4662">
            <w:pPr>
              <w:ind w:right="355"/>
              <w:jc w:val="right"/>
            </w:pPr>
            <w:r w:rsidRPr="00650D48">
              <w:t>4.461.923 €</w:t>
            </w:r>
          </w:p>
        </w:tc>
      </w:tr>
      <w:tr w:rsidR="00EF4662" w:rsidRPr="00E51189" w:rsidTr="00EF4662">
        <w:trPr>
          <w:trHeight w:val="255"/>
        </w:trPr>
        <w:tc>
          <w:tcPr>
            <w:tcW w:w="3260" w:type="dxa"/>
            <w:tcBorders>
              <w:top w:val="nil"/>
              <w:left w:val="single" w:sz="4" w:space="0" w:color="auto"/>
              <w:bottom w:val="single" w:sz="4" w:space="0" w:color="auto"/>
              <w:right w:val="single" w:sz="4" w:space="0" w:color="auto"/>
            </w:tcBorders>
            <w:shd w:val="clear" w:color="auto" w:fill="auto"/>
            <w:noWrap/>
            <w:vAlign w:val="center"/>
          </w:tcPr>
          <w:p w:rsidR="00EF4662" w:rsidRPr="00650D48" w:rsidRDefault="00EF4662" w:rsidP="003F47F7">
            <w:pPr>
              <w:rPr>
                <w:b/>
                <w:bCs/>
              </w:rPr>
            </w:pPr>
            <w:r w:rsidRPr="00650D48">
              <w:rPr>
                <w:b/>
                <w:bCs/>
              </w:rPr>
              <w:t>sociaal tolkendienst</w:t>
            </w:r>
          </w:p>
        </w:tc>
        <w:tc>
          <w:tcPr>
            <w:tcW w:w="1843" w:type="dxa"/>
            <w:tcBorders>
              <w:top w:val="nil"/>
              <w:left w:val="nil"/>
              <w:bottom w:val="single" w:sz="4" w:space="0" w:color="auto"/>
              <w:right w:val="single" w:sz="4" w:space="0" w:color="auto"/>
            </w:tcBorders>
            <w:shd w:val="clear" w:color="auto" w:fill="auto"/>
            <w:noWrap/>
            <w:vAlign w:val="center"/>
          </w:tcPr>
          <w:p w:rsidR="00EF4662" w:rsidRPr="00650D48" w:rsidRDefault="00EF4662" w:rsidP="00EF4662">
            <w:pPr>
              <w:ind w:right="355"/>
              <w:jc w:val="right"/>
            </w:pPr>
            <w:r w:rsidRPr="00650D48">
              <w:t>185.310 €</w:t>
            </w:r>
          </w:p>
        </w:tc>
      </w:tr>
      <w:tr w:rsidR="00EF4662" w:rsidRPr="00E51189" w:rsidTr="00EF4662">
        <w:trPr>
          <w:trHeight w:val="255"/>
        </w:trPr>
        <w:tc>
          <w:tcPr>
            <w:tcW w:w="3260" w:type="dxa"/>
            <w:tcBorders>
              <w:top w:val="nil"/>
              <w:left w:val="single" w:sz="4" w:space="0" w:color="auto"/>
              <w:bottom w:val="single" w:sz="4" w:space="0" w:color="auto"/>
              <w:right w:val="single" w:sz="4" w:space="0" w:color="auto"/>
            </w:tcBorders>
            <w:shd w:val="clear" w:color="auto" w:fill="auto"/>
            <w:noWrap/>
            <w:vAlign w:val="center"/>
          </w:tcPr>
          <w:p w:rsidR="00EF4662" w:rsidRPr="00650D48" w:rsidRDefault="00EF4662" w:rsidP="003F47F7">
            <w:pPr>
              <w:rPr>
                <w:b/>
                <w:bCs/>
              </w:rPr>
            </w:pPr>
            <w:r w:rsidRPr="00650D48">
              <w:rPr>
                <w:b/>
                <w:bCs/>
              </w:rPr>
              <w:t>RIC Foyer vzw</w:t>
            </w:r>
          </w:p>
        </w:tc>
        <w:tc>
          <w:tcPr>
            <w:tcW w:w="1843" w:type="dxa"/>
            <w:tcBorders>
              <w:top w:val="nil"/>
              <w:left w:val="nil"/>
              <w:bottom w:val="single" w:sz="4" w:space="0" w:color="auto"/>
              <w:right w:val="single" w:sz="4" w:space="0" w:color="auto"/>
            </w:tcBorders>
            <w:shd w:val="clear" w:color="auto" w:fill="auto"/>
            <w:noWrap/>
            <w:vAlign w:val="center"/>
          </w:tcPr>
          <w:p w:rsidR="00EF4662" w:rsidRPr="00650D48" w:rsidRDefault="00EF4662" w:rsidP="00EF4662">
            <w:pPr>
              <w:ind w:right="355"/>
              <w:jc w:val="right"/>
            </w:pPr>
            <w:r w:rsidRPr="00650D48">
              <w:t>1.109.492 €</w:t>
            </w:r>
          </w:p>
        </w:tc>
      </w:tr>
      <w:tr w:rsidR="00EF4662" w:rsidRPr="00E51189" w:rsidTr="00EF4662">
        <w:trPr>
          <w:trHeight w:val="255"/>
        </w:trPr>
        <w:tc>
          <w:tcPr>
            <w:tcW w:w="3260" w:type="dxa"/>
            <w:tcBorders>
              <w:top w:val="nil"/>
              <w:left w:val="single" w:sz="4" w:space="0" w:color="auto"/>
              <w:bottom w:val="single" w:sz="4" w:space="0" w:color="auto"/>
              <w:right w:val="single" w:sz="4" w:space="0" w:color="auto"/>
            </w:tcBorders>
            <w:shd w:val="clear" w:color="auto" w:fill="auto"/>
            <w:noWrap/>
            <w:vAlign w:val="center"/>
          </w:tcPr>
          <w:p w:rsidR="00EF4662" w:rsidRPr="00650D48" w:rsidRDefault="00EF4662" w:rsidP="003F47F7">
            <w:pPr>
              <w:rPr>
                <w:b/>
                <w:bCs/>
              </w:rPr>
            </w:pPr>
            <w:r w:rsidRPr="00650D48">
              <w:rPr>
                <w:b/>
                <w:bCs/>
              </w:rPr>
              <w:t>Managers van Diversiteit</w:t>
            </w:r>
          </w:p>
        </w:tc>
        <w:tc>
          <w:tcPr>
            <w:tcW w:w="1843" w:type="dxa"/>
            <w:tcBorders>
              <w:top w:val="nil"/>
              <w:left w:val="nil"/>
              <w:bottom w:val="single" w:sz="4" w:space="0" w:color="auto"/>
              <w:right w:val="single" w:sz="4" w:space="0" w:color="auto"/>
            </w:tcBorders>
            <w:shd w:val="clear" w:color="auto" w:fill="auto"/>
            <w:noWrap/>
            <w:vAlign w:val="center"/>
          </w:tcPr>
          <w:p w:rsidR="00EF4662" w:rsidRPr="00650D48" w:rsidRDefault="00EF4662" w:rsidP="00EF4662">
            <w:pPr>
              <w:ind w:right="355"/>
              <w:jc w:val="right"/>
            </w:pPr>
            <w:r w:rsidRPr="00650D48">
              <w:t>0 €</w:t>
            </w:r>
          </w:p>
        </w:tc>
      </w:tr>
      <w:tr w:rsidR="00EF4662" w:rsidRPr="00E51189" w:rsidTr="00EF4662">
        <w:trPr>
          <w:trHeight w:val="255"/>
        </w:trPr>
        <w:tc>
          <w:tcPr>
            <w:tcW w:w="3260" w:type="dxa"/>
            <w:tcBorders>
              <w:top w:val="nil"/>
              <w:left w:val="single" w:sz="4" w:space="0" w:color="auto"/>
              <w:bottom w:val="single" w:sz="4" w:space="0" w:color="auto"/>
              <w:right w:val="single" w:sz="4" w:space="0" w:color="auto"/>
            </w:tcBorders>
            <w:shd w:val="clear" w:color="auto" w:fill="auto"/>
            <w:noWrap/>
            <w:vAlign w:val="center"/>
          </w:tcPr>
          <w:p w:rsidR="00EF4662" w:rsidRPr="00650D48" w:rsidRDefault="00EF4662" w:rsidP="003F47F7">
            <w:pPr>
              <w:rPr>
                <w:b/>
                <w:bCs/>
              </w:rPr>
            </w:pPr>
            <w:r w:rsidRPr="00650D48">
              <w:rPr>
                <w:b/>
                <w:bCs/>
              </w:rPr>
              <w:t>experimentele projectsubsidies</w:t>
            </w:r>
          </w:p>
        </w:tc>
        <w:tc>
          <w:tcPr>
            <w:tcW w:w="1843" w:type="dxa"/>
            <w:tcBorders>
              <w:top w:val="nil"/>
              <w:left w:val="nil"/>
              <w:bottom w:val="single" w:sz="4" w:space="0" w:color="auto"/>
              <w:right w:val="single" w:sz="4" w:space="0" w:color="auto"/>
            </w:tcBorders>
            <w:shd w:val="clear" w:color="auto" w:fill="auto"/>
            <w:noWrap/>
            <w:vAlign w:val="center"/>
          </w:tcPr>
          <w:p w:rsidR="00EF4662" w:rsidRPr="00650D48" w:rsidRDefault="00EF4662" w:rsidP="00EF4662">
            <w:pPr>
              <w:ind w:right="355"/>
              <w:jc w:val="right"/>
            </w:pPr>
            <w:r w:rsidRPr="00650D48">
              <w:t>0 €</w:t>
            </w:r>
          </w:p>
        </w:tc>
      </w:tr>
      <w:tr w:rsidR="00EF4662" w:rsidRPr="00E51189" w:rsidTr="00EF4662">
        <w:trPr>
          <w:trHeight w:val="255"/>
        </w:trPr>
        <w:tc>
          <w:tcPr>
            <w:tcW w:w="3260" w:type="dxa"/>
            <w:tcBorders>
              <w:top w:val="nil"/>
              <w:left w:val="single" w:sz="4" w:space="0" w:color="auto"/>
              <w:bottom w:val="single" w:sz="4" w:space="0" w:color="auto"/>
              <w:right w:val="single" w:sz="4" w:space="0" w:color="auto"/>
            </w:tcBorders>
            <w:shd w:val="clear" w:color="auto" w:fill="auto"/>
            <w:noWrap/>
            <w:vAlign w:val="center"/>
          </w:tcPr>
          <w:p w:rsidR="00EF4662" w:rsidRPr="00650D48" w:rsidRDefault="00EF4662" w:rsidP="003F47F7">
            <w:pPr>
              <w:jc w:val="right"/>
              <w:rPr>
                <w:b/>
                <w:bCs/>
              </w:rPr>
            </w:pPr>
            <w:r w:rsidRPr="00650D48">
              <w:rPr>
                <w:b/>
                <w:bCs/>
              </w:rPr>
              <w:t>Totaal:</w:t>
            </w:r>
          </w:p>
        </w:tc>
        <w:tc>
          <w:tcPr>
            <w:tcW w:w="1843" w:type="dxa"/>
            <w:tcBorders>
              <w:top w:val="nil"/>
              <w:left w:val="nil"/>
              <w:bottom w:val="single" w:sz="4" w:space="0" w:color="auto"/>
              <w:right w:val="single" w:sz="4" w:space="0" w:color="auto"/>
            </w:tcBorders>
            <w:shd w:val="clear" w:color="auto" w:fill="auto"/>
            <w:noWrap/>
            <w:vAlign w:val="center"/>
          </w:tcPr>
          <w:p w:rsidR="00EF4662" w:rsidRPr="00650D48" w:rsidRDefault="00EF4662" w:rsidP="00EF4662">
            <w:pPr>
              <w:ind w:right="355"/>
              <w:jc w:val="right"/>
              <w:rPr>
                <w:b/>
                <w:bCs/>
              </w:rPr>
            </w:pPr>
            <w:r w:rsidRPr="00650D48">
              <w:rPr>
                <w:b/>
                <w:bCs/>
              </w:rPr>
              <w:t>5.756.725 €</w:t>
            </w:r>
          </w:p>
        </w:tc>
      </w:tr>
    </w:tbl>
    <w:p w:rsidR="00EF4662" w:rsidRPr="000720DD" w:rsidRDefault="00EF4662" w:rsidP="00EF4662">
      <w:pPr>
        <w:pStyle w:val="SVTitel"/>
      </w:pPr>
    </w:p>
    <w:p w:rsidR="00EF4662" w:rsidRPr="000720DD" w:rsidRDefault="00EF4662" w:rsidP="00EF4662">
      <w:pPr>
        <w:pStyle w:val="SVTitel"/>
      </w:pPr>
    </w:p>
    <w:p w:rsidR="00EF4662" w:rsidRPr="0054582C" w:rsidRDefault="00EF4662" w:rsidP="00EF4662">
      <w:pPr>
        <w:ind w:left="708" w:hanging="708"/>
        <w:jc w:val="both"/>
      </w:pPr>
      <w:r>
        <w:t>3.</w:t>
      </w:r>
      <w:r w:rsidRPr="003A6075">
        <w:t>a)</w:t>
      </w:r>
      <w:r>
        <w:tab/>
      </w:r>
      <w:r w:rsidRPr="0054582C">
        <w:rPr>
          <w:b/>
        </w:rPr>
        <w:t>Het inburgeringsbeleid</w:t>
      </w:r>
      <w:r w:rsidRPr="0054582C">
        <w:t xml:space="preserve"> is gericht naar zowel meerderjarige inburgeraars (art. 3, §1 van het Inburgeringsdecreet) als naar minderjarige anderstalige nieuwkomers die op 31 december volgend op de aanvang van het schooljaar enerzijds minstens 5 jaar en anderzijds geen 18 jaar geworden zijn (art. 3, §5 van het Inburgeringsdecreet). Meerderjarige inburgeraars hebben recht op een inburgeringstraject (art. 3, §2 van het Inburgeringsdecreet) en minderjarigen op een toeleidingstraject (art. 3, §5 van het Inburgeringsdecreet). </w:t>
      </w:r>
    </w:p>
    <w:p w:rsidR="00EF4662" w:rsidRPr="0054582C" w:rsidRDefault="00EF4662" w:rsidP="00EF4662">
      <w:pPr>
        <w:pStyle w:val="SVTitel"/>
        <w:ind w:left="709"/>
        <w:rPr>
          <w:i w:val="0"/>
        </w:rPr>
      </w:pPr>
    </w:p>
    <w:p w:rsidR="00EF4662" w:rsidRPr="0054582C" w:rsidRDefault="00EF4662" w:rsidP="00EF4662">
      <w:pPr>
        <w:pStyle w:val="SVTitel"/>
        <w:ind w:left="709"/>
        <w:rPr>
          <w:i w:val="0"/>
        </w:rPr>
      </w:pPr>
      <w:r w:rsidRPr="0054582C">
        <w:rPr>
          <w:b/>
          <w:i w:val="0"/>
        </w:rPr>
        <w:t>Het integratiebeleid</w:t>
      </w:r>
      <w:r w:rsidRPr="0054582C">
        <w:rPr>
          <w:i w:val="0"/>
        </w:rPr>
        <w:t xml:space="preserve"> richt zich volgens artikel 3 van het decreet van 28 april 1998 betreffende het Vlaamse Integratiebeleid tot de gehele samenleving. Wel is er speciale aandacht voor volgende personen</w:t>
      </w:r>
      <w:r w:rsidR="00BB24D0">
        <w:rPr>
          <w:i w:val="0"/>
        </w:rPr>
        <w:t xml:space="preserve"> </w:t>
      </w:r>
      <w:r w:rsidRPr="0054582C">
        <w:rPr>
          <w:i w:val="0"/>
        </w:rPr>
        <w:t>:</w:t>
      </w:r>
    </w:p>
    <w:p w:rsidR="00EF4662" w:rsidRPr="0054582C" w:rsidRDefault="00EF4662" w:rsidP="00EF4662">
      <w:pPr>
        <w:pStyle w:val="SVTitel"/>
        <w:ind w:left="993" w:hanging="284"/>
        <w:rPr>
          <w:i w:val="0"/>
          <w:lang w:val="nl-BE"/>
        </w:rPr>
      </w:pPr>
      <w:r w:rsidRPr="0054582C">
        <w:rPr>
          <w:i w:val="0"/>
          <w:lang w:val="nl-BE"/>
        </w:rPr>
        <w:t>-</w:t>
      </w:r>
      <w:r>
        <w:rPr>
          <w:i w:val="0"/>
          <w:lang w:val="nl-BE"/>
        </w:rPr>
        <w:tab/>
      </w:r>
      <w:r w:rsidRPr="0054582C">
        <w:rPr>
          <w:i w:val="0"/>
          <w:lang w:val="nl-BE"/>
        </w:rPr>
        <w:t>personen die legaal en langdurig in België verblijven en die bij hun geboorte niet de Belgische nationaliteit bezaten of van wie minstens een van de ouders bij geboorte niet de Belgische nationaliteit bezat, in het bijzonder diegenen die zich in een vaststelbare achterstandspositie bevinden</w:t>
      </w:r>
      <w:smartTag w:uri="urn:schemas-microsoft-com:office:smarttags" w:element="PersonName">
        <w:r w:rsidRPr="0054582C">
          <w:rPr>
            <w:i w:val="0"/>
            <w:lang w:val="nl-BE"/>
          </w:rPr>
          <w:t>;</w:t>
        </w:r>
      </w:smartTag>
      <w:r w:rsidRPr="0054582C">
        <w:rPr>
          <w:i w:val="0"/>
          <w:lang w:val="nl-BE"/>
        </w:rPr>
        <w:t xml:space="preserve"> daarbij is een langdurig verblijf elk legaal verblijf dat niet beperkt is tot maximaal drie maanden, zoals bedoeld in hoofdstuk 2 van de eerste titel van de wet van 15 december 1980 betreffende toegang tot het grondgebied, het verblijf, de vestiging en de verwijdering van vreemdelingen</w:t>
      </w:r>
      <w:r>
        <w:rPr>
          <w:i w:val="0"/>
          <w:lang w:val="nl-BE"/>
        </w:rPr>
        <w:t xml:space="preserve"> ;</w:t>
      </w:r>
    </w:p>
    <w:p w:rsidR="00EF4662" w:rsidRPr="0054582C" w:rsidRDefault="00EF4662" w:rsidP="00EF4662">
      <w:pPr>
        <w:pStyle w:val="SVTitel"/>
        <w:ind w:left="993" w:hanging="284"/>
        <w:rPr>
          <w:i w:val="0"/>
          <w:lang w:val="nl-BE"/>
        </w:rPr>
      </w:pPr>
      <w:r w:rsidRPr="0054582C">
        <w:rPr>
          <w:i w:val="0"/>
          <w:lang w:val="nl-BE"/>
        </w:rPr>
        <w:t>-</w:t>
      </w:r>
      <w:r>
        <w:rPr>
          <w:i w:val="0"/>
          <w:lang w:val="nl-BE"/>
        </w:rPr>
        <w:tab/>
      </w:r>
      <w:r w:rsidRPr="0054582C">
        <w:rPr>
          <w:i w:val="0"/>
          <w:lang w:val="nl-BE"/>
        </w:rPr>
        <w:t>personen die legaal in België verblijven en die wonen of woonden in een woonwagen als vermeld in artikel 2, 33° van het decreet van 15 juli 1997 houdende de Vlaamse Wooncode, of waarvan de ouders dat deden, met uitzondering van bewoners van campings of gebieden met weekendverblijven.</w:t>
      </w:r>
    </w:p>
    <w:p w:rsidR="00EF4662" w:rsidRDefault="00EF4662" w:rsidP="00EF4662">
      <w:pPr>
        <w:pStyle w:val="SVTitel"/>
        <w:rPr>
          <w:i w:val="0"/>
        </w:rPr>
      </w:pPr>
    </w:p>
    <w:p w:rsidR="00EF4662" w:rsidRPr="0054582C" w:rsidRDefault="00EF4662" w:rsidP="00EF4662">
      <w:pPr>
        <w:pStyle w:val="SVTitel"/>
        <w:rPr>
          <w:i w:val="0"/>
        </w:rPr>
      </w:pPr>
    </w:p>
    <w:p w:rsidR="00EF4662" w:rsidRPr="0054582C" w:rsidRDefault="00EF4662" w:rsidP="00EF4662">
      <w:pPr>
        <w:ind w:left="708" w:hanging="708"/>
        <w:jc w:val="both"/>
      </w:pPr>
      <w:r>
        <w:lastRenderedPageBreak/>
        <w:t>3.</w:t>
      </w:r>
      <w:r w:rsidRPr="0054582C">
        <w:t>b)</w:t>
      </w:r>
      <w:r>
        <w:tab/>
      </w:r>
      <w:r w:rsidRPr="0054582C">
        <w:t xml:space="preserve">Wat </w:t>
      </w:r>
      <w:r w:rsidRPr="0054582C">
        <w:rPr>
          <w:b/>
        </w:rPr>
        <w:t>inburgering</w:t>
      </w:r>
      <w:r w:rsidRPr="0054582C">
        <w:t xml:space="preserve"> betreft hebben we geen zicht op het totaal aantal meerderjarige inburgeraars en minderjarige nieuwkomers in het Brusselse Hoofdstedelijke Gewest. We kunnen enkel meedelen hoeveel inburgeraars er in Brussel door het onthaalbureau Bon vzw bereikt worden. In 2011 hebben 2.090 meerderjarige inburgeraars zich aangemeld bij Bon en werd er voor 351 minderjarige anderstalige nieuwkomers tussen 5 en 18 jaar een toeleidingstraject naar onderwijs opgestart.</w:t>
      </w:r>
    </w:p>
    <w:p w:rsidR="00EF4662" w:rsidRDefault="00EF4662" w:rsidP="00EF4662">
      <w:pPr>
        <w:pStyle w:val="SVTitel"/>
        <w:ind w:left="709"/>
        <w:rPr>
          <w:i w:val="0"/>
        </w:rPr>
      </w:pPr>
    </w:p>
    <w:p w:rsidR="00EF4662" w:rsidRDefault="00EF4662" w:rsidP="00EF4662">
      <w:pPr>
        <w:pStyle w:val="SVTitel"/>
        <w:ind w:left="709"/>
        <w:rPr>
          <w:i w:val="0"/>
        </w:rPr>
      </w:pPr>
      <w:r>
        <w:rPr>
          <w:i w:val="0"/>
        </w:rPr>
        <w:t xml:space="preserve">Wat </w:t>
      </w:r>
      <w:r w:rsidRPr="00772E16">
        <w:rPr>
          <w:b/>
          <w:i w:val="0"/>
        </w:rPr>
        <w:t>integratie</w:t>
      </w:r>
      <w:r>
        <w:rPr>
          <w:i w:val="0"/>
        </w:rPr>
        <w:t xml:space="preserve"> betreft werd de definitie in punt a) door</w:t>
      </w:r>
      <w:r w:rsidRPr="00772E16">
        <w:rPr>
          <w:i w:val="0"/>
        </w:rPr>
        <w:t xml:space="preserve"> </w:t>
      </w:r>
      <w:r>
        <w:rPr>
          <w:i w:val="0"/>
        </w:rPr>
        <w:t>de Studiedienst van de Vlaamse Regering geoperationaliseerd, op basis van beschikbaarheid van gegevens. De berekening gaf op 1 januari 2011 volgende aanwezigheid van ‘personen van vreemde herkomst’ in het tweetalige gebied Brussel-Hoofdstad.</w:t>
      </w:r>
    </w:p>
    <w:p w:rsidR="00EF4662" w:rsidRPr="00CC0C6C" w:rsidRDefault="00EF4662" w:rsidP="00EF4662">
      <w:pPr>
        <w:pStyle w:val="SVTitel"/>
        <w:ind w:left="709"/>
        <w:rPr>
          <w:i w:val="0"/>
        </w:rPr>
      </w:pPr>
    </w:p>
    <w:tbl>
      <w:tblPr>
        <w:tblW w:w="8570" w:type="dxa"/>
        <w:tblInd w:w="779" w:type="dxa"/>
        <w:tblCellMar>
          <w:left w:w="70" w:type="dxa"/>
          <w:right w:w="70" w:type="dxa"/>
        </w:tblCellMar>
        <w:tblLook w:val="0000"/>
      </w:tblPr>
      <w:tblGrid>
        <w:gridCol w:w="841"/>
        <w:gridCol w:w="2768"/>
        <w:gridCol w:w="1867"/>
        <w:gridCol w:w="1800"/>
        <w:gridCol w:w="1294"/>
      </w:tblGrid>
      <w:tr w:rsidR="00EF4662" w:rsidRPr="00772E16" w:rsidTr="00E66CCF">
        <w:tc>
          <w:tcPr>
            <w:tcW w:w="8570" w:type="dxa"/>
            <w:gridSpan w:val="5"/>
            <w:tcBorders>
              <w:top w:val="nil"/>
              <w:left w:val="nil"/>
              <w:bottom w:val="nil"/>
              <w:right w:val="nil"/>
            </w:tcBorders>
            <w:shd w:val="clear" w:color="auto" w:fill="FFFFFF"/>
            <w:vAlign w:val="center"/>
          </w:tcPr>
          <w:p w:rsidR="00EF4662" w:rsidRPr="00772E16" w:rsidRDefault="00EF4662" w:rsidP="003F47F7">
            <w:pPr>
              <w:rPr>
                <w:rFonts w:ascii="Arial Bold" w:hAnsi="Arial Bold"/>
                <w:b/>
                <w:bCs/>
                <w:color w:val="000000"/>
              </w:rPr>
            </w:pPr>
            <w:r w:rsidRPr="00772E16">
              <w:rPr>
                <w:rFonts w:ascii="Arial Bold" w:hAnsi="Arial Bold"/>
                <w:b/>
                <w:bCs/>
                <w:color w:val="000000"/>
                <w:szCs w:val="22"/>
              </w:rPr>
              <w:t xml:space="preserve">woonplaats op 1/1/2011  personen van vreemde herkomst </w:t>
            </w:r>
          </w:p>
        </w:tc>
      </w:tr>
      <w:tr w:rsidR="00EF4662" w:rsidRPr="004E7D7A" w:rsidTr="00E66CCF">
        <w:tc>
          <w:tcPr>
            <w:tcW w:w="841" w:type="dxa"/>
            <w:tcBorders>
              <w:top w:val="single" w:sz="8" w:space="0" w:color="000000"/>
              <w:left w:val="single" w:sz="8" w:space="0" w:color="000000"/>
              <w:bottom w:val="nil"/>
              <w:right w:val="nil"/>
            </w:tcBorders>
            <w:shd w:val="clear" w:color="auto" w:fill="FFFFFF"/>
            <w:noWrap/>
            <w:vAlign w:val="center"/>
          </w:tcPr>
          <w:p w:rsidR="00EF4662" w:rsidRPr="004E7D7A" w:rsidRDefault="00EF4662" w:rsidP="003F47F7">
            <w:pPr>
              <w:jc w:val="center"/>
              <w:rPr>
                <w:rFonts w:ascii="Calibri" w:hAnsi="Calibri"/>
                <w:color w:val="000000"/>
              </w:rPr>
            </w:pPr>
          </w:p>
        </w:tc>
        <w:tc>
          <w:tcPr>
            <w:tcW w:w="2768" w:type="dxa"/>
            <w:tcBorders>
              <w:top w:val="single" w:sz="8" w:space="0" w:color="000000"/>
              <w:left w:val="nil"/>
              <w:bottom w:val="nil"/>
              <w:right w:val="single" w:sz="8" w:space="0" w:color="000000"/>
            </w:tcBorders>
            <w:shd w:val="clear" w:color="auto" w:fill="FFFFFF"/>
            <w:noWrap/>
            <w:vAlign w:val="center"/>
          </w:tcPr>
          <w:p w:rsidR="00EF4662" w:rsidRPr="004E7D7A" w:rsidRDefault="00EF4662" w:rsidP="003F47F7">
            <w:pPr>
              <w:jc w:val="center"/>
              <w:rPr>
                <w:rFonts w:ascii="Calibri" w:hAnsi="Calibri"/>
                <w:color w:val="000000"/>
              </w:rPr>
            </w:pPr>
          </w:p>
        </w:tc>
        <w:tc>
          <w:tcPr>
            <w:tcW w:w="4961" w:type="dxa"/>
            <w:gridSpan w:val="3"/>
            <w:tcBorders>
              <w:top w:val="single" w:sz="8" w:space="0" w:color="000000"/>
              <w:left w:val="nil"/>
              <w:bottom w:val="single" w:sz="4" w:space="0" w:color="000000"/>
              <w:right w:val="single" w:sz="8" w:space="0" w:color="000000"/>
            </w:tcBorders>
            <w:shd w:val="clear" w:color="auto" w:fill="FFFFFF"/>
            <w:vAlign w:val="bottom"/>
          </w:tcPr>
          <w:p w:rsidR="00EF4662" w:rsidRPr="004E7D7A" w:rsidRDefault="00EF4662" w:rsidP="003F47F7">
            <w:pPr>
              <w:rPr>
                <w:rFonts w:ascii="Arial" w:hAnsi="Arial" w:cs="Arial"/>
                <w:color w:val="000000"/>
                <w:sz w:val="18"/>
                <w:szCs w:val="18"/>
              </w:rPr>
            </w:pPr>
            <w:r w:rsidRPr="004E7D7A">
              <w:rPr>
                <w:rFonts w:ascii="Arial" w:hAnsi="Arial" w:cs="Arial"/>
                <w:color w:val="000000"/>
                <w:sz w:val="18"/>
                <w:szCs w:val="18"/>
              </w:rPr>
              <w:t xml:space="preserve">personen van vreemde herkomst </w:t>
            </w:r>
          </w:p>
        </w:tc>
      </w:tr>
      <w:tr w:rsidR="00EF4662" w:rsidRPr="004E7D7A" w:rsidTr="00E66CCF">
        <w:tc>
          <w:tcPr>
            <w:tcW w:w="841" w:type="dxa"/>
            <w:tcBorders>
              <w:top w:val="nil"/>
              <w:left w:val="single" w:sz="8" w:space="0" w:color="000000"/>
              <w:bottom w:val="single" w:sz="8" w:space="0" w:color="000000"/>
              <w:right w:val="nil"/>
            </w:tcBorders>
            <w:shd w:val="clear" w:color="auto" w:fill="FFFFFF"/>
            <w:noWrap/>
            <w:vAlign w:val="center"/>
          </w:tcPr>
          <w:p w:rsidR="00EF4662" w:rsidRPr="004E7D7A" w:rsidRDefault="00EF4662" w:rsidP="003F47F7">
            <w:pPr>
              <w:jc w:val="center"/>
              <w:rPr>
                <w:rFonts w:ascii="Calibri" w:hAnsi="Calibri"/>
                <w:color w:val="000000"/>
              </w:rPr>
            </w:pPr>
          </w:p>
        </w:tc>
        <w:tc>
          <w:tcPr>
            <w:tcW w:w="2768" w:type="dxa"/>
            <w:tcBorders>
              <w:top w:val="nil"/>
              <w:left w:val="nil"/>
              <w:bottom w:val="single" w:sz="4" w:space="0" w:color="auto"/>
              <w:right w:val="single" w:sz="8" w:space="0" w:color="000000"/>
            </w:tcBorders>
            <w:shd w:val="clear" w:color="auto" w:fill="FFFFFF"/>
            <w:noWrap/>
            <w:vAlign w:val="center"/>
          </w:tcPr>
          <w:p w:rsidR="00EF4662" w:rsidRPr="004E7D7A" w:rsidRDefault="00EF4662" w:rsidP="003F47F7">
            <w:pPr>
              <w:jc w:val="center"/>
              <w:rPr>
                <w:rFonts w:ascii="Calibri" w:hAnsi="Calibri"/>
                <w:color w:val="000000"/>
              </w:rPr>
            </w:pPr>
          </w:p>
        </w:tc>
        <w:tc>
          <w:tcPr>
            <w:tcW w:w="1867" w:type="dxa"/>
            <w:tcBorders>
              <w:top w:val="nil"/>
              <w:left w:val="nil"/>
              <w:bottom w:val="single" w:sz="4" w:space="0" w:color="auto"/>
              <w:right w:val="single" w:sz="4" w:space="0" w:color="000000"/>
            </w:tcBorders>
            <w:shd w:val="clear" w:color="auto" w:fill="FFFFFF"/>
            <w:vAlign w:val="bottom"/>
          </w:tcPr>
          <w:p w:rsidR="00EF4662" w:rsidRPr="004E7D7A" w:rsidRDefault="00EF4662" w:rsidP="003F47F7">
            <w:pPr>
              <w:jc w:val="center"/>
              <w:rPr>
                <w:rFonts w:ascii="Arial" w:hAnsi="Arial" w:cs="Arial"/>
                <w:color w:val="000000"/>
                <w:sz w:val="18"/>
                <w:szCs w:val="18"/>
              </w:rPr>
            </w:pPr>
            <w:r w:rsidRPr="004E7D7A">
              <w:rPr>
                <w:rFonts w:ascii="Arial" w:hAnsi="Arial" w:cs="Arial"/>
                <w:color w:val="000000"/>
                <w:sz w:val="18"/>
                <w:szCs w:val="18"/>
              </w:rPr>
              <w:t>Belgische herkomst</w:t>
            </w:r>
          </w:p>
        </w:tc>
        <w:tc>
          <w:tcPr>
            <w:tcW w:w="1800" w:type="dxa"/>
            <w:tcBorders>
              <w:top w:val="nil"/>
              <w:left w:val="nil"/>
              <w:bottom w:val="single" w:sz="4" w:space="0" w:color="auto"/>
              <w:right w:val="single" w:sz="4" w:space="0" w:color="000000"/>
            </w:tcBorders>
            <w:shd w:val="clear" w:color="auto" w:fill="FFFFFF"/>
            <w:vAlign w:val="bottom"/>
          </w:tcPr>
          <w:p w:rsidR="00EF4662" w:rsidRPr="004E7D7A" w:rsidRDefault="00EF4662" w:rsidP="003F47F7">
            <w:pPr>
              <w:jc w:val="center"/>
              <w:rPr>
                <w:rFonts w:ascii="Arial" w:hAnsi="Arial" w:cs="Arial"/>
                <w:color w:val="000000"/>
                <w:sz w:val="18"/>
                <w:szCs w:val="18"/>
              </w:rPr>
            </w:pPr>
            <w:r w:rsidRPr="004E7D7A">
              <w:rPr>
                <w:rFonts w:ascii="Arial" w:hAnsi="Arial" w:cs="Arial"/>
                <w:color w:val="000000"/>
                <w:sz w:val="18"/>
                <w:szCs w:val="18"/>
              </w:rPr>
              <w:t>vreemde herkomst</w:t>
            </w:r>
          </w:p>
        </w:tc>
        <w:tc>
          <w:tcPr>
            <w:tcW w:w="1294" w:type="dxa"/>
            <w:tcBorders>
              <w:top w:val="nil"/>
              <w:left w:val="nil"/>
              <w:bottom w:val="single" w:sz="4" w:space="0" w:color="auto"/>
              <w:right w:val="single" w:sz="8" w:space="0" w:color="000000"/>
            </w:tcBorders>
            <w:shd w:val="clear" w:color="auto" w:fill="FFFFFF"/>
            <w:vAlign w:val="bottom"/>
          </w:tcPr>
          <w:p w:rsidR="00EF4662" w:rsidRPr="004E7D7A" w:rsidRDefault="00EF4662" w:rsidP="003F47F7">
            <w:pPr>
              <w:jc w:val="center"/>
              <w:rPr>
                <w:rFonts w:ascii="Arial" w:hAnsi="Arial" w:cs="Arial"/>
                <w:color w:val="000000"/>
                <w:sz w:val="18"/>
                <w:szCs w:val="18"/>
              </w:rPr>
            </w:pPr>
            <w:r w:rsidRPr="004E7D7A">
              <w:rPr>
                <w:rFonts w:ascii="Arial" w:hAnsi="Arial" w:cs="Arial"/>
                <w:color w:val="000000"/>
                <w:sz w:val="18"/>
                <w:szCs w:val="18"/>
              </w:rPr>
              <w:t>Tot</w:t>
            </w:r>
            <w:r>
              <w:rPr>
                <w:rFonts w:ascii="Arial" w:hAnsi="Arial" w:cs="Arial"/>
                <w:color w:val="000000"/>
                <w:sz w:val="18"/>
                <w:szCs w:val="18"/>
              </w:rPr>
              <w:t>a</w:t>
            </w:r>
            <w:r w:rsidRPr="004E7D7A">
              <w:rPr>
                <w:rFonts w:ascii="Arial" w:hAnsi="Arial" w:cs="Arial"/>
                <w:color w:val="000000"/>
                <w:sz w:val="18"/>
                <w:szCs w:val="18"/>
              </w:rPr>
              <w:t>al</w:t>
            </w:r>
          </w:p>
        </w:tc>
      </w:tr>
      <w:tr w:rsidR="00EF4662" w:rsidRPr="004E7D7A" w:rsidTr="00E66CCF">
        <w:trPr>
          <w:trHeight w:val="170"/>
        </w:trPr>
        <w:tc>
          <w:tcPr>
            <w:tcW w:w="841" w:type="dxa"/>
            <w:vMerge w:val="restart"/>
            <w:tcBorders>
              <w:top w:val="nil"/>
              <w:left w:val="single" w:sz="8" w:space="0" w:color="000000"/>
              <w:bottom w:val="single" w:sz="8" w:space="0" w:color="000000"/>
              <w:right w:val="single" w:sz="4" w:space="0" w:color="auto"/>
            </w:tcBorders>
            <w:shd w:val="clear" w:color="auto" w:fill="FFFFFF"/>
          </w:tcPr>
          <w:p w:rsidR="00EF4662" w:rsidRPr="004E7D7A" w:rsidRDefault="00EF4662" w:rsidP="003F47F7">
            <w:pPr>
              <w:rPr>
                <w:rFonts w:ascii="Arial" w:hAnsi="Arial" w:cs="Arial"/>
                <w:color w:val="000000"/>
                <w:sz w:val="18"/>
                <w:szCs w:val="18"/>
              </w:rPr>
            </w:pPr>
            <w:r w:rsidRPr="004E7D7A">
              <w:rPr>
                <w:rFonts w:ascii="Arial" w:hAnsi="Arial" w:cs="Arial"/>
                <w:color w:val="000000"/>
                <w:sz w:val="18"/>
                <w:szCs w:val="18"/>
              </w:rPr>
              <w:t>woon</w:t>
            </w:r>
            <w:r>
              <w:rPr>
                <w:rFonts w:ascii="Arial" w:hAnsi="Arial" w:cs="Arial"/>
                <w:color w:val="000000"/>
                <w:sz w:val="18"/>
                <w:szCs w:val="18"/>
              </w:rPr>
              <w:t>-</w:t>
            </w:r>
            <w:r w:rsidRPr="004E7D7A">
              <w:rPr>
                <w:rFonts w:ascii="Arial" w:hAnsi="Arial" w:cs="Arial"/>
                <w:color w:val="000000"/>
                <w:sz w:val="18"/>
                <w:szCs w:val="18"/>
              </w:rPr>
              <w:t>plaats op 1/1/2011</w:t>
            </w:r>
          </w:p>
        </w:tc>
        <w:tc>
          <w:tcPr>
            <w:tcW w:w="2768" w:type="dxa"/>
            <w:tcBorders>
              <w:top w:val="single" w:sz="4" w:space="0" w:color="auto"/>
              <w:left w:val="single" w:sz="4" w:space="0" w:color="auto"/>
              <w:bottom w:val="single" w:sz="4" w:space="0" w:color="auto"/>
              <w:right w:val="single" w:sz="4" w:space="0" w:color="auto"/>
            </w:tcBorders>
            <w:shd w:val="clear" w:color="auto" w:fill="FFFFFF"/>
          </w:tcPr>
          <w:p w:rsidR="00EF4662" w:rsidRPr="004E7D7A" w:rsidRDefault="00EF4662" w:rsidP="003F47F7">
            <w:pPr>
              <w:rPr>
                <w:rFonts w:ascii="Arial" w:hAnsi="Arial" w:cs="Arial"/>
                <w:color w:val="000000"/>
                <w:sz w:val="18"/>
                <w:szCs w:val="18"/>
              </w:rPr>
            </w:pPr>
            <w:r w:rsidRPr="004E7D7A">
              <w:rPr>
                <w:rFonts w:ascii="Arial" w:hAnsi="Arial" w:cs="Arial"/>
                <w:color w:val="000000"/>
                <w:sz w:val="18"/>
                <w:szCs w:val="18"/>
              </w:rPr>
              <w:t>Anderlecht</w:t>
            </w:r>
          </w:p>
        </w:tc>
        <w:tc>
          <w:tcPr>
            <w:tcW w:w="18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522"/>
              <w:jc w:val="right"/>
              <w:rPr>
                <w:rFonts w:ascii="Arial" w:hAnsi="Arial" w:cs="Arial"/>
                <w:color w:val="000000"/>
                <w:sz w:val="18"/>
                <w:szCs w:val="18"/>
              </w:rPr>
            </w:pPr>
            <w:r w:rsidRPr="004E7D7A">
              <w:rPr>
                <w:rFonts w:ascii="Arial" w:hAnsi="Arial" w:cs="Arial"/>
                <w:color w:val="000000"/>
                <w:sz w:val="18"/>
                <w:szCs w:val="18"/>
              </w:rPr>
              <w:t>38</w:t>
            </w:r>
            <w:r>
              <w:rPr>
                <w:rFonts w:ascii="Arial" w:hAnsi="Arial" w:cs="Arial"/>
                <w:color w:val="000000"/>
                <w:sz w:val="18"/>
                <w:szCs w:val="18"/>
              </w:rPr>
              <w:t>.</w:t>
            </w:r>
            <w:r w:rsidRPr="004E7D7A">
              <w:rPr>
                <w:rFonts w:ascii="Arial" w:hAnsi="Arial" w:cs="Arial"/>
                <w:color w:val="000000"/>
                <w:sz w:val="18"/>
                <w:szCs w:val="18"/>
              </w:rPr>
              <w:t>082</w:t>
            </w:r>
          </w:p>
        </w:tc>
        <w:tc>
          <w:tcPr>
            <w:tcW w:w="18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437"/>
              <w:jc w:val="right"/>
              <w:rPr>
                <w:rFonts w:ascii="Arial" w:hAnsi="Arial" w:cs="Arial"/>
                <w:color w:val="000000"/>
                <w:sz w:val="18"/>
                <w:szCs w:val="18"/>
              </w:rPr>
            </w:pPr>
            <w:r w:rsidRPr="004E7D7A">
              <w:rPr>
                <w:rFonts w:ascii="Arial" w:hAnsi="Arial" w:cs="Arial"/>
                <w:color w:val="000000"/>
                <w:sz w:val="18"/>
                <w:szCs w:val="18"/>
              </w:rPr>
              <w:t>69</w:t>
            </w:r>
            <w:r>
              <w:rPr>
                <w:rFonts w:ascii="Arial" w:hAnsi="Arial" w:cs="Arial"/>
                <w:color w:val="000000"/>
                <w:sz w:val="18"/>
                <w:szCs w:val="18"/>
              </w:rPr>
              <w:t>.</w:t>
            </w:r>
            <w:r w:rsidRPr="004E7D7A">
              <w:rPr>
                <w:rFonts w:ascii="Arial" w:hAnsi="Arial" w:cs="Arial"/>
                <w:color w:val="000000"/>
                <w:sz w:val="18"/>
                <w:szCs w:val="18"/>
              </w:rPr>
              <w:t>717</w:t>
            </w:r>
          </w:p>
        </w:tc>
        <w:tc>
          <w:tcPr>
            <w:tcW w:w="12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143"/>
              <w:jc w:val="right"/>
              <w:rPr>
                <w:rFonts w:ascii="Arial" w:hAnsi="Arial" w:cs="Arial"/>
                <w:color w:val="000000"/>
                <w:sz w:val="18"/>
                <w:szCs w:val="18"/>
              </w:rPr>
            </w:pPr>
            <w:r w:rsidRPr="004E7D7A">
              <w:rPr>
                <w:rFonts w:ascii="Arial" w:hAnsi="Arial" w:cs="Arial"/>
                <w:color w:val="000000"/>
                <w:sz w:val="18"/>
                <w:szCs w:val="18"/>
              </w:rPr>
              <w:t>107</w:t>
            </w:r>
            <w:r>
              <w:rPr>
                <w:rFonts w:ascii="Arial" w:hAnsi="Arial" w:cs="Arial"/>
                <w:color w:val="000000"/>
                <w:sz w:val="18"/>
                <w:szCs w:val="18"/>
              </w:rPr>
              <w:t>.</w:t>
            </w:r>
            <w:r w:rsidRPr="004E7D7A">
              <w:rPr>
                <w:rFonts w:ascii="Arial" w:hAnsi="Arial" w:cs="Arial"/>
                <w:color w:val="000000"/>
                <w:sz w:val="18"/>
                <w:szCs w:val="18"/>
              </w:rPr>
              <w:t>799</w:t>
            </w:r>
          </w:p>
        </w:tc>
      </w:tr>
      <w:tr w:rsidR="00EF4662" w:rsidRPr="004E7D7A" w:rsidTr="00E66CCF">
        <w:tc>
          <w:tcPr>
            <w:tcW w:w="841" w:type="dxa"/>
            <w:vMerge/>
            <w:tcBorders>
              <w:top w:val="nil"/>
              <w:left w:val="single" w:sz="8" w:space="0" w:color="000000"/>
              <w:bottom w:val="single" w:sz="8" w:space="0" w:color="000000"/>
              <w:right w:val="single" w:sz="4" w:space="0" w:color="auto"/>
            </w:tcBorders>
            <w:vAlign w:val="center"/>
          </w:tcPr>
          <w:p w:rsidR="00EF4662" w:rsidRPr="004E7D7A" w:rsidRDefault="00EF4662" w:rsidP="003F47F7">
            <w:pPr>
              <w:rPr>
                <w:rFonts w:ascii="Arial" w:hAnsi="Arial" w:cs="Arial"/>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FFFFFF"/>
          </w:tcPr>
          <w:p w:rsidR="00EF4662" w:rsidRPr="004E7D7A" w:rsidRDefault="00EF4662" w:rsidP="003F47F7">
            <w:pPr>
              <w:rPr>
                <w:rFonts w:ascii="Arial" w:hAnsi="Arial" w:cs="Arial"/>
                <w:color w:val="000000"/>
                <w:sz w:val="18"/>
                <w:szCs w:val="18"/>
              </w:rPr>
            </w:pPr>
            <w:r w:rsidRPr="004E7D7A">
              <w:rPr>
                <w:rFonts w:ascii="Arial" w:hAnsi="Arial" w:cs="Arial"/>
                <w:color w:val="000000"/>
                <w:sz w:val="18"/>
                <w:szCs w:val="18"/>
              </w:rPr>
              <w:t>Oudergem</w:t>
            </w:r>
          </w:p>
        </w:tc>
        <w:tc>
          <w:tcPr>
            <w:tcW w:w="18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522"/>
              <w:jc w:val="right"/>
              <w:rPr>
                <w:rFonts w:ascii="Arial" w:hAnsi="Arial" w:cs="Arial"/>
                <w:color w:val="000000"/>
                <w:sz w:val="18"/>
                <w:szCs w:val="18"/>
              </w:rPr>
            </w:pPr>
            <w:r w:rsidRPr="004E7D7A">
              <w:rPr>
                <w:rFonts w:ascii="Arial" w:hAnsi="Arial" w:cs="Arial"/>
                <w:color w:val="000000"/>
                <w:sz w:val="18"/>
                <w:szCs w:val="18"/>
              </w:rPr>
              <w:t>19</w:t>
            </w:r>
            <w:r>
              <w:rPr>
                <w:rFonts w:ascii="Arial" w:hAnsi="Arial" w:cs="Arial"/>
                <w:color w:val="000000"/>
                <w:sz w:val="18"/>
                <w:szCs w:val="18"/>
              </w:rPr>
              <w:t>.</w:t>
            </w:r>
            <w:r w:rsidRPr="004E7D7A">
              <w:rPr>
                <w:rFonts w:ascii="Arial" w:hAnsi="Arial" w:cs="Arial"/>
                <w:color w:val="000000"/>
                <w:sz w:val="18"/>
                <w:szCs w:val="18"/>
              </w:rPr>
              <w:t>010</w:t>
            </w:r>
          </w:p>
        </w:tc>
        <w:tc>
          <w:tcPr>
            <w:tcW w:w="18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437"/>
              <w:jc w:val="right"/>
              <w:rPr>
                <w:rFonts w:ascii="Arial" w:hAnsi="Arial" w:cs="Arial"/>
                <w:color w:val="000000"/>
                <w:sz w:val="18"/>
                <w:szCs w:val="18"/>
              </w:rPr>
            </w:pPr>
            <w:r w:rsidRPr="004E7D7A">
              <w:rPr>
                <w:rFonts w:ascii="Arial" w:hAnsi="Arial" w:cs="Arial"/>
                <w:color w:val="000000"/>
                <w:sz w:val="18"/>
                <w:szCs w:val="18"/>
              </w:rPr>
              <w:t>12</w:t>
            </w:r>
            <w:r>
              <w:rPr>
                <w:rFonts w:ascii="Arial" w:hAnsi="Arial" w:cs="Arial"/>
                <w:color w:val="000000"/>
                <w:sz w:val="18"/>
                <w:szCs w:val="18"/>
              </w:rPr>
              <w:t>.</w:t>
            </w:r>
            <w:r w:rsidRPr="004E7D7A">
              <w:rPr>
                <w:rFonts w:ascii="Arial" w:hAnsi="Arial" w:cs="Arial"/>
                <w:color w:val="000000"/>
                <w:sz w:val="18"/>
                <w:szCs w:val="18"/>
              </w:rPr>
              <w:t>403</w:t>
            </w:r>
          </w:p>
        </w:tc>
        <w:tc>
          <w:tcPr>
            <w:tcW w:w="12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143"/>
              <w:jc w:val="right"/>
              <w:rPr>
                <w:rFonts w:ascii="Arial" w:hAnsi="Arial" w:cs="Arial"/>
                <w:color w:val="000000"/>
                <w:sz w:val="18"/>
                <w:szCs w:val="18"/>
              </w:rPr>
            </w:pPr>
            <w:r w:rsidRPr="004E7D7A">
              <w:rPr>
                <w:rFonts w:ascii="Arial" w:hAnsi="Arial" w:cs="Arial"/>
                <w:color w:val="000000"/>
                <w:sz w:val="18"/>
                <w:szCs w:val="18"/>
              </w:rPr>
              <w:t>31</w:t>
            </w:r>
            <w:r>
              <w:rPr>
                <w:rFonts w:ascii="Arial" w:hAnsi="Arial" w:cs="Arial"/>
                <w:color w:val="000000"/>
                <w:sz w:val="18"/>
                <w:szCs w:val="18"/>
              </w:rPr>
              <w:t>.</w:t>
            </w:r>
            <w:r w:rsidRPr="004E7D7A">
              <w:rPr>
                <w:rFonts w:ascii="Arial" w:hAnsi="Arial" w:cs="Arial"/>
                <w:color w:val="000000"/>
                <w:sz w:val="18"/>
                <w:szCs w:val="18"/>
              </w:rPr>
              <w:t>413</w:t>
            </w:r>
          </w:p>
        </w:tc>
      </w:tr>
      <w:tr w:rsidR="00EF4662" w:rsidRPr="004E7D7A" w:rsidTr="00E66CCF">
        <w:tc>
          <w:tcPr>
            <w:tcW w:w="841" w:type="dxa"/>
            <w:vMerge/>
            <w:tcBorders>
              <w:top w:val="nil"/>
              <w:left w:val="single" w:sz="8" w:space="0" w:color="000000"/>
              <w:bottom w:val="single" w:sz="8" w:space="0" w:color="000000"/>
              <w:right w:val="single" w:sz="4" w:space="0" w:color="auto"/>
            </w:tcBorders>
            <w:vAlign w:val="center"/>
          </w:tcPr>
          <w:p w:rsidR="00EF4662" w:rsidRPr="004E7D7A" w:rsidRDefault="00EF4662" w:rsidP="003F47F7">
            <w:pPr>
              <w:rPr>
                <w:rFonts w:ascii="Arial" w:hAnsi="Arial" w:cs="Arial"/>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FFFFFF"/>
          </w:tcPr>
          <w:p w:rsidR="00EF4662" w:rsidRPr="004E7D7A" w:rsidRDefault="00EF4662" w:rsidP="003F47F7">
            <w:pPr>
              <w:rPr>
                <w:rFonts w:ascii="Arial" w:hAnsi="Arial" w:cs="Arial"/>
                <w:color w:val="000000"/>
                <w:sz w:val="18"/>
                <w:szCs w:val="18"/>
              </w:rPr>
            </w:pPr>
            <w:r w:rsidRPr="004E7D7A">
              <w:rPr>
                <w:rFonts w:ascii="Arial" w:hAnsi="Arial" w:cs="Arial"/>
                <w:color w:val="000000"/>
                <w:sz w:val="18"/>
                <w:szCs w:val="18"/>
              </w:rPr>
              <w:t>Sint-Agatha-Berchem</w:t>
            </w:r>
          </w:p>
        </w:tc>
        <w:tc>
          <w:tcPr>
            <w:tcW w:w="18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522"/>
              <w:jc w:val="right"/>
              <w:rPr>
                <w:rFonts w:ascii="Arial" w:hAnsi="Arial" w:cs="Arial"/>
                <w:color w:val="000000"/>
                <w:sz w:val="18"/>
                <w:szCs w:val="18"/>
              </w:rPr>
            </w:pPr>
            <w:r w:rsidRPr="004E7D7A">
              <w:rPr>
                <w:rFonts w:ascii="Arial" w:hAnsi="Arial" w:cs="Arial"/>
                <w:color w:val="000000"/>
                <w:sz w:val="18"/>
                <w:szCs w:val="18"/>
              </w:rPr>
              <w:t>11</w:t>
            </w:r>
            <w:r>
              <w:rPr>
                <w:rFonts w:ascii="Arial" w:hAnsi="Arial" w:cs="Arial"/>
                <w:color w:val="000000"/>
                <w:sz w:val="18"/>
                <w:szCs w:val="18"/>
              </w:rPr>
              <w:t>.</w:t>
            </w:r>
            <w:r w:rsidRPr="004E7D7A">
              <w:rPr>
                <w:rFonts w:ascii="Arial" w:hAnsi="Arial" w:cs="Arial"/>
                <w:color w:val="000000"/>
                <w:sz w:val="18"/>
                <w:szCs w:val="18"/>
              </w:rPr>
              <w:t>740</w:t>
            </w:r>
          </w:p>
        </w:tc>
        <w:tc>
          <w:tcPr>
            <w:tcW w:w="18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437"/>
              <w:jc w:val="right"/>
              <w:rPr>
                <w:rFonts w:ascii="Arial" w:hAnsi="Arial" w:cs="Arial"/>
                <w:color w:val="000000"/>
                <w:sz w:val="18"/>
                <w:szCs w:val="18"/>
              </w:rPr>
            </w:pPr>
            <w:r w:rsidRPr="004E7D7A">
              <w:rPr>
                <w:rFonts w:ascii="Arial" w:hAnsi="Arial" w:cs="Arial"/>
                <w:color w:val="000000"/>
                <w:sz w:val="18"/>
                <w:szCs w:val="18"/>
              </w:rPr>
              <w:t>11</w:t>
            </w:r>
            <w:r>
              <w:rPr>
                <w:rFonts w:ascii="Arial" w:hAnsi="Arial" w:cs="Arial"/>
                <w:color w:val="000000"/>
                <w:sz w:val="18"/>
                <w:szCs w:val="18"/>
              </w:rPr>
              <w:t>.</w:t>
            </w:r>
            <w:r w:rsidRPr="004E7D7A">
              <w:rPr>
                <w:rFonts w:ascii="Arial" w:hAnsi="Arial" w:cs="Arial"/>
                <w:color w:val="000000"/>
                <w:sz w:val="18"/>
                <w:szCs w:val="18"/>
              </w:rPr>
              <w:t>022</w:t>
            </w:r>
          </w:p>
        </w:tc>
        <w:tc>
          <w:tcPr>
            <w:tcW w:w="12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143"/>
              <w:jc w:val="right"/>
              <w:rPr>
                <w:rFonts w:ascii="Arial" w:hAnsi="Arial" w:cs="Arial"/>
                <w:color w:val="000000"/>
                <w:sz w:val="18"/>
                <w:szCs w:val="18"/>
              </w:rPr>
            </w:pPr>
            <w:r w:rsidRPr="004E7D7A">
              <w:rPr>
                <w:rFonts w:ascii="Arial" w:hAnsi="Arial" w:cs="Arial"/>
                <w:color w:val="000000"/>
                <w:sz w:val="18"/>
                <w:szCs w:val="18"/>
              </w:rPr>
              <w:t>22</w:t>
            </w:r>
            <w:r>
              <w:rPr>
                <w:rFonts w:ascii="Arial" w:hAnsi="Arial" w:cs="Arial"/>
                <w:color w:val="000000"/>
                <w:sz w:val="18"/>
                <w:szCs w:val="18"/>
              </w:rPr>
              <w:t>.</w:t>
            </w:r>
            <w:r w:rsidRPr="004E7D7A">
              <w:rPr>
                <w:rFonts w:ascii="Arial" w:hAnsi="Arial" w:cs="Arial"/>
                <w:color w:val="000000"/>
                <w:sz w:val="18"/>
                <w:szCs w:val="18"/>
              </w:rPr>
              <w:t>762</w:t>
            </w:r>
          </w:p>
        </w:tc>
      </w:tr>
      <w:tr w:rsidR="00EF4662" w:rsidRPr="004E7D7A" w:rsidTr="00E66CCF">
        <w:tc>
          <w:tcPr>
            <w:tcW w:w="841" w:type="dxa"/>
            <w:vMerge/>
            <w:tcBorders>
              <w:top w:val="nil"/>
              <w:left w:val="single" w:sz="8" w:space="0" w:color="000000"/>
              <w:bottom w:val="single" w:sz="8" w:space="0" w:color="000000"/>
              <w:right w:val="single" w:sz="4" w:space="0" w:color="auto"/>
            </w:tcBorders>
            <w:vAlign w:val="center"/>
          </w:tcPr>
          <w:p w:rsidR="00EF4662" w:rsidRPr="004E7D7A" w:rsidRDefault="00EF4662" w:rsidP="003F47F7">
            <w:pPr>
              <w:rPr>
                <w:rFonts w:ascii="Arial" w:hAnsi="Arial" w:cs="Arial"/>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FFFFFF"/>
          </w:tcPr>
          <w:p w:rsidR="00EF4662" w:rsidRPr="004E7D7A" w:rsidRDefault="00EF4662" w:rsidP="003F47F7">
            <w:pPr>
              <w:rPr>
                <w:rFonts w:ascii="Arial" w:hAnsi="Arial" w:cs="Arial"/>
                <w:color w:val="000000"/>
                <w:sz w:val="18"/>
                <w:szCs w:val="18"/>
              </w:rPr>
            </w:pPr>
            <w:r w:rsidRPr="004E7D7A">
              <w:rPr>
                <w:rFonts w:ascii="Arial" w:hAnsi="Arial" w:cs="Arial"/>
                <w:color w:val="000000"/>
                <w:sz w:val="18"/>
                <w:szCs w:val="18"/>
              </w:rPr>
              <w:t>Brussel</w:t>
            </w:r>
          </w:p>
        </w:tc>
        <w:tc>
          <w:tcPr>
            <w:tcW w:w="18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522"/>
              <w:jc w:val="right"/>
              <w:rPr>
                <w:rFonts w:ascii="Arial" w:hAnsi="Arial" w:cs="Arial"/>
                <w:color w:val="000000"/>
                <w:sz w:val="18"/>
                <w:szCs w:val="18"/>
              </w:rPr>
            </w:pPr>
            <w:r w:rsidRPr="004E7D7A">
              <w:rPr>
                <w:rFonts w:ascii="Arial" w:hAnsi="Arial" w:cs="Arial"/>
                <w:color w:val="000000"/>
                <w:sz w:val="18"/>
                <w:szCs w:val="18"/>
              </w:rPr>
              <w:t>49</w:t>
            </w:r>
            <w:r>
              <w:rPr>
                <w:rFonts w:ascii="Arial" w:hAnsi="Arial" w:cs="Arial"/>
                <w:color w:val="000000"/>
                <w:sz w:val="18"/>
                <w:szCs w:val="18"/>
              </w:rPr>
              <w:t>.</w:t>
            </w:r>
            <w:r w:rsidRPr="004E7D7A">
              <w:rPr>
                <w:rFonts w:ascii="Arial" w:hAnsi="Arial" w:cs="Arial"/>
                <w:color w:val="000000"/>
                <w:sz w:val="18"/>
                <w:szCs w:val="18"/>
              </w:rPr>
              <w:t>734</w:t>
            </w:r>
          </w:p>
        </w:tc>
        <w:tc>
          <w:tcPr>
            <w:tcW w:w="18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437"/>
              <w:jc w:val="right"/>
              <w:rPr>
                <w:rFonts w:ascii="Arial" w:hAnsi="Arial" w:cs="Arial"/>
                <w:color w:val="000000"/>
                <w:sz w:val="18"/>
                <w:szCs w:val="18"/>
              </w:rPr>
            </w:pPr>
            <w:r w:rsidRPr="004E7D7A">
              <w:rPr>
                <w:rFonts w:ascii="Arial" w:hAnsi="Arial" w:cs="Arial"/>
                <w:color w:val="000000"/>
                <w:sz w:val="18"/>
                <w:szCs w:val="18"/>
              </w:rPr>
              <w:t>113</w:t>
            </w:r>
            <w:r>
              <w:rPr>
                <w:rFonts w:ascii="Arial" w:hAnsi="Arial" w:cs="Arial"/>
                <w:color w:val="000000"/>
                <w:sz w:val="18"/>
                <w:szCs w:val="18"/>
              </w:rPr>
              <w:t>.</w:t>
            </w:r>
            <w:r w:rsidRPr="004E7D7A">
              <w:rPr>
                <w:rFonts w:ascii="Arial" w:hAnsi="Arial" w:cs="Arial"/>
                <w:color w:val="000000"/>
                <w:sz w:val="18"/>
                <w:szCs w:val="18"/>
              </w:rPr>
              <w:t>315</w:t>
            </w:r>
          </w:p>
        </w:tc>
        <w:tc>
          <w:tcPr>
            <w:tcW w:w="12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143"/>
              <w:jc w:val="right"/>
              <w:rPr>
                <w:rFonts w:ascii="Arial" w:hAnsi="Arial" w:cs="Arial"/>
                <w:color w:val="000000"/>
                <w:sz w:val="18"/>
                <w:szCs w:val="18"/>
              </w:rPr>
            </w:pPr>
            <w:r w:rsidRPr="004E7D7A">
              <w:rPr>
                <w:rFonts w:ascii="Arial" w:hAnsi="Arial" w:cs="Arial"/>
                <w:color w:val="000000"/>
                <w:sz w:val="18"/>
                <w:szCs w:val="18"/>
              </w:rPr>
              <w:t>163</w:t>
            </w:r>
            <w:r>
              <w:rPr>
                <w:rFonts w:ascii="Arial" w:hAnsi="Arial" w:cs="Arial"/>
                <w:color w:val="000000"/>
                <w:sz w:val="18"/>
                <w:szCs w:val="18"/>
              </w:rPr>
              <w:t>.</w:t>
            </w:r>
            <w:r w:rsidRPr="004E7D7A">
              <w:rPr>
                <w:rFonts w:ascii="Arial" w:hAnsi="Arial" w:cs="Arial"/>
                <w:color w:val="000000"/>
                <w:sz w:val="18"/>
                <w:szCs w:val="18"/>
              </w:rPr>
              <w:t>049</w:t>
            </w:r>
          </w:p>
        </w:tc>
      </w:tr>
      <w:tr w:rsidR="00EF4662" w:rsidRPr="004E7D7A" w:rsidTr="00E66CCF">
        <w:tc>
          <w:tcPr>
            <w:tcW w:w="841" w:type="dxa"/>
            <w:vMerge/>
            <w:tcBorders>
              <w:top w:val="nil"/>
              <w:left w:val="single" w:sz="8" w:space="0" w:color="000000"/>
              <w:bottom w:val="single" w:sz="8" w:space="0" w:color="000000"/>
              <w:right w:val="single" w:sz="4" w:space="0" w:color="auto"/>
            </w:tcBorders>
            <w:vAlign w:val="center"/>
          </w:tcPr>
          <w:p w:rsidR="00EF4662" w:rsidRPr="004E7D7A" w:rsidRDefault="00EF4662" w:rsidP="003F47F7">
            <w:pPr>
              <w:rPr>
                <w:rFonts w:ascii="Arial" w:hAnsi="Arial" w:cs="Arial"/>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FFFFFF"/>
          </w:tcPr>
          <w:p w:rsidR="00EF4662" w:rsidRPr="004E7D7A" w:rsidRDefault="00EF4662" w:rsidP="003F47F7">
            <w:pPr>
              <w:rPr>
                <w:rFonts w:ascii="Arial" w:hAnsi="Arial" w:cs="Arial"/>
                <w:color w:val="000000"/>
                <w:sz w:val="18"/>
                <w:szCs w:val="18"/>
              </w:rPr>
            </w:pPr>
            <w:r w:rsidRPr="004E7D7A">
              <w:rPr>
                <w:rFonts w:ascii="Arial" w:hAnsi="Arial" w:cs="Arial"/>
                <w:color w:val="000000"/>
                <w:sz w:val="18"/>
                <w:szCs w:val="18"/>
              </w:rPr>
              <w:t>Etterbeek</w:t>
            </w:r>
          </w:p>
        </w:tc>
        <w:tc>
          <w:tcPr>
            <w:tcW w:w="18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522"/>
              <w:jc w:val="right"/>
              <w:rPr>
                <w:rFonts w:ascii="Arial" w:hAnsi="Arial" w:cs="Arial"/>
                <w:color w:val="000000"/>
                <w:sz w:val="18"/>
                <w:szCs w:val="18"/>
              </w:rPr>
            </w:pPr>
            <w:r w:rsidRPr="004E7D7A">
              <w:rPr>
                <w:rFonts w:ascii="Arial" w:hAnsi="Arial" w:cs="Arial"/>
                <w:color w:val="000000"/>
                <w:sz w:val="18"/>
                <w:szCs w:val="18"/>
              </w:rPr>
              <w:t>16</w:t>
            </w:r>
            <w:r>
              <w:rPr>
                <w:rFonts w:ascii="Arial" w:hAnsi="Arial" w:cs="Arial"/>
                <w:color w:val="000000"/>
                <w:sz w:val="18"/>
                <w:szCs w:val="18"/>
              </w:rPr>
              <w:t>.</w:t>
            </w:r>
            <w:r w:rsidRPr="004E7D7A">
              <w:rPr>
                <w:rFonts w:ascii="Arial" w:hAnsi="Arial" w:cs="Arial"/>
                <w:color w:val="000000"/>
                <w:sz w:val="18"/>
                <w:szCs w:val="18"/>
              </w:rPr>
              <w:t>592</w:t>
            </w:r>
          </w:p>
        </w:tc>
        <w:tc>
          <w:tcPr>
            <w:tcW w:w="18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437"/>
              <w:jc w:val="right"/>
              <w:rPr>
                <w:rFonts w:ascii="Arial" w:hAnsi="Arial" w:cs="Arial"/>
                <w:color w:val="000000"/>
                <w:sz w:val="18"/>
                <w:szCs w:val="18"/>
              </w:rPr>
            </w:pPr>
            <w:r w:rsidRPr="004E7D7A">
              <w:rPr>
                <w:rFonts w:ascii="Arial" w:hAnsi="Arial" w:cs="Arial"/>
                <w:color w:val="000000"/>
                <w:sz w:val="18"/>
                <w:szCs w:val="18"/>
              </w:rPr>
              <w:t>28</w:t>
            </w:r>
            <w:r>
              <w:rPr>
                <w:rFonts w:ascii="Arial" w:hAnsi="Arial" w:cs="Arial"/>
                <w:color w:val="000000"/>
                <w:sz w:val="18"/>
                <w:szCs w:val="18"/>
              </w:rPr>
              <w:t>.</w:t>
            </w:r>
            <w:r w:rsidRPr="004E7D7A">
              <w:rPr>
                <w:rFonts w:ascii="Arial" w:hAnsi="Arial" w:cs="Arial"/>
                <w:color w:val="000000"/>
                <w:sz w:val="18"/>
                <w:szCs w:val="18"/>
              </w:rPr>
              <w:t>661</w:t>
            </w:r>
          </w:p>
        </w:tc>
        <w:tc>
          <w:tcPr>
            <w:tcW w:w="12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143"/>
              <w:jc w:val="right"/>
              <w:rPr>
                <w:rFonts w:ascii="Arial" w:hAnsi="Arial" w:cs="Arial"/>
                <w:color w:val="000000"/>
                <w:sz w:val="18"/>
                <w:szCs w:val="18"/>
              </w:rPr>
            </w:pPr>
            <w:r w:rsidRPr="004E7D7A">
              <w:rPr>
                <w:rFonts w:ascii="Arial" w:hAnsi="Arial" w:cs="Arial"/>
                <w:color w:val="000000"/>
                <w:sz w:val="18"/>
                <w:szCs w:val="18"/>
              </w:rPr>
              <w:t>45</w:t>
            </w:r>
            <w:r>
              <w:rPr>
                <w:rFonts w:ascii="Arial" w:hAnsi="Arial" w:cs="Arial"/>
                <w:color w:val="000000"/>
                <w:sz w:val="18"/>
                <w:szCs w:val="18"/>
              </w:rPr>
              <w:t>.</w:t>
            </w:r>
            <w:r w:rsidRPr="004E7D7A">
              <w:rPr>
                <w:rFonts w:ascii="Arial" w:hAnsi="Arial" w:cs="Arial"/>
                <w:color w:val="000000"/>
                <w:sz w:val="18"/>
                <w:szCs w:val="18"/>
              </w:rPr>
              <w:t>253</w:t>
            </w:r>
          </w:p>
        </w:tc>
      </w:tr>
      <w:tr w:rsidR="00EF4662" w:rsidRPr="004E7D7A" w:rsidTr="00E66CCF">
        <w:tc>
          <w:tcPr>
            <w:tcW w:w="841" w:type="dxa"/>
            <w:vMerge/>
            <w:tcBorders>
              <w:top w:val="nil"/>
              <w:left w:val="single" w:sz="8" w:space="0" w:color="000000"/>
              <w:bottom w:val="single" w:sz="8" w:space="0" w:color="000000"/>
              <w:right w:val="single" w:sz="4" w:space="0" w:color="auto"/>
            </w:tcBorders>
            <w:vAlign w:val="center"/>
          </w:tcPr>
          <w:p w:rsidR="00EF4662" w:rsidRPr="004E7D7A" w:rsidRDefault="00EF4662" w:rsidP="003F47F7">
            <w:pPr>
              <w:rPr>
                <w:rFonts w:ascii="Arial" w:hAnsi="Arial" w:cs="Arial"/>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FFFFFF"/>
          </w:tcPr>
          <w:p w:rsidR="00EF4662" w:rsidRPr="004E7D7A" w:rsidRDefault="00EF4662" w:rsidP="003F47F7">
            <w:pPr>
              <w:rPr>
                <w:rFonts w:ascii="Arial" w:hAnsi="Arial" w:cs="Arial"/>
                <w:color w:val="000000"/>
                <w:sz w:val="18"/>
                <w:szCs w:val="18"/>
              </w:rPr>
            </w:pPr>
            <w:r w:rsidRPr="004E7D7A">
              <w:rPr>
                <w:rFonts w:ascii="Arial" w:hAnsi="Arial" w:cs="Arial"/>
                <w:color w:val="000000"/>
                <w:sz w:val="18"/>
                <w:szCs w:val="18"/>
              </w:rPr>
              <w:t>Evere</w:t>
            </w:r>
          </w:p>
        </w:tc>
        <w:tc>
          <w:tcPr>
            <w:tcW w:w="18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522"/>
              <w:jc w:val="right"/>
              <w:rPr>
                <w:rFonts w:ascii="Arial" w:hAnsi="Arial" w:cs="Arial"/>
                <w:color w:val="000000"/>
                <w:sz w:val="18"/>
                <w:szCs w:val="18"/>
              </w:rPr>
            </w:pPr>
            <w:r w:rsidRPr="004E7D7A">
              <w:rPr>
                <w:rFonts w:ascii="Arial" w:hAnsi="Arial" w:cs="Arial"/>
                <w:color w:val="000000"/>
                <w:sz w:val="18"/>
                <w:szCs w:val="18"/>
              </w:rPr>
              <w:t>17</w:t>
            </w:r>
            <w:r>
              <w:rPr>
                <w:rFonts w:ascii="Arial" w:hAnsi="Arial" w:cs="Arial"/>
                <w:color w:val="000000"/>
                <w:sz w:val="18"/>
                <w:szCs w:val="18"/>
              </w:rPr>
              <w:t>.</w:t>
            </w:r>
            <w:r w:rsidRPr="004E7D7A">
              <w:rPr>
                <w:rFonts w:ascii="Arial" w:hAnsi="Arial" w:cs="Arial"/>
                <w:color w:val="000000"/>
                <w:sz w:val="18"/>
                <w:szCs w:val="18"/>
              </w:rPr>
              <w:t>156</w:t>
            </w:r>
          </w:p>
        </w:tc>
        <w:tc>
          <w:tcPr>
            <w:tcW w:w="18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437"/>
              <w:jc w:val="right"/>
              <w:rPr>
                <w:rFonts w:ascii="Arial" w:hAnsi="Arial" w:cs="Arial"/>
                <w:color w:val="000000"/>
                <w:sz w:val="18"/>
                <w:szCs w:val="18"/>
              </w:rPr>
            </w:pPr>
            <w:r w:rsidRPr="004E7D7A">
              <w:rPr>
                <w:rFonts w:ascii="Arial" w:hAnsi="Arial" w:cs="Arial"/>
                <w:color w:val="000000"/>
                <w:sz w:val="18"/>
                <w:szCs w:val="18"/>
              </w:rPr>
              <w:t>19</w:t>
            </w:r>
            <w:r>
              <w:rPr>
                <w:rFonts w:ascii="Arial" w:hAnsi="Arial" w:cs="Arial"/>
                <w:color w:val="000000"/>
                <w:sz w:val="18"/>
                <w:szCs w:val="18"/>
              </w:rPr>
              <w:t>.</w:t>
            </w:r>
            <w:r w:rsidRPr="004E7D7A">
              <w:rPr>
                <w:rFonts w:ascii="Arial" w:hAnsi="Arial" w:cs="Arial"/>
                <w:color w:val="000000"/>
                <w:sz w:val="18"/>
                <w:szCs w:val="18"/>
              </w:rPr>
              <w:t>319</w:t>
            </w:r>
          </w:p>
        </w:tc>
        <w:tc>
          <w:tcPr>
            <w:tcW w:w="12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143"/>
              <w:jc w:val="right"/>
              <w:rPr>
                <w:rFonts w:ascii="Arial" w:hAnsi="Arial" w:cs="Arial"/>
                <w:color w:val="000000"/>
                <w:sz w:val="18"/>
                <w:szCs w:val="18"/>
              </w:rPr>
            </w:pPr>
            <w:r w:rsidRPr="004E7D7A">
              <w:rPr>
                <w:rFonts w:ascii="Arial" w:hAnsi="Arial" w:cs="Arial"/>
                <w:color w:val="000000"/>
                <w:sz w:val="18"/>
                <w:szCs w:val="18"/>
              </w:rPr>
              <w:t>36</w:t>
            </w:r>
            <w:r>
              <w:rPr>
                <w:rFonts w:ascii="Arial" w:hAnsi="Arial" w:cs="Arial"/>
                <w:color w:val="000000"/>
                <w:sz w:val="18"/>
                <w:szCs w:val="18"/>
              </w:rPr>
              <w:t>.</w:t>
            </w:r>
            <w:r w:rsidRPr="004E7D7A">
              <w:rPr>
                <w:rFonts w:ascii="Arial" w:hAnsi="Arial" w:cs="Arial"/>
                <w:color w:val="000000"/>
                <w:sz w:val="18"/>
                <w:szCs w:val="18"/>
              </w:rPr>
              <w:t>475</w:t>
            </w:r>
          </w:p>
        </w:tc>
      </w:tr>
      <w:tr w:rsidR="00EF4662" w:rsidRPr="004E7D7A" w:rsidTr="00E66CCF">
        <w:tc>
          <w:tcPr>
            <w:tcW w:w="841" w:type="dxa"/>
            <w:vMerge/>
            <w:tcBorders>
              <w:top w:val="nil"/>
              <w:left w:val="single" w:sz="8" w:space="0" w:color="000000"/>
              <w:bottom w:val="single" w:sz="8" w:space="0" w:color="000000"/>
              <w:right w:val="single" w:sz="4" w:space="0" w:color="auto"/>
            </w:tcBorders>
            <w:vAlign w:val="center"/>
          </w:tcPr>
          <w:p w:rsidR="00EF4662" w:rsidRPr="004E7D7A" w:rsidRDefault="00EF4662" w:rsidP="003F47F7">
            <w:pPr>
              <w:rPr>
                <w:rFonts w:ascii="Arial" w:hAnsi="Arial" w:cs="Arial"/>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FFFFFF"/>
          </w:tcPr>
          <w:p w:rsidR="00EF4662" w:rsidRPr="004E7D7A" w:rsidRDefault="00EF4662" w:rsidP="003F47F7">
            <w:pPr>
              <w:rPr>
                <w:rFonts w:ascii="Arial" w:hAnsi="Arial" w:cs="Arial"/>
                <w:color w:val="000000"/>
                <w:sz w:val="18"/>
                <w:szCs w:val="18"/>
              </w:rPr>
            </w:pPr>
            <w:r w:rsidRPr="004E7D7A">
              <w:rPr>
                <w:rFonts w:ascii="Arial" w:hAnsi="Arial" w:cs="Arial"/>
                <w:color w:val="000000"/>
                <w:sz w:val="18"/>
                <w:szCs w:val="18"/>
              </w:rPr>
              <w:t>Vorst</w:t>
            </w:r>
          </w:p>
        </w:tc>
        <w:tc>
          <w:tcPr>
            <w:tcW w:w="18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522"/>
              <w:jc w:val="right"/>
              <w:rPr>
                <w:rFonts w:ascii="Arial" w:hAnsi="Arial" w:cs="Arial"/>
                <w:color w:val="000000"/>
                <w:sz w:val="18"/>
                <w:szCs w:val="18"/>
              </w:rPr>
            </w:pPr>
            <w:r w:rsidRPr="004E7D7A">
              <w:rPr>
                <w:rFonts w:ascii="Arial" w:hAnsi="Arial" w:cs="Arial"/>
                <w:color w:val="000000"/>
                <w:sz w:val="18"/>
                <w:szCs w:val="18"/>
              </w:rPr>
              <w:t>19</w:t>
            </w:r>
            <w:r>
              <w:rPr>
                <w:rFonts w:ascii="Arial" w:hAnsi="Arial" w:cs="Arial"/>
                <w:color w:val="000000"/>
                <w:sz w:val="18"/>
                <w:szCs w:val="18"/>
              </w:rPr>
              <w:t>.</w:t>
            </w:r>
            <w:r w:rsidRPr="004E7D7A">
              <w:rPr>
                <w:rFonts w:ascii="Arial" w:hAnsi="Arial" w:cs="Arial"/>
                <w:color w:val="000000"/>
                <w:sz w:val="18"/>
                <w:szCs w:val="18"/>
              </w:rPr>
              <w:t>921</w:t>
            </w:r>
          </w:p>
        </w:tc>
        <w:tc>
          <w:tcPr>
            <w:tcW w:w="18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437"/>
              <w:jc w:val="right"/>
              <w:rPr>
                <w:rFonts w:ascii="Arial" w:hAnsi="Arial" w:cs="Arial"/>
                <w:color w:val="000000"/>
                <w:sz w:val="18"/>
                <w:szCs w:val="18"/>
              </w:rPr>
            </w:pPr>
            <w:r w:rsidRPr="004E7D7A">
              <w:rPr>
                <w:rFonts w:ascii="Arial" w:hAnsi="Arial" w:cs="Arial"/>
                <w:color w:val="000000"/>
                <w:sz w:val="18"/>
                <w:szCs w:val="18"/>
              </w:rPr>
              <w:t>31</w:t>
            </w:r>
            <w:r>
              <w:rPr>
                <w:rFonts w:ascii="Arial" w:hAnsi="Arial" w:cs="Arial"/>
                <w:color w:val="000000"/>
                <w:sz w:val="18"/>
                <w:szCs w:val="18"/>
              </w:rPr>
              <w:t>.</w:t>
            </w:r>
            <w:r w:rsidRPr="004E7D7A">
              <w:rPr>
                <w:rFonts w:ascii="Arial" w:hAnsi="Arial" w:cs="Arial"/>
                <w:color w:val="000000"/>
                <w:sz w:val="18"/>
                <w:szCs w:val="18"/>
              </w:rPr>
              <w:t>848</w:t>
            </w:r>
          </w:p>
        </w:tc>
        <w:tc>
          <w:tcPr>
            <w:tcW w:w="12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143"/>
              <w:jc w:val="right"/>
              <w:rPr>
                <w:rFonts w:ascii="Arial" w:hAnsi="Arial" w:cs="Arial"/>
                <w:color w:val="000000"/>
                <w:sz w:val="18"/>
                <w:szCs w:val="18"/>
              </w:rPr>
            </w:pPr>
            <w:r w:rsidRPr="004E7D7A">
              <w:rPr>
                <w:rFonts w:ascii="Arial" w:hAnsi="Arial" w:cs="Arial"/>
                <w:color w:val="000000"/>
                <w:sz w:val="18"/>
                <w:szCs w:val="18"/>
              </w:rPr>
              <w:t>51</w:t>
            </w:r>
            <w:r>
              <w:rPr>
                <w:rFonts w:ascii="Arial" w:hAnsi="Arial" w:cs="Arial"/>
                <w:color w:val="000000"/>
                <w:sz w:val="18"/>
                <w:szCs w:val="18"/>
              </w:rPr>
              <w:t>.</w:t>
            </w:r>
            <w:r w:rsidRPr="004E7D7A">
              <w:rPr>
                <w:rFonts w:ascii="Arial" w:hAnsi="Arial" w:cs="Arial"/>
                <w:color w:val="000000"/>
                <w:sz w:val="18"/>
                <w:szCs w:val="18"/>
              </w:rPr>
              <w:t>769</w:t>
            </w:r>
          </w:p>
        </w:tc>
      </w:tr>
      <w:tr w:rsidR="00EF4662" w:rsidRPr="004E7D7A" w:rsidTr="00E66CCF">
        <w:tc>
          <w:tcPr>
            <w:tcW w:w="841" w:type="dxa"/>
            <w:vMerge/>
            <w:tcBorders>
              <w:top w:val="nil"/>
              <w:left w:val="single" w:sz="8" w:space="0" w:color="000000"/>
              <w:bottom w:val="single" w:sz="8" w:space="0" w:color="000000"/>
              <w:right w:val="single" w:sz="4" w:space="0" w:color="auto"/>
            </w:tcBorders>
            <w:vAlign w:val="center"/>
          </w:tcPr>
          <w:p w:rsidR="00EF4662" w:rsidRPr="004E7D7A" w:rsidRDefault="00EF4662" w:rsidP="003F47F7">
            <w:pPr>
              <w:rPr>
                <w:rFonts w:ascii="Arial" w:hAnsi="Arial" w:cs="Arial"/>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FFFFFF"/>
          </w:tcPr>
          <w:p w:rsidR="00EF4662" w:rsidRPr="004E7D7A" w:rsidRDefault="00EF4662" w:rsidP="003F47F7">
            <w:pPr>
              <w:rPr>
                <w:rFonts w:ascii="Arial" w:hAnsi="Arial" w:cs="Arial"/>
                <w:color w:val="000000"/>
                <w:sz w:val="18"/>
                <w:szCs w:val="18"/>
              </w:rPr>
            </w:pPr>
            <w:r w:rsidRPr="004E7D7A">
              <w:rPr>
                <w:rFonts w:ascii="Arial" w:hAnsi="Arial" w:cs="Arial"/>
                <w:color w:val="000000"/>
                <w:sz w:val="18"/>
                <w:szCs w:val="18"/>
              </w:rPr>
              <w:t>Ganshoren</w:t>
            </w:r>
          </w:p>
        </w:tc>
        <w:tc>
          <w:tcPr>
            <w:tcW w:w="18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522"/>
              <w:jc w:val="right"/>
              <w:rPr>
                <w:rFonts w:ascii="Arial" w:hAnsi="Arial" w:cs="Arial"/>
                <w:color w:val="000000"/>
                <w:sz w:val="18"/>
                <w:szCs w:val="18"/>
              </w:rPr>
            </w:pPr>
            <w:r w:rsidRPr="004E7D7A">
              <w:rPr>
                <w:rFonts w:ascii="Arial" w:hAnsi="Arial" w:cs="Arial"/>
                <w:color w:val="000000"/>
                <w:sz w:val="18"/>
                <w:szCs w:val="18"/>
              </w:rPr>
              <w:t>12</w:t>
            </w:r>
            <w:r>
              <w:rPr>
                <w:rFonts w:ascii="Arial" w:hAnsi="Arial" w:cs="Arial"/>
                <w:color w:val="000000"/>
                <w:sz w:val="18"/>
                <w:szCs w:val="18"/>
              </w:rPr>
              <w:t>.</w:t>
            </w:r>
            <w:r w:rsidRPr="004E7D7A">
              <w:rPr>
                <w:rFonts w:ascii="Arial" w:hAnsi="Arial" w:cs="Arial"/>
                <w:color w:val="000000"/>
                <w:sz w:val="18"/>
                <w:szCs w:val="18"/>
              </w:rPr>
              <w:t>159</w:t>
            </w:r>
          </w:p>
        </w:tc>
        <w:tc>
          <w:tcPr>
            <w:tcW w:w="18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437"/>
              <w:jc w:val="right"/>
              <w:rPr>
                <w:rFonts w:ascii="Arial" w:hAnsi="Arial" w:cs="Arial"/>
                <w:color w:val="000000"/>
                <w:sz w:val="18"/>
                <w:szCs w:val="18"/>
              </w:rPr>
            </w:pPr>
            <w:r w:rsidRPr="004E7D7A">
              <w:rPr>
                <w:rFonts w:ascii="Arial" w:hAnsi="Arial" w:cs="Arial"/>
                <w:color w:val="000000"/>
                <w:sz w:val="18"/>
                <w:szCs w:val="18"/>
              </w:rPr>
              <w:t>10</w:t>
            </w:r>
            <w:r>
              <w:rPr>
                <w:rFonts w:ascii="Arial" w:hAnsi="Arial" w:cs="Arial"/>
                <w:color w:val="000000"/>
                <w:sz w:val="18"/>
                <w:szCs w:val="18"/>
              </w:rPr>
              <w:t>.</w:t>
            </w:r>
            <w:r w:rsidRPr="004E7D7A">
              <w:rPr>
                <w:rFonts w:ascii="Arial" w:hAnsi="Arial" w:cs="Arial"/>
                <w:color w:val="000000"/>
                <w:sz w:val="18"/>
                <w:szCs w:val="18"/>
              </w:rPr>
              <w:t>884</w:t>
            </w:r>
          </w:p>
        </w:tc>
        <w:tc>
          <w:tcPr>
            <w:tcW w:w="12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143"/>
              <w:jc w:val="right"/>
              <w:rPr>
                <w:rFonts w:ascii="Arial" w:hAnsi="Arial" w:cs="Arial"/>
                <w:color w:val="000000"/>
                <w:sz w:val="18"/>
                <w:szCs w:val="18"/>
              </w:rPr>
            </w:pPr>
            <w:r w:rsidRPr="004E7D7A">
              <w:rPr>
                <w:rFonts w:ascii="Arial" w:hAnsi="Arial" w:cs="Arial"/>
                <w:color w:val="000000"/>
                <w:sz w:val="18"/>
                <w:szCs w:val="18"/>
              </w:rPr>
              <w:t>23</w:t>
            </w:r>
            <w:r>
              <w:rPr>
                <w:rFonts w:ascii="Arial" w:hAnsi="Arial" w:cs="Arial"/>
                <w:color w:val="000000"/>
                <w:sz w:val="18"/>
                <w:szCs w:val="18"/>
              </w:rPr>
              <w:t>.</w:t>
            </w:r>
            <w:r w:rsidRPr="004E7D7A">
              <w:rPr>
                <w:rFonts w:ascii="Arial" w:hAnsi="Arial" w:cs="Arial"/>
                <w:color w:val="000000"/>
                <w:sz w:val="18"/>
                <w:szCs w:val="18"/>
              </w:rPr>
              <w:t>043</w:t>
            </w:r>
          </w:p>
        </w:tc>
      </w:tr>
      <w:tr w:rsidR="00EF4662" w:rsidRPr="004E7D7A" w:rsidTr="00E66CCF">
        <w:tc>
          <w:tcPr>
            <w:tcW w:w="841" w:type="dxa"/>
            <w:vMerge/>
            <w:tcBorders>
              <w:top w:val="nil"/>
              <w:left w:val="single" w:sz="8" w:space="0" w:color="000000"/>
              <w:bottom w:val="single" w:sz="8" w:space="0" w:color="000000"/>
              <w:right w:val="single" w:sz="4" w:space="0" w:color="auto"/>
            </w:tcBorders>
            <w:vAlign w:val="center"/>
          </w:tcPr>
          <w:p w:rsidR="00EF4662" w:rsidRPr="004E7D7A" w:rsidRDefault="00EF4662" w:rsidP="003F47F7">
            <w:pPr>
              <w:rPr>
                <w:rFonts w:ascii="Arial" w:hAnsi="Arial" w:cs="Arial"/>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FFFFFF"/>
          </w:tcPr>
          <w:p w:rsidR="00EF4662" w:rsidRPr="004E7D7A" w:rsidRDefault="00EF4662" w:rsidP="003F47F7">
            <w:pPr>
              <w:rPr>
                <w:rFonts w:ascii="Arial" w:hAnsi="Arial" w:cs="Arial"/>
                <w:color w:val="000000"/>
                <w:sz w:val="18"/>
                <w:szCs w:val="18"/>
              </w:rPr>
            </w:pPr>
            <w:r w:rsidRPr="004E7D7A">
              <w:rPr>
                <w:rFonts w:ascii="Arial" w:hAnsi="Arial" w:cs="Arial"/>
                <w:color w:val="000000"/>
                <w:sz w:val="18"/>
                <w:szCs w:val="18"/>
              </w:rPr>
              <w:t>Elsene</w:t>
            </w:r>
          </w:p>
        </w:tc>
        <w:tc>
          <w:tcPr>
            <w:tcW w:w="18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522"/>
              <w:jc w:val="right"/>
              <w:rPr>
                <w:rFonts w:ascii="Arial" w:hAnsi="Arial" w:cs="Arial"/>
                <w:color w:val="000000"/>
                <w:sz w:val="18"/>
                <w:szCs w:val="18"/>
              </w:rPr>
            </w:pPr>
            <w:r w:rsidRPr="004E7D7A">
              <w:rPr>
                <w:rFonts w:ascii="Arial" w:hAnsi="Arial" w:cs="Arial"/>
                <w:color w:val="000000"/>
                <w:sz w:val="18"/>
                <w:szCs w:val="18"/>
              </w:rPr>
              <w:t>29</w:t>
            </w:r>
            <w:r>
              <w:rPr>
                <w:rFonts w:ascii="Arial" w:hAnsi="Arial" w:cs="Arial"/>
                <w:color w:val="000000"/>
                <w:sz w:val="18"/>
                <w:szCs w:val="18"/>
              </w:rPr>
              <w:t>.</w:t>
            </w:r>
            <w:r w:rsidRPr="004E7D7A">
              <w:rPr>
                <w:rFonts w:ascii="Arial" w:hAnsi="Arial" w:cs="Arial"/>
                <w:color w:val="000000"/>
                <w:sz w:val="18"/>
                <w:szCs w:val="18"/>
              </w:rPr>
              <w:t>586</w:t>
            </w:r>
          </w:p>
        </w:tc>
        <w:tc>
          <w:tcPr>
            <w:tcW w:w="18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437"/>
              <w:jc w:val="right"/>
              <w:rPr>
                <w:rFonts w:ascii="Arial" w:hAnsi="Arial" w:cs="Arial"/>
                <w:color w:val="000000"/>
                <w:sz w:val="18"/>
                <w:szCs w:val="18"/>
              </w:rPr>
            </w:pPr>
            <w:r w:rsidRPr="004E7D7A">
              <w:rPr>
                <w:rFonts w:ascii="Arial" w:hAnsi="Arial" w:cs="Arial"/>
                <w:color w:val="000000"/>
                <w:sz w:val="18"/>
                <w:szCs w:val="18"/>
              </w:rPr>
              <w:t>52</w:t>
            </w:r>
            <w:r>
              <w:rPr>
                <w:rFonts w:ascii="Arial" w:hAnsi="Arial" w:cs="Arial"/>
                <w:color w:val="000000"/>
                <w:sz w:val="18"/>
                <w:szCs w:val="18"/>
              </w:rPr>
              <w:t>.</w:t>
            </w:r>
            <w:r w:rsidRPr="004E7D7A">
              <w:rPr>
                <w:rFonts w:ascii="Arial" w:hAnsi="Arial" w:cs="Arial"/>
                <w:color w:val="000000"/>
                <w:sz w:val="18"/>
                <w:szCs w:val="18"/>
              </w:rPr>
              <w:t>573</w:t>
            </w:r>
          </w:p>
        </w:tc>
        <w:tc>
          <w:tcPr>
            <w:tcW w:w="12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143"/>
              <w:jc w:val="right"/>
              <w:rPr>
                <w:rFonts w:ascii="Arial" w:hAnsi="Arial" w:cs="Arial"/>
                <w:color w:val="000000"/>
                <w:sz w:val="18"/>
                <w:szCs w:val="18"/>
              </w:rPr>
            </w:pPr>
            <w:r w:rsidRPr="004E7D7A">
              <w:rPr>
                <w:rFonts w:ascii="Arial" w:hAnsi="Arial" w:cs="Arial"/>
                <w:color w:val="000000"/>
                <w:sz w:val="18"/>
                <w:szCs w:val="18"/>
              </w:rPr>
              <w:t>82</w:t>
            </w:r>
            <w:r>
              <w:rPr>
                <w:rFonts w:ascii="Arial" w:hAnsi="Arial" w:cs="Arial"/>
                <w:color w:val="000000"/>
                <w:sz w:val="18"/>
                <w:szCs w:val="18"/>
              </w:rPr>
              <w:t>.</w:t>
            </w:r>
            <w:r w:rsidRPr="004E7D7A">
              <w:rPr>
                <w:rFonts w:ascii="Arial" w:hAnsi="Arial" w:cs="Arial"/>
                <w:color w:val="000000"/>
                <w:sz w:val="18"/>
                <w:szCs w:val="18"/>
              </w:rPr>
              <w:t>159</w:t>
            </w:r>
          </w:p>
        </w:tc>
      </w:tr>
      <w:tr w:rsidR="00EF4662" w:rsidRPr="004E7D7A" w:rsidTr="00E66CCF">
        <w:tc>
          <w:tcPr>
            <w:tcW w:w="841" w:type="dxa"/>
            <w:vMerge/>
            <w:tcBorders>
              <w:top w:val="nil"/>
              <w:left w:val="single" w:sz="8" w:space="0" w:color="000000"/>
              <w:bottom w:val="single" w:sz="8" w:space="0" w:color="000000"/>
              <w:right w:val="single" w:sz="4" w:space="0" w:color="auto"/>
            </w:tcBorders>
            <w:vAlign w:val="center"/>
          </w:tcPr>
          <w:p w:rsidR="00EF4662" w:rsidRPr="004E7D7A" w:rsidRDefault="00EF4662" w:rsidP="003F47F7">
            <w:pPr>
              <w:rPr>
                <w:rFonts w:ascii="Arial" w:hAnsi="Arial" w:cs="Arial"/>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FFFFFF"/>
          </w:tcPr>
          <w:p w:rsidR="00EF4662" w:rsidRPr="004E7D7A" w:rsidRDefault="00EF4662" w:rsidP="003F47F7">
            <w:pPr>
              <w:rPr>
                <w:rFonts w:ascii="Arial" w:hAnsi="Arial" w:cs="Arial"/>
                <w:color w:val="000000"/>
                <w:sz w:val="18"/>
                <w:szCs w:val="18"/>
              </w:rPr>
            </w:pPr>
            <w:r w:rsidRPr="004E7D7A">
              <w:rPr>
                <w:rFonts w:ascii="Arial" w:hAnsi="Arial" w:cs="Arial"/>
                <w:color w:val="000000"/>
                <w:sz w:val="18"/>
                <w:szCs w:val="18"/>
              </w:rPr>
              <w:t>Jette</w:t>
            </w:r>
          </w:p>
        </w:tc>
        <w:tc>
          <w:tcPr>
            <w:tcW w:w="18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522"/>
              <w:jc w:val="right"/>
              <w:rPr>
                <w:rFonts w:ascii="Arial" w:hAnsi="Arial" w:cs="Arial"/>
                <w:color w:val="000000"/>
                <w:sz w:val="18"/>
                <w:szCs w:val="18"/>
              </w:rPr>
            </w:pPr>
            <w:r w:rsidRPr="004E7D7A">
              <w:rPr>
                <w:rFonts w:ascii="Arial" w:hAnsi="Arial" w:cs="Arial"/>
                <w:color w:val="000000"/>
                <w:sz w:val="18"/>
                <w:szCs w:val="18"/>
              </w:rPr>
              <w:t>22</w:t>
            </w:r>
            <w:r>
              <w:rPr>
                <w:rFonts w:ascii="Arial" w:hAnsi="Arial" w:cs="Arial"/>
                <w:color w:val="000000"/>
                <w:sz w:val="18"/>
                <w:szCs w:val="18"/>
              </w:rPr>
              <w:t>.</w:t>
            </w:r>
            <w:r w:rsidRPr="004E7D7A">
              <w:rPr>
                <w:rFonts w:ascii="Arial" w:hAnsi="Arial" w:cs="Arial"/>
                <w:color w:val="000000"/>
                <w:sz w:val="18"/>
                <w:szCs w:val="18"/>
              </w:rPr>
              <w:t>828</w:t>
            </w:r>
          </w:p>
        </w:tc>
        <w:tc>
          <w:tcPr>
            <w:tcW w:w="18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437"/>
              <w:jc w:val="right"/>
              <w:rPr>
                <w:rFonts w:ascii="Arial" w:hAnsi="Arial" w:cs="Arial"/>
                <w:color w:val="000000"/>
                <w:sz w:val="18"/>
                <w:szCs w:val="18"/>
              </w:rPr>
            </w:pPr>
            <w:r w:rsidRPr="004E7D7A">
              <w:rPr>
                <w:rFonts w:ascii="Arial" w:hAnsi="Arial" w:cs="Arial"/>
                <w:color w:val="000000"/>
                <w:sz w:val="18"/>
                <w:szCs w:val="18"/>
              </w:rPr>
              <w:t>25</w:t>
            </w:r>
            <w:r>
              <w:rPr>
                <w:rFonts w:ascii="Arial" w:hAnsi="Arial" w:cs="Arial"/>
                <w:color w:val="000000"/>
                <w:sz w:val="18"/>
                <w:szCs w:val="18"/>
              </w:rPr>
              <w:t>.</w:t>
            </w:r>
            <w:r w:rsidRPr="004E7D7A">
              <w:rPr>
                <w:rFonts w:ascii="Arial" w:hAnsi="Arial" w:cs="Arial"/>
                <w:color w:val="000000"/>
                <w:sz w:val="18"/>
                <w:szCs w:val="18"/>
              </w:rPr>
              <w:t>074</w:t>
            </w:r>
          </w:p>
        </w:tc>
        <w:tc>
          <w:tcPr>
            <w:tcW w:w="12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143"/>
              <w:jc w:val="right"/>
              <w:rPr>
                <w:rFonts w:ascii="Arial" w:hAnsi="Arial" w:cs="Arial"/>
                <w:color w:val="000000"/>
                <w:sz w:val="18"/>
                <w:szCs w:val="18"/>
              </w:rPr>
            </w:pPr>
            <w:r w:rsidRPr="004E7D7A">
              <w:rPr>
                <w:rFonts w:ascii="Arial" w:hAnsi="Arial" w:cs="Arial"/>
                <w:color w:val="000000"/>
                <w:sz w:val="18"/>
                <w:szCs w:val="18"/>
              </w:rPr>
              <w:t>47</w:t>
            </w:r>
            <w:r>
              <w:rPr>
                <w:rFonts w:ascii="Arial" w:hAnsi="Arial" w:cs="Arial"/>
                <w:color w:val="000000"/>
                <w:sz w:val="18"/>
                <w:szCs w:val="18"/>
              </w:rPr>
              <w:t>.</w:t>
            </w:r>
            <w:r w:rsidRPr="004E7D7A">
              <w:rPr>
                <w:rFonts w:ascii="Arial" w:hAnsi="Arial" w:cs="Arial"/>
                <w:color w:val="000000"/>
                <w:sz w:val="18"/>
                <w:szCs w:val="18"/>
              </w:rPr>
              <w:t>902</w:t>
            </w:r>
          </w:p>
        </w:tc>
      </w:tr>
      <w:tr w:rsidR="00EF4662" w:rsidRPr="004E7D7A" w:rsidTr="00E66CCF">
        <w:tc>
          <w:tcPr>
            <w:tcW w:w="841" w:type="dxa"/>
            <w:vMerge/>
            <w:tcBorders>
              <w:top w:val="nil"/>
              <w:left w:val="single" w:sz="8" w:space="0" w:color="000000"/>
              <w:bottom w:val="single" w:sz="8" w:space="0" w:color="000000"/>
              <w:right w:val="single" w:sz="4" w:space="0" w:color="auto"/>
            </w:tcBorders>
            <w:vAlign w:val="center"/>
          </w:tcPr>
          <w:p w:rsidR="00EF4662" w:rsidRPr="004E7D7A" w:rsidRDefault="00EF4662" w:rsidP="003F47F7">
            <w:pPr>
              <w:rPr>
                <w:rFonts w:ascii="Arial" w:hAnsi="Arial" w:cs="Arial"/>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FFFFFF"/>
          </w:tcPr>
          <w:p w:rsidR="00EF4662" w:rsidRPr="004E7D7A" w:rsidRDefault="00EF4662" w:rsidP="003F47F7">
            <w:pPr>
              <w:rPr>
                <w:rFonts w:ascii="Arial" w:hAnsi="Arial" w:cs="Arial"/>
                <w:color w:val="000000"/>
                <w:sz w:val="18"/>
                <w:szCs w:val="18"/>
              </w:rPr>
            </w:pPr>
            <w:r w:rsidRPr="004E7D7A">
              <w:rPr>
                <w:rFonts w:ascii="Arial" w:hAnsi="Arial" w:cs="Arial"/>
                <w:color w:val="000000"/>
                <w:sz w:val="18"/>
                <w:szCs w:val="18"/>
              </w:rPr>
              <w:t>Koekelberg</w:t>
            </w:r>
          </w:p>
        </w:tc>
        <w:tc>
          <w:tcPr>
            <w:tcW w:w="18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522"/>
              <w:jc w:val="right"/>
              <w:rPr>
                <w:rFonts w:ascii="Arial" w:hAnsi="Arial" w:cs="Arial"/>
                <w:color w:val="000000"/>
                <w:sz w:val="18"/>
                <w:szCs w:val="18"/>
              </w:rPr>
            </w:pPr>
            <w:r w:rsidRPr="004E7D7A">
              <w:rPr>
                <w:rFonts w:ascii="Arial" w:hAnsi="Arial" w:cs="Arial"/>
                <w:color w:val="000000"/>
                <w:sz w:val="18"/>
                <w:szCs w:val="18"/>
              </w:rPr>
              <w:t>6852</w:t>
            </w:r>
          </w:p>
        </w:tc>
        <w:tc>
          <w:tcPr>
            <w:tcW w:w="18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437"/>
              <w:jc w:val="right"/>
              <w:rPr>
                <w:rFonts w:ascii="Arial" w:hAnsi="Arial" w:cs="Arial"/>
                <w:color w:val="000000"/>
                <w:sz w:val="18"/>
                <w:szCs w:val="18"/>
              </w:rPr>
            </w:pPr>
            <w:r w:rsidRPr="004E7D7A">
              <w:rPr>
                <w:rFonts w:ascii="Arial" w:hAnsi="Arial" w:cs="Arial"/>
                <w:color w:val="000000"/>
                <w:sz w:val="18"/>
                <w:szCs w:val="18"/>
              </w:rPr>
              <w:t>13</w:t>
            </w:r>
            <w:r>
              <w:rPr>
                <w:rFonts w:ascii="Arial" w:hAnsi="Arial" w:cs="Arial"/>
                <w:color w:val="000000"/>
                <w:sz w:val="18"/>
                <w:szCs w:val="18"/>
              </w:rPr>
              <w:t>.</w:t>
            </w:r>
            <w:r w:rsidRPr="004E7D7A">
              <w:rPr>
                <w:rFonts w:ascii="Arial" w:hAnsi="Arial" w:cs="Arial"/>
                <w:color w:val="000000"/>
                <w:sz w:val="18"/>
                <w:szCs w:val="18"/>
              </w:rPr>
              <w:t>400</w:t>
            </w:r>
          </w:p>
        </w:tc>
        <w:tc>
          <w:tcPr>
            <w:tcW w:w="12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143"/>
              <w:jc w:val="right"/>
              <w:rPr>
                <w:rFonts w:ascii="Arial" w:hAnsi="Arial" w:cs="Arial"/>
                <w:color w:val="000000"/>
                <w:sz w:val="18"/>
                <w:szCs w:val="18"/>
              </w:rPr>
            </w:pPr>
            <w:r w:rsidRPr="004E7D7A">
              <w:rPr>
                <w:rFonts w:ascii="Arial" w:hAnsi="Arial" w:cs="Arial"/>
                <w:color w:val="000000"/>
                <w:sz w:val="18"/>
                <w:szCs w:val="18"/>
              </w:rPr>
              <w:t>20</w:t>
            </w:r>
            <w:r>
              <w:rPr>
                <w:rFonts w:ascii="Arial" w:hAnsi="Arial" w:cs="Arial"/>
                <w:color w:val="000000"/>
                <w:sz w:val="18"/>
                <w:szCs w:val="18"/>
              </w:rPr>
              <w:t>.</w:t>
            </w:r>
            <w:r w:rsidRPr="004E7D7A">
              <w:rPr>
                <w:rFonts w:ascii="Arial" w:hAnsi="Arial" w:cs="Arial"/>
                <w:color w:val="000000"/>
                <w:sz w:val="18"/>
                <w:szCs w:val="18"/>
              </w:rPr>
              <w:t>252</w:t>
            </w:r>
          </w:p>
        </w:tc>
      </w:tr>
      <w:tr w:rsidR="00EF4662" w:rsidRPr="004E7D7A" w:rsidTr="00E66CCF">
        <w:tc>
          <w:tcPr>
            <w:tcW w:w="841" w:type="dxa"/>
            <w:vMerge/>
            <w:tcBorders>
              <w:top w:val="nil"/>
              <w:left w:val="single" w:sz="8" w:space="0" w:color="000000"/>
              <w:bottom w:val="single" w:sz="8" w:space="0" w:color="000000"/>
              <w:right w:val="single" w:sz="4" w:space="0" w:color="auto"/>
            </w:tcBorders>
            <w:vAlign w:val="center"/>
          </w:tcPr>
          <w:p w:rsidR="00EF4662" w:rsidRPr="004E7D7A" w:rsidRDefault="00EF4662" w:rsidP="003F47F7">
            <w:pPr>
              <w:rPr>
                <w:rFonts w:ascii="Arial" w:hAnsi="Arial" w:cs="Arial"/>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FFFFFF"/>
          </w:tcPr>
          <w:p w:rsidR="00EF4662" w:rsidRPr="004E7D7A" w:rsidRDefault="00EF4662" w:rsidP="003F47F7">
            <w:pPr>
              <w:rPr>
                <w:rFonts w:ascii="Arial" w:hAnsi="Arial" w:cs="Arial"/>
                <w:color w:val="000000"/>
                <w:sz w:val="18"/>
                <w:szCs w:val="18"/>
              </w:rPr>
            </w:pPr>
            <w:r w:rsidRPr="004E7D7A">
              <w:rPr>
                <w:rFonts w:ascii="Arial" w:hAnsi="Arial" w:cs="Arial"/>
                <w:color w:val="000000"/>
                <w:sz w:val="18"/>
                <w:szCs w:val="18"/>
              </w:rPr>
              <w:t>Sint-Jans-Molenbeek</w:t>
            </w:r>
          </w:p>
        </w:tc>
        <w:tc>
          <w:tcPr>
            <w:tcW w:w="18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522"/>
              <w:jc w:val="right"/>
              <w:rPr>
                <w:rFonts w:ascii="Arial" w:hAnsi="Arial" w:cs="Arial"/>
                <w:color w:val="000000"/>
                <w:sz w:val="18"/>
                <w:szCs w:val="18"/>
              </w:rPr>
            </w:pPr>
            <w:r w:rsidRPr="004E7D7A">
              <w:rPr>
                <w:rFonts w:ascii="Arial" w:hAnsi="Arial" w:cs="Arial"/>
                <w:color w:val="000000"/>
                <w:sz w:val="18"/>
                <w:szCs w:val="18"/>
              </w:rPr>
              <w:t>23</w:t>
            </w:r>
            <w:r>
              <w:rPr>
                <w:rFonts w:ascii="Arial" w:hAnsi="Arial" w:cs="Arial"/>
                <w:color w:val="000000"/>
                <w:sz w:val="18"/>
                <w:szCs w:val="18"/>
              </w:rPr>
              <w:t>.</w:t>
            </w:r>
            <w:r w:rsidRPr="004E7D7A">
              <w:rPr>
                <w:rFonts w:ascii="Arial" w:hAnsi="Arial" w:cs="Arial"/>
                <w:color w:val="000000"/>
                <w:sz w:val="18"/>
                <w:szCs w:val="18"/>
              </w:rPr>
              <w:t>251</w:t>
            </w:r>
          </w:p>
        </w:tc>
        <w:tc>
          <w:tcPr>
            <w:tcW w:w="18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437"/>
              <w:jc w:val="right"/>
              <w:rPr>
                <w:rFonts w:ascii="Arial" w:hAnsi="Arial" w:cs="Arial"/>
                <w:color w:val="000000"/>
                <w:sz w:val="18"/>
                <w:szCs w:val="18"/>
              </w:rPr>
            </w:pPr>
            <w:r w:rsidRPr="004E7D7A">
              <w:rPr>
                <w:rFonts w:ascii="Arial" w:hAnsi="Arial" w:cs="Arial"/>
                <w:color w:val="000000"/>
                <w:sz w:val="18"/>
                <w:szCs w:val="18"/>
              </w:rPr>
              <w:t>68</w:t>
            </w:r>
            <w:r>
              <w:rPr>
                <w:rFonts w:ascii="Arial" w:hAnsi="Arial" w:cs="Arial"/>
                <w:color w:val="000000"/>
                <w:sz w:val="18"/>
                <w:szCs w:val="18"/>
              </w:rPr>
              <w:t>.</w:t>
            </w:r>
            <w:r w:rsidRPr="004E7D7A">
              <w:rPr>
                <w:rFonts w:ascii="Arial" w:hAnsi="Arial" w:cs="Arial"/>
                <w:color w:val="000000"/>
                <w:sz w:val="18"/>
                <w:szCs w:val="18"/>
              </w:rPr>
              <w:t>389</w:t>
            </w:r>
          </w:p>
        </w:tc>
        <w:tc>
          <w:tcPr>
            <w:tcW w:w="12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143"/>
              <w:jc w:val="right"/>
              <w:rPr>
                <w:rFonts w:ascii="Arial" w:hAnsi="Arial" w:cs="Arial"/>
                <w:color w:val="000000"/>
                <w:sz w:val="18"/>
                <w:szCs w:val="18"/>
              </w:rPr>
            </w:pPr>
            <w:r w:rsidRPr="004E7D7A">
              <w:rPr>
                <w:rFonts w:ascii="Arial" w:hAnsi="Arial" w:cs="Arial"/>
                <w:color w:val="000000"/>
                <w:sz w:val="18"/>
                <w:szCs w:val="18"/>
              </w:rPr>
              <w:t>91</w:t>
            </w:r>
            <w:r>
              <w:rPr>
                <w:rFonts w:ascii="Arial" w:hAnsi="Arial" w:cs="Arial"/>
                <w:color w:val="000000"/>
                <w:sz w:val="18"/>
                <w:szCs w:val="18"/>
              </w:rPr>
              <w:t>.</w:t>
            </w:r>
            <w:r w:rsidRPr="004E7D7A">
              <w:rPr>
                <w:rFonts w:ascii="Arial" w:hAnsi="Arial" w:cs="Arial"/>
                <w:color w:val="000000"/>
                <w:sz w:val="18"/>
                <w:szCs w:val="18"/>
              </w:rPr>
              <w:t>640</w:t>
            </w:r>
          </w:p>
        </w:tc>
      </w:tr>
      <w:tr w:rsidR="00EF4662" w:rsidRPr="004E7D7A" w:rsidTr="00E66CCF">
        <w:tc>
          <w:tcPr>
            <w:tcW w:w="841" w:type="dxa"/>
            <w:vMerge/>
            <w:tcBorders>
              <w:top w:val="nil"/>
              <w:left w:val="single" w:sz="8" w:space="0" w:color="000000"/>
              <w:bottom w:val="single" w:sz="8" w:space="0" w:color="000000"/>
              <w:right w:val="single" w:sz="4" w:space="0" w:color="auto"/>
            </w:tcBorders>
            <w:vAlign w:val="center"/>
          </w:tcPr>
          <w:p w:rsidR="00EF4662" w:rsidRPr="004E7D7A" w:rsidRDefault="00EF4662" w:rsidP="003F47F7">
            <w:pPr>
              <w:rPr>
                <w:rFonts w:ascii="Arial" w:hAnsi="Arial" w:cs="Arial"/>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FFFFFF"/>
          </w:tcPr>
          <w:p w:rsidR="00EF4662" w:rsidRPr="004E7D7A" w:rsidRDefault="00EF4662" w:rsidP="003F47F7">
            <w:pPr>
              <w:rPr>
                <w:rFonts w:ascii="Arial" w:hAnsi="Arial" w:cs="Arial"/>
                <w:color w:val="000000"/>
                <w:sz w:val="18"/>
                <w:szCs w:val="18"/>
              </w:rPr>
            </w:pPr>
            <w:r w:rsidRPr="004E7D7A">
              <w:rPr>
                <w:rFonts w:ascii="Arial" w:hAnsi="Arial" w:cs="Arial"/>
                <w:color w:val="000000"/>
                <w:sz w:val="18"/>
                <w:szCs w:val="18"/>
              </w:rPr>
              <w:t>Sint-Gillis (bij-Brussel)</w:t>
            </w:r>
          </w:p>
        </w:tc>
        <w:tc>
          <w:tcPr>
            <w:tcW w:w="18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522"/>
              <w:jc w:val="right"/>
              <w:rPr>
                <w:rFonts w:ascii="Arial" w:hAnsi="Arial" w:cs="Arial"/>
                <w:color w:val="000000"/>
                <w:sz w:val="18"/>
                <w:szCs w:val="18"/>
              </w:rPr>
            </w:pPr>
            <w:r w:rsidRPr="004E7D7A">
              <w:rPr>
                <w:rFonts w:ascii="Arial" w:hAnsi="Arial" w:cs="Arial"/>
                <w:color w:val="000000"/>
                <w:sz w:val="18"/>
                <w:szCs w:val="18"/>
              </w:rPr>
              <w:t>13</w:t>
            </w:r>
            <w:r>
              <w:rPr>
                <w:rFonts w:ascii="Arial" w:hAnsi="Arial" w:cs="Arial"/>
                <w:color w:val="000000"/>
                <w:sz w:val="18"/>
                <w:szCs w:val="18"/>
              </w:rPr>
              <w:t>.</w:t>
            </w:r>
            <w:r w:rsidRPr="004E7D7A">
              <w:rPr>
                <w:rFonts w:ascii="Arial" w:hAnsi="Arial" w:cs="Arial"/>
                <w:color w:val="000000"/>
                <w:sz w:val="18"/>
                <w:szCs w:val="18"/>
              </w:rPr>
              <w:t>133</w:t>
            </w:r>
          </w:p>
        </w:tc>
        <w:tc>
          <w:tcPr>
            <w:tcW w:w="18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437"/>
              <w:jc w:val="right"/>
              <w:rPr>
                <w:rFonts w:ascii="Arial" w:hAnsi="Arial" w:cs="Arial"/>
                <w:color w:val="000000"/>
                <w:sz w:val="18"/>
                <w:szCs w:val="18"/>
              </w:rPr>
            </w:pPr>
            <w:r w:rsidRPr="004E7D7A">
              <w:rPr>
                <w:rFonts w:ascii="Arial" w:hAnsi="Arial" w:cs="Arial"/>
                <w:color w:val="000000"/>
                <w:sz w:val="18"/>
                <w:szCs w:val="18"/>
              </w:rPr>
              <w:t>35</w:t>
            </w:r>
            <w:r>
              <w:rPr>
                <w:rFonts w:ascii="Arial" w:hAnsi="Arial" w:cs="Arial"/>
                <w:color w:val="000000"/>
                <w:sz w:val="18"/>
                <w:szCs w:val="18"/>
              </w:rPr>
              <w:t>.</w:t>
            </w:r>
            <w:r w:rsidRPr="004E7D7A">
              <w:rPr>
                <w:rFonts w:ascii="Arial" w:hAnsi="Arial" w:cs="Arial"/>
                <w:color w:val="000000"/>
                <w:sz w:val="18"/>
                <w:szCs w:val="18"/>
              </w:rPr>
              <w:t>261</w:t>
            </w:r>
          </w:p>
        </w:tc>
        <w:tc>
          <w:tcPr>
            <w:tcW w:w="12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143"/>
              <w:jc w:val="right"/>
              <w:rPr>
                <w:rFonts w:ascii="Arial" w:hAnsi="Arial" w:cs="Arial"/>
                <w:color w:val="000000"/>
                <w:sz w:val="18"/>
                <w:szCs w:val="18"/>
              </w:rPr>
            </w:pPr>
            <w:r w:rsidRPr="004E7D7A">
              <w:rPr>
                <w:rFonts w:ascii="Arial" w:hAnsi="Arial" w:cs="Arial"/>
                <w:color w:val="000000"/>
                <w:sz w:val="18"/>
                <w:szCs w:val="18"/>
              </w:rPr>
              <w:t>48</w:t>
            </w:r>
            <w:r>
              <w:rPr>
                <w:rFonts w:ascii="Arial" w:hAnsi="Arial" w:cs="Arial"/>
                <w:color w:val="000000"/>
                <w:sz w:val="18"/>
                <w:szCs w:val="18"/>
              </w:rPr>
              <w:t>.</w:t>
            </w:r>
            <w:r w:rsidRPr="004E7D7A">
              <w:rPr>
                <w:rFonts w:ascii="Arial" w:hAnsi="Arial" w:cs="Arial"/>
                <w:color w:val="000000"/>
                <w:sz w:val="18"/>
                <w:szCs w:val="18"/>
              </w:rPr>
              <w:t>394</w:t>
            </w:r>
          </w:p>
        </w:tc>
      </w:tr>
      <w:tr w:rsidR="00EF4662" w:rsidRPr="004E7D7A" w:rsidTr="00E66CCF">
        <w:tc>
          <w:tcPr>
            <w:tcW w:w="841" w:type="dxa"/>
            <w:vMerge/>
            <w:tcBorders>
              <w:top w:val="nil"/>
              <w:left w:val="single" w:sz="8" w:space="0" w:color="000000"/>
              <w:bottom w:val="single" w:sz="8" w:space="0" w:color="000000"/>
              <w:right w:val="single" w:sz="4" w:space="0" w:color="auto"/>
            </w:tcBorders>
            <w:vAlign w:val="center"/>
          </w:tcPr>
          <w:p w:rsidR="00EF4662" w:rsidRPr="004E7D7A" w:rsidRDefault="00EF4662" w:rsidP="003F47F7">
            <w:pPr>
              <w:rPr>
                <w:rFonts w:ascii="Arial" w:hAnsi="Arial" w:cs="Arial"/>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FFFFFF"/>
          </w:tcPr>
          <w:p w:rsidR="00EF4662" w:rsidRPr="004E7D7A" w:rsidRDefault="00EF4662" w:rsidP="003F47F7">
            <w:pPr>
              <w:rPr>
                <w:rFonts w:ascii="Arial" w:hAnsi="Arial" w:cs="Arial"/>
                <w:color w:val="000000"/>
                <w:sz w:val="18"/>
                <w:szCs w:val="18"/>
              </w:rPr>
            </w:pPr>
            <w:r w:rsidRPr="004E7D7A">
              <w:rPr>
                <w:rFonts w:ascii="Arial" w:hAnsi="Arial" w:cs="Arial"/>
                <w:color w:val="000000"/>
                <w:sz w:val="18"/>
                <w:szCs w:val="18"/>
              </w:rPr>
              <w:t>Sint-Joost-ten-Node</w:t>
            </w:r>
          </w:p>
        </w:tc>
        <w:tc>
          <w:tcPr>
            <w:tcW w:w="18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522"/>
              <w:jc w:val="right"/>
              <w:rPr>
                <w:rFonts w:ascii="Arial" w:hAnsi="Arial" w:cs="Arial"/>
                <w:color w:val="000000"/>
                <w:sz w:val="18"/>
                <w:szCs w:val="18"/>
              </w:rPr>
            </w:pPr>
            <w:r w:rsidRPr="004E7D7A">
              <w:rPr>
                <w:rFonts w:ascii="Arial" w:hAnsi="Arial" w:cs="Arial"/>
                <w:color w:val="000000"/>
                <w:sz w:val="18"/>
                <w:szCs w:val="18"/>
              </w:rPr>
              <w:t>4</w:t>
            </w:r>
            <w:r>
              <w:rPr>
                <w:rFonts w:ascii="Arial" w:hAnsi="Arial" w:cs="Arial"/>
                <w:color w:val="000000"/>
                <w:sz w:val="18"/>
                <w:szCs w:val="18"/>
              </w:rPr>
              <w:t>.</w:t>
            </w:r>
            <w:r w:rsidRPr="004E7D7A">
              <w:rPr>
                <w:rFonts w:ascii="Arial" w:hAnsi="Arial" w:cs="Arial"/>
                <w:color w:val="000000"/>
                <w:sz w:val="18"/>
                <w:szCs w:val="18"/>
              </w:rPr>
              <w:t>026</w:t>
            </w:r>
          </w:p>
        </w:tc>
        <w:tc>
          <w:tcPr>
            <w:tcW w:w="18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437"/>
              <w:jc w:val="right"/>
              <w:rPr>
                <w:rFonts w:ascii="Arial" w:hAnsi="Arial" w:cs="Arial"/>
                <w:color w:val="000000"/>
                <w:sz w:val="18"/>
                <w:szCs w:val="18"/>
              </w:rPr>
            </w:pPr>
            <w:r w:rsidRPr="004E7D7A">
              <w:rPr>
                <w:rFonts w:ascii="Arial" w:hAnsi="Arial" w:cs="Arial"/>
                <w:color w:val="000000"/>
                <w:sz w:val="18"/>
                <w:szCs w:val="18"/>
              </w:rPr>
              <w:t>23</w:t>
            </w:r>
            <w:r>
              <w:rPr>
                <w:rFonts w:ascii="Arial" w:hAnsi="Arial" w:cs="Arial"/>
                <w:color w:val="000000"/>
                <w:sz w:val="18"/>
                <w:szCs w:val="18"/>
              </w:rPr>
              <w:t>.</w:t>
            </w:r>
            <w:r w:rsidRPr="004E7D7A">
              <w:rPr>
                <w:rFonts w:ascii="Arial" w:hAnsi="Arial" w:cs="Arial"/>
                <w:color w:val="000000"/>
                <w:sz w:val="18"/>
                <w:szCs w:val="18"/>
              </w:rPr>
              <w:t>237</w:t>
            </w:r>
          </w:p>
        </w:tc>
        <w:tc>
          <w:tcPr>
            <w:tcW w:w="12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143"/>
              <w:jc w:val="right"/>
              <w:rPr>
                <w:rFonts w:ascii="Arial" w:hAnsi="Arial" w:cs="Arial"/>
                <w:color w:val="000000"/>
                <w:sz w:val="18"/>
                <w:szCs w:val="18"/>
              </w:rPr>
            </w:pPr>
            <w:r w:rsidRPr="004E7D7A">
              <w:rPr>
                <w:rFonts w:ascii="Arial" w:hAnsi="Arial" w:cs="Arial"/>
                <w:color w:val="000000"/>
                <w:sz w:val="18"/>
                <w:szCs w:val="18"/>
              </w:rPr>
              <w:t>27</w:t>
            </w:r>
            <w:r>
              <w:rPr>
                <w:rFonts w:ascii="Arial" w:hAnsi="Arial" w:cs="Arial"/>
                <w:color w:val="000000"/>
                <w:sz w:val="18"/>
                <w:szCs w:val="18"/>
              </w:rPr>
              <w:t>.</w:t>
            </w:r>
            <w:r w:rsidRPr="004E7D7A">
              <w:rPr>
                <w:rFonts w:ascii="Arial" w:hAnsi="Arial" w:cs="Arial"/>
                <w:color w:val="000000"/>
                <w:sz w:val="18"/>
                <w:szCs w:val="18"/>
              </w:rPr>
              <w:t>263</w:t>
            </w:r>
          </w:p>
        </w:tc>
      </w:tr>
      <w:tr w:rsidR="00EF4662" w:rsidRPr="004E7D7A" w:rsidTr="00E66CCF">
        <w:tc>
          <w:tcPr>
            <w:tcW w:w="841" w:type="dxa"/>
            <w:vMerge/>
            <w:tcBorders>
              <w:top w:val="nil"/>
              <w:left w:val="single" w:sz="8" w:space="0" w:color="000000"/>
              <w:bottom w:val="single" w:sz="8" w:space="0" w:color="000000"/>
              <w:right w:val="single" w:sz="4" w:space="0" w:color="auto"/>
            </w:tcBorders>
            <w:vAlign w:val="center"/>
          </w:tcPr>
          <w:p w:rsidR="00EF4662" w:rsidRPr="004E7D7A" w:rsidRDefault="00EF4662" w:rsidP="003F47F7">
            <w:pPr>
              <w:rPr>
                <w:rFonts w:ascii="Arial" w:hAnsi="Arial" w:cs="Arial"/>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FFFFFF"/>
          </w:tcPr>
          <w:p w:rsidR="00EF4662" w:rsidRPr="004E7D7A" w:rsidRDefault="00EF4662" w:rsidP="003F47F7">
            <w:pPr>
              <w:rPr>
                <w:rFonts w:ascii="Arial" w:hAnsi="Arial" w:cs="Arial"/>
                <w:color w:val="000000"/>
                <w:sz w:val="18"/>
                <w:szCs w:val="18"/>
              </w:rPr>
            </w:pPr>
            <w:r w:rsidRPr="004E7D7A">
              <w:rPr>
                <w:rFonts w:ascii="Arial" w:hAnsi="Arial" w:cs="Arial"/>
                <w:color w:val="000000"/>
                <w:sz w:val="18"/>
                <w:szCs w:val="18"/>
              </w:rPr>
              <w:t>Schaarbeek</w:t>
            </w:r>
          </w:p>
        </w:tc>
        <w:tc>
          <w:tcPr>
            <w:tcW w:w="18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522"/>
              <w:jc w:val="right"/>
              <w:rPr>
                <w:rFonts w:ascii="Arial" w:hAnsi="Arial" w:cs="Arial"/>
                <w:color w:val="000000"/>
                <w:sz w:val="18"/>
                <w:szCs w:val="18"/>
              </w:rPr>
            </w:pPr>
            <w:r w:rsidRPr="004E7D7A">
              <w:rPr>
                <w:rFonts w:ascii="Arial" w:hAnsi="Arial" w:cs="Arial"/>
                <w:color w:val="000000"/>
                <w:sz w:val="18"/>
                <w:szCs w:val="18"/>
              </w:rPr>
              <w:t>35</w:t>
            </w:r>
            <w:r>
              <w:rPr>
                <w:rFonts w:ascii="Arial" w:hAnsi="Arial" w:cs="Arial"/>
                <w:color w:val="000000"/>
                <w:sz w:val="18"/>
                <w:szCs w:val="18"/>
              </w:rPr>
              <w:t>.</w:t>
            </w:r>
            <w:r w:rsidRPr="004E7D7A">
              <w:rPr>
                <w:rFonts w:ascii="Arial" w:hAnsi="Arial" w:cs="Arial"/>
                <w:color w:val="000000"/>
                <w:sz w:val="18"/>
                <w:szCs w:val="18"/>
              </w:rPr>
              <w:t>666</w:t>
            </w:r>
          </w:p>
        </w:tc>
        <w:tc>
          <w:tcPr>
            <w:tcW w:w="18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437"/>
              <w:jc w:val="right"/>
              <w:rPr>
                <w:rFonts w:ascii="Arial" w:hAnsi="Arial" w:cs="Arial"/>
                <w:color w:val="000000"/>
                <w:sz w:val="18"/>
                <w:szCs w:val="18"/>
              </w:rPr>
            </w:pPr>
            <w:r w:rsidRPr="004E7D7A">
              <w:rPr>
                <w:rFonts w:ascii="Arial" w:hAnsi="Arial" w:cs="Arial"/>
                <w:color w:val="000000"/>
                <w:sz w:val="18"/>
                <w:szCs w:val="18"/>
              </w:rPr>
              <w:t>89</w:t>
            </w:r>
            <w:r>
              <w:rPr>
                <w:rFonts w:ascii="Arial" w:hAnsi="Arial" w:cs="Arial"/>
                <w:color w:val="000000"/>
                <w:sz w:val="18"/>
                <w:szCs w:val="18"/>
              </w:rPr>
              <w:t>.</w:t>
            </w:r>
            <w:r w:rsidRPr="004E7D7A">
              <w:rPr>
                <w:rFonts w:ascii="Arial" w:hAnsi="Arial" w:cs="Arial"/>
                <w:color w:val="000000"/>
                <w:sz w:val="18"/>
                <w:szCs w:val="18"/>
              </w:rPr>
              <w:t>859</w:t>
            </w:r>
          </w:p>
        </w:tc>
        <w:tc>
          <w:tcPr>
            <w:tcW w:w="12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143"/>
              <w:jc w:val="right"/>
              <w:rPr>
                <w:rFonts w:ascii="Arial" w:hAnsi="Arial" w:cs="Arial"/>
                <w:color w:val="000000"/>
                <w:sz w:val="18"/>
                <w:szCs w:val="18"/>
              </w:rPr>
            </w:pPr>
            <w:r w:rsidRPr="004E7D7A">
              <w:rPr>
                <w:rFonts w:ascii="Arial" w:hAnsi="Arial" w:cs="Arial"/>
                <w:color w:val="000000"/>
                <w:sz w:val="18"/>
                <w:szCs w:val="18"/>
              </w:rPr>
              <w:t>125</w:t>
            </w:r>
            <w:r>
              <w:rPr>
                <w:rFonts w:ascii="Arial" w:hAnsi="Arial" w:cs="Arial"/>
                <w:color w:val="000000"/>
                <w:sz w:val="18"/>
                <w:szCs w:val="18"/>
              </w:rPr>
              <w:t>.</w:t>
            </w:r>
            <w:r w:rsidRPr="004E7D7A">
              <w:rPr>
                <w:rFonts w:ascii="Arial" w:hAnsi="Arial" w:cs="Arial"/>
                <w:color w:val="000000"/>
                <w:sz w:val="18"/>
                <w:szCs w:val="18"/>
              </w:rPr>
              <w:t>525</w:t>
            </w:r>
          </w:p>
        </w:tc>
      </w:tr>
      <w:tr w:rsidR="00EF4662" w:rsidRPr="004E7D7A" w:rsidTr="00E66CCF">
        <w:tc>
          <w:tcPr>
            <w:tcW w:w="841" w:type="dxa"/>
            <w:vMerge/>
            <w:tcBorders>
              <w:top w:val="nil"/>
              <w:left w:val="single" w:sz="8" w:space="0" w:color="000000"/>
              <w:bottom w:val="single" w:sz="8" w:space="0" w:color="000000"/>
              <w:right w:val="single" w:sz="4" w:space="0" w:color="auto"/>
            </w:tcBorders>
            <w:vAlign w:val="center"/>
          </w:tcPr>
          <w:p w:rsidR="00EF4662" w:rsidRPr="004E7D7A" w:rsidRDefault="00EF4662" w:rsidP="003F47F7">
            <w:pPr>
              <w:rPr>
                <w:rFonts w:ascii="Arial" w:hAnsi="Arial" w:cs="Arial"/>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FFFFFF"/>
          </w:tcPr>
          <w:p w:rsidR="00EF4662" w:rsidRPr="004E7D7A" w:rsidRDefault="00EF4662" w:rsidP="003F47F7">
            <w:pPr>
              <w:rPr>
                <w:rFonts w:ascii="Arial" w:hAnsi="Arial" w:cs="Arial"/>
                <w:color w:val="000000"/>
                <w:sz w:val="18"/>
                <w:szCs w:val="18"/>
              </w:rPr>
            </w:pPr>
            <w:r w:rsidRPr="004E7D7A">
              <w:rPr>
                <w:rFonts w:ascii="Arial" w:hAnsi="Arial" w:cs="Arial"/>
                <w:color w:val="000000"/>
                <w:sz w:val="18"/>
                <w:szCs w:val="18"/>
              </w:rPr>
              <w:t>Ukkel</w:t>
            </w:r>
          </w:p>
        </w:tc>
        <w:tc>
          <w:tcPr>
            <w:tcW w:w="18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522"/>
              <w:jc w:val="right"/>
              <w:rPr>
                <w:rFonts w:ascii="Arial" w:hAnsi="Arial" w:cs="Arial"/>
                <w:color w:val="000000"/>
                <w:sz w:val="18"/>
                <w:szCs w:val="18"/>
              </w:rPr>
            </w:pPr>
            <w:r w:rsidRPr="004E7D7A">
              <w:rPr>
                <w:rFonts w:ascii="Arial" w:hAnsi="Arial" w:cs="Arial"/>
                <w:color w:val="000000"/>
                <w:sz w:val="18"/>
                <w:szCs w:val="18"/>
              </w:rPr>
              <w:t>43</w:t>
            </w:r>
            <w:r>
              <w:rPr>
                <w:rFonts w:ascii="Arial" w:hAnsi="Arial" w:cs="Arial"/>
                <w:color w:val="000000"/>
                <w:sz w:val="18"/>
                <w:szCs w:val="18"/>
              </w:rPr>
              <w:t>.</w:t>
            </w:r>
            <w:r w:rsidRPr="004E7D7A">
              <w:rPr>
                <w:rFonts w:ascii="Arial" w:hAnsi="Arial" w:cs="Arial"/>
                <w:color w:val="000000"/>
                <w:sz w:val="18"/>
                <w:szCs w:val="18"/>
              </w:rPr>
              <w:t>016</w:t>
            </w:r>
          </w:p>
        </w:tc>
        <w:tc>
          <w:tcPr>
            <w:tcW w:w="18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437"/>
              <w:jc w:val="right"/>
              <w:rPr>
                <w:rFonts w:ascii="Arial" w:hAnsi="Arial" w:cs="Arial"/>
                <w:color w:val="000000"/>
                <w:sz w:val="18"/>
                <w:szCs w:val="18"/>
              </w:rPr>
            </w:pPr>
            <w:r w:rsidRPr="004E7D7A">
              <w:rPr>
                <w:rFonts w:ascii="Arial" w:hAnsi="Arial" w:cs="Arial"/>
                <w:color w:val="000000"/>
                <w:sz w:val="18"/>
                <w:szCs w:val="18"/>
              </w:rPr>
              <w:t>35</w:t>
            </w:r>
            <w:r>
              <w:rPr>
                <w:rFonts w:ascii="Arial" w:hAnsi="Arial" w:cs="Arial"/>
                <w:color w:val="000000"/>
                <w:sz w:val="18"/>
                <w:szCs w:val="18"/>
              </w:rPr>
              <w:t>.</w:t>
            </w:r>
            <w:r w:rsidRPr="004E7D7A">
              <w:rPr>
                <w:rFonts w:ascii="Arial" w:hAnsi="Arial" w:cs="Arial"/>
                <w:color w:val="000000"/>
                <w:sz w:val="18"/>
                <w:szCs w:val="18"/>
              </w:rPr>
              <w:t>244</w:t>
            </w:r>
          </w:p>
        </w:tc>
        <w:tc>
          <w:tcPr>
            <w:tcW w:w="12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143"/>
              <w:jc w:val="right"/>
              <w:rPr>
                <w:rFonts w:ascii="Arial" w:hAnsi="Arial" w:cs="Arial"/>
                <w:color w:val="000000"/>
                <w:sz w:val="18"/>
                <w:szCs w:val="18"/>
              </w:rPr>
            </w:pPr>
            <w:r w:rsidRPr="004E7D7A">
              <w:rPr>
                <w:rFonts w:ascii="Arial" w:hAnsi="Arial" w:cs="Arial"/>
                <w:color w:val="000000"/>
                <w:sz w:val="18"/>
                <w:szCs w:val="18"/>
              </w:rPr>
              <w:t>78</w:t>
            </w:r>
            <w:r>
              <w:rPr>
                <w:rFonts w:ascii="Arial" w:hAnsi="Arial" w:cs="Arial"/>
                <w:color w:val="000000"/>
                <w:sz w:val="18"/>
                <w:szCs w:val="18"/>
              </w:rPr>
              <w:t>.</w:t>
            </w:r>
            <w:r w:rsidRPr="004E7D7A">
              <w:rPr>
                <w:rFonts w:ascii="Arial" w:hAnsi="Arial" w:cs="Arial"/>
                <w:color w:val="000000"/>
                <w:sz w:val="18"/>
                <w:szCs w:val="18"/>
              </w:rPr>
              <w:t>260</w:t>
            </w:r>
          </w:p>
        </w:tc>
      </w:tr>
      <w:tr w:rsidR="00EF4662" w:rsidRPr="004E7D7A" w:rsidTr="00E66CCF">
        <w:tc>
          <w:tcPr>
            <w:tcW w:w="841" w:type="dxa"/>
            <w:vMerge/>
            <w:tcBorders>
              <w:top w:val="nil"/>
              <w:left w:val="single" w:sz="8" w:space="0" w:color="000000"/>
              <w:bottom w:val="single" w:sz="8" w:space="0" w:color="000000"/>
              <w:right w:val="single" w:sz="4" w:space="0" w:color="auto"/>
            </w:tcBorders>
            <w:vAlign w:val="center"/>
          </w:tcPr>
          <w:p w:rsidR="00EF4662" w:rsidRPr="004E7D7A" w:rsidRDefault="00EF4662" w:rsidP="003F47F7">
            <w:pPr>
              <w:rPr>
                <w:rFonts w:ascii="Arial" w:hAnsi="Arial" w:cs="Arial"/>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FFFFFF"/>
          </w:tcPr>
          <w:p w:rsidR="00EF4662" w:rsidRPr="004E7D7A" w:rsidRDefault="00EF4662" w:rsidP="003F47F7">
            <w:pPr>
              <w:rPr>
                <w:rFonts w:ascii="Arial" w:hAnsi="Arial" w:cs="Arial"/>
                <w:color w:val="000000"/>
                <w:sz w:val="18"/>
                <w:szCs w:val="18"/>
              </w:rPr>
            </w:pPr>
            <w:r w:rsidRPr="004E7D7A">
              <w:rPr>
                <w:rFonts w:ascii="Arial" w:hAnsi="Arial" w:cs="Arial"/>
                <w:color w:val="000000"/>
                <w:sz w:val="18"/>
                <w:szCs w:val="18"/>
              </w:rPr>
              <w:t>Watermaal-Bosvoorde</w:t>
            </w:r>
          </w:p>
        </w:tc>
        <w:tc>
          <w:tcPr>
            <w:tcW w:w="18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522"/>
              <w:jc w:val="right"/>
              <w:rPr>
                <w:rFonts w:ascii="Arial" w:hAnsi="Arial" w:cs="Arial"/>
                <w:color w:val="000000"/>
                <w:sz w:val="18"/>
                <w:szCs w:val="18"/>
              </w:rPr>
            </w:pPr>
            <w:r w:rsidRPr="004E7D7A">
              <w:rPr>
                <w:rFonts w:ascii="Arial" w:hAnsi="Arial" w:cs="Arial"/>
                <w:color w:val="000000"/>
                <w:sz w:val="18"/>
                <w:szCs w:val="18"/>
              </w:rPr>
              <w:t>16</w:t>
            </w:r>
            <w:r>
              <w:rPr>
                <w:rFonts w:ascii="Arial" w:hAnsi="Arial" w:cs="Arial"/>
                <w:color w:val="000000"/>
                <w:sz w:val="18"/>
                <w:szCs w:val="18"/>
              </w:rPr>
              <w:t>.</w:t>
            </w:r>
            <w:r w:rsidRPr="004E7D7A">
              <w:rPr>
                <w:rFonts w:ascii="Arial" w:hAnsi="Arial" w:cs="Arial"/>
                <w:color w:val="000000"/>
                <w:sz w:val="18"/>
                <w:szCs w:val="18"/>
              </w:rPr>
              <w:t>641</w:t>
            </w:r>
          </w:p>
        </w:tc>
        <w:tc>
          <w:tcPr>
            <w:tcW w:w="18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437"/>
              <w:jc w:val="right"/>
              <w:rPr>
                <w:rFonts w:ascii="Arial" w:hAnsi="Arial" w:cs="Arial"/>
                <w:color w:val="000000"/>
                <w:sz w:val="18"/>
                <w:szCs w:val="18"/>
              </w:rPr>
            </w:pPr>
            <w:r w:rsidRPr="004E7D7A">
              <w:rPr>
                <w:rFonts w:ascii="Arial" w:hAnsi="Arial" w:cs="Arial"/>
                <w:color w:val="000000"/>
                <w:sz w:val="18"/>
                <w:szCs w:val="18"/>
              </w:rPr>
              <w:t>7</w:t>
            </w:r>
            <w:r>
              <w:rPr>
                <w:rFonts w:ascii="Arial" w:hAnsi="Arial" w:cs="Arial"/>
                <w:color w:val="000000"/>
                <w:sz w:val="18"/>
                <w:szCs w:val="18"/>
              </w:rPr>
              <w:t>.</w:t>
            </w:r>
            <w:r w:rsidRPr="004E7D7A">
              <w:rPr>
                <w:rFonts w:ascii="Arial" w:hAnsi="Arial" w:cs="Arial"/>
                <w:color w:val="000000"/>
                <w:sz w:val="18"/>
                <w:szCs w:val="18"/>
              </w:rPr>
              <w:t>603</w:t>
            </w:r>
          </w:p>
        </w:tc>
        <w:tc>
          <w:tcPr>
            <w:tcW w:w="12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143"/>
              <w:jc w:val="right"/>
              <w:rPr>
                <w:rFonts w:ascii="Arial" w:hAnsi="Arial" w:cs="Arial"/>
                <w:color w:val="000000"/>
                <w:sz w:val="18"/>
                <w:szCs w:val="18"/>
              </w:rPr>
            </w:pPr>
            <w:r w:rsidRPr="004E7D7A">
              <w:rPr>
                <w:rFonts w:ascii="Arial" w:hAnsi="Arial" w:cs="Arial"/>
                <w:color w:val="000000"/>
                <w:sz w:val="18"/>
                <w:szCs w:val="18"/>
              </w:rPr>
              <w:t>24</w:t>
            </w:r>
            <w:r>
              <w:rPr>
                <w:rFonts w:ascii="Arial" w:hAnsi="Arial" w:cs="Arial"/>
                <w:color w:val="000000"/>
                <w:sz w:val="18"/>
                <w:szCs w:val="18"/>
              </w:rPr>
              <w:t>.</w:t>
            </w:r>
            <w:r w:rsidRPr="004E7D7A">
              <w:rPr>
                <w:rFonts w:ascii="Arial" w:hAnsi="Arial" w:cs="Arial"/>
                <w:color w:val="000000"/>
                <w:sz w:val="18"/>
                <w:szCs w:val="18"/>
              </w:rPr>
              <w:t>244</w:t>
            </w:r>
          </w:p>
        </w:tc>
      </w:tr>
      <w:tr w:rsidR="00EF4662" w:rsidRPr="004E7D7A" w:rsidTr="00E66CCF">
        <w:tc>
          <w:tcPr>
            <w:tcW w:w="841" w:type="dxa"/>
            <w:vMerge/>
            <w:tcBorders>
              <w:top w:val="nil"/>
              <w:left w:val="single" w:sz="8" w:space="0" w:color="000000"/>
              <w:bottom w:val="single" w:sz="8" w:space="0" w:color="000000"/>
              <w:right w:val="single" w:sz="4" w:space="0" w:color="auto"/>
            </w:tcBorders>
            <w:vAlign w:val="center"/>
          </w:tcPr>
          <w:p w:rsidR="00EF4662" w:rsidRPr="004E7D7A" w:rsidRDefault="00EF4662" w:rsidP="003F47F7">
            <w:pPr>
              <w:rPr>
                <w:rFonts w:ascii="Arial" w:hAnsi="Arial" w:cs="Arial"/>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FFFFFF"/>
          </w:tcPr>
          <w:p w:rsidR="00EF4662" w:rsidRPr="004E7D7A" w:rsidRDefault="00EF4662" w:rsidP="003F47F7">
            <w:pPr>
              <w:rPr>
                <w:rFonts w:ascii="Arial" w:hAnsi="Arial" w:cs="Arial"/>
                <w:color w:val="000000"/>
                <w:sz w:val="18"/>
                <w:szCs w:val="18"/>
              </w:rPr>
            </w:pPr>
            <w:r w:rsidRPr="004E7D7A">
              <w:rPr>
                <w:rFonts w:ascii="Arial" w:hAnsi="Arial" w:cs="Arial"/>
                <w:color w:val="000000"/>
                <w:sz w:val="18"/>
                <w:szCs w:val="18"/>
              </w:rPr>
              <w:t>Sint-Lambrechts-Woluwe</w:t>
            </w:r>
          </w:p>
        </w:tc>
        <w:tc>
          <w:tcPr>
            <w:tcW w:w="18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522"/>
              <w:jc w:val="right"/>
              <w:rPr>
                <w:rFonts w:ascii="Arial" w:hAnsi="Arial" w:cs="Arial"/>
                <w:color w:val="000000"/>
                <w:sz w:val="18"/>
                <w:szCs w:val="18"/>
              </w:rPr>
            </w:pPr>
            <w:r w:rsidRPr="004E7D7A">
              <w:rPr>
                <w:rFonts w:ascii="Arial" w:hAnsi="Arial" w:cs="Arial"/>
                <w:color w:val="000000"/>
                <w:sz w:val="18"/>
                <w:szCs w:val="18"/>
              </w:rPr>
              <w:t>27</w:t>
            </w:r>
            <w:r>
              <w:rPr>
                <w:rFonts w:ascii="Arial" w:hAnsi="Arial" w:cs="Arial"/>
                <w:color w:val="000000"/>
                <w:sz w:val="18"/>
                <w:szCs w:val="18"/>
              </w:rPr>
              <w:t>.</w:t>
            </w:r>
            <w:r w:rsidRPr="004E7D7A">
              <w:rPr>
                <w:rFonts w:ascii="Arial" w:hAnsi="Arial" w:cs="Arial"/>
                <w:color w:val="000000"/>
                <w:sz w:val="18"/>
                <w:szCs w:val="18"/>
              </w:rPr>
              <w:t>601</w:t>
            </w:r>
          </w:p>
        </w:tc>
        <w:tc>
          <w:tcPr>
            <w:tcW w:w="18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437"/>
              <w:jc w:val="right"/>
              <w:rPr>
                <w:rFonts w:ascii="Arial" w:hAnsi="Arial" w:cs="Arial"/>
                <w:color w:val="000000"/>
                <w:sz w:val="18"/>
                <w:szCs w:val="18"/>
              </w:rPr>
            </w:pPr>
            <w:r w:rsidRPr="004E7D7A">
              <w:rPr>
                <w:rFonts w:ascii="Arial" w:hAnsi="Arial" w:cs="Arial"/>
                <w:color w:val="000000"/>
                <w:sz w:val="18"/>
                <w:szCs w:val="18"/>
              </w:rPr>
              <w:t>23</w:t>
            </w:r>
            <w:r>
              <w:rPr>
                <w:rFonts w:ascii="Arial" w:hAnsi="Arial" w:cs="Arial"/>
                <w:color w:val="000000"/>
                <w:sz w:val="18"/>
                <w:szCs w:val="18"/>
              </w:rPr>
              <w:t>.</w:t>
            </w:r>
            <w:r w:rsidRPr="004E7D7A">
              <w:rPr>
                <w:rFonts w:ascii="Arial" w:hAnsi="Arial" w:cs="Arial"/>
                <w:color w:val="000000"/>
                <w:sz w:val="18"/>
                <w:szCs w:val="18"/>
              </w:rPr>
              <w:t>904</w:t>
            </w:r>
          </w:p>
        </w:tc>
        <w:tc>
          <w:tcPr>
            <w:tcW w:w="12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143"/>
              <w:jc w:val="right"/>
              <w:rPr>
                <w:rFonts w:ascii="Arial" w:hAnsi="Arial" w:cs="Arial"/>
                <w:color w:val="000000"/>
                <w:sz w:val="18"/>
                <w:szCs w:val="18"/>
              </w:rPr>
            </w:pPr>
            <w:r w:rsidRPr="004E7D7A">
              <w:rPr>
                <w:rFonts w:ascii="Arial" w:hAnsi="Arial" w:cs="Arial"/>
                <w:color w:val="000000"/>
                <w:sz w:val="18"/>
                <w:szCs w:val="18"/>
              </w:rPr>
              <w:t>51</w:t>
            </w:r>
            <w:r>
              <w:rPr>
                <w:rFonts w:ascii="Arial" w:hAnsi="Arial" w:cs="Arial"/>
                <w:color w:val="000000"/>
                <w:sz w:val="18"/>
                <w:szCs w:val="18"/>
              </w:rPr>
              <w:t>.</w:t>
            </w:r>
            <w:r w:rsidRPr="004E7D7A">
              <w:rPr>
                <w:rFonts w:ascii="Arial" w:hAnsi="Arial" w:cs="Arial"/>
                <w:color w:val="000000"/>
                <w:sz w:val="18"/>
                <w:szCs w:val="18"/>
              </w:rPr>
              <w:t>505</w:t>
            </w:r>
          </w:p>
        </w:tc>
      </w:tr>
      <w:tr w:rsidR="00EF4662" w:rsidRPr="004E7D7A" w:rsidTr="00E66CCF">
        <w:tc>
          <w:tcPr>
            <w:tcW w:w="841" w:type="dxa"/>
            <w:vMerge/>
            <w:tcBorders>
              <w:top w:val="nil"/>
              <w:left w:val="single" w:sz="8" w:space="0" w:color="000000"/>
              <w:bottom w:val="single" w:sz="8" w:space="0" w:color="000000"/>
              <w:right w:val="single" w:sz="4" w:space="0" w:color="auto"/>
            </w:tcBorders>
            <w:vAlign w:val="center"/>
          </w:tcPr>
          <w:p w:rsidR="00EF4662" w:rsidRPr="004E7D7A" w:rsidRDefault="00EF4662" w:rsidP="003F47F7">
            <w:pPr>
              <w:rPr>
                <w:rFonts w:ascii="Arial" w:hAnsi="Arial" w:cs="Arial"/>
                <w:color w:val="000000"/>
                <w:sz w:val="18"/>
                <w:szCs w:val="18"/>
              </w:rPr>
            </w:pPr>
          </w:p>
        </w:tc>
        <w:tc>
          <w:tcPr>
            <w:tcW w:w="2768" w:type="dxa"/>
            <w:tcBorders>
              <w:top w:val="single" w:sz="4" w:space="0" w:color="auto"/>
              <w:left w:val="single" w:sz="4" w:space="0" w:color="auto"/>
              <w:bottom w:val="single" w:sz="4" w:space="0" w:color="auto"/>
              <w:right w:val="single" w:sz="4" w:space="0" w:color="auto"/>
            </w:tcBorders>
            <w:shd w:val="clear" w:color="auto" w:fill="FFFFFF"/>
          </w:tcPr>
          <w:p w:rsidR="00EF4662" w:rsidRPr="004E7D7A" w:rsidRDefault="00EF4662" w:rsidP="003F47F7">
            <w:pPr>
              <w:rPr>
                <w:rFonts w:ascii="Arial" w:hAnsi="Arial" w:cs="Arial"/>
                <w:color w:val="000000"/>
                <w:sz w:val="18"/>
                <w:szCs w:val="18"/>
              </w:rPr>
            </w:pPr>
            <w:r w:rsidRPr="004E7D7A">
              <w:rPr>
                <w:rFonts w:ascii="Arial" w:hAnsi="Arial" w:cs="Arial"/>
                <w:color w:val="000000"/>
                <w:sz w:val="18"/>
                <w:szCs w:val="18"/>
              </w:rPr>
              <w:t>Sint-Pieters-Woluwe</w:t>
            </w:r>
          </w:p>
        </w:tc>
        <w:tc>
          <w:tcPr>
            <w:tcW w:w="18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522"/>
              <w:jc w:val="right"/>
              <w:rPr>
                <w:rFonts w:ascii="Arial" w:hAnsi="Arial" w:cs="Arial"/>
                <w:color w:val="000000"/>
                <w:sz w:val="18"/>
                <w:szCs w:val="18"/>
              </w:rPr>
            </w:pPr>
            <w:r w:rsidRPr="004E7D7A">
              <w:rPr>
                <w:rFonts w:ascii="Arial" w:hAnsi="Arial" w:cs="Arial"/>
                <w:color w:val="000000"/>
                <w:sz w:val="18"/>
                <w:szCs w:val="18"/>
              </w:rPr>
              <w:t>22</w:t>
            </w:r>
            <w:r>
              <w:rPr>
                <w:rFonts w:ascii="Arial" w:hAnsi="Arial" w:cs="Arial"/>
                <w:color w:val="000000"/>
                <w:sz w:val="18"/>
                <w:szCs w:val="18"/>
              </w:rPr>
              <w:t>.</w:t>
            </w:r>
            <w:r w:rsidRPr="004E7D7A">
              <w:rPr>
                <w:rFonts w:ascii="Arial" w:hAnsi="Arial" w:cs="Arial"/>
                <w:color w:val="000000"/>
                <w:sz w:val="18"/>
                <w:szCs w:val="18"/>
              </w:rPr>
              <w:t>527</w:t>
            </w:r>
          </w:p>
        </w:tc>
        <w:tc>
          <w:tcPr>
            <w:tcW w:w="18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437"/>
              <w:jc w:val="right"/>
              <w:rPr>
                <w:rFonts w:ascii="Arial" w:hAnsi="Arial" w:cs="Arial"/>
                <w:color w:val="000000"/>
                <w:sz w:val="18"/>
                <w:szCs w:val="18"/>
              </w:rPr>
            </w:pPr>
            <w:r w:rsidRPr="004E7D7A">
              <w:rPr>
                <w:rFonts w:ascii="Arial" w:hAnsi="Arial" w:cs="Arial"/>
                <w:color w:val="000000"/>
                <w:sz w:val="18"/>
                <w:szCs w:val="18"/>
              </w:rPr>
              <w:t>16</w:t>
            </w:r>
            <w:r>
              <w:rPr>
                <w:rFonts w:ascii="Arial" w:hAnsi="Arial" w:cs="Arial"/>
                <w:color w:val="000000"/>
                <w:sz w:val="18"/>
                <w:szCs w:val="18"/>
              </w:rPr>
              <w:t>.</w:t>
            </w:r>
            <w:r w:rsidRPr="004E7D7A">
              <w:rPr>
                <w:rFonts w:ascii="Arial" w:hAnsi="Arial" w:cs="Arial"/>
                <w:color w:val="000000"/>
                <w:sz w:val="18"/>
                <w:szCs w:val="18"/>
              </w:rPr>
              <w:t>964</w:t>
            </w:r>
          </w:p>
        </w:tc>
        <w:tc>
          <w:tcPr>
            <w:tcW w:w="12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4662" w:rsidRPr="004E7D7A" w:rsidRDefault="00EF4662" w:rsidP="00EF4662">
            <w:pPr>
              <w:ind w:right="143"/>
              <w:jc w:val="right"/>
              <w:rPr>
                <w:rFonts w:ascii="Arial" w:hAnsi="Arial" w:cs="Arial"/>
                <w:color w:val="000000"/>
                <w:sz w:val="18"/>
                <w:szCs w:val="18"/>
              </w:rPr>
            </w:pPr>
            <w:r w:rsidRPr="004E7D7A">
              <w:rPr>
                <w:rFonts w:ascii="Arial" w:hAnsi="Arial" w:cs="Arial"/>
                <w:color w:val="000000"/>
                <w:sz w:val="18"/>
                <w:szCs w:val="18"/>
              </w:rPr>
              <w:t>39</w:t>
            </w:r>
            <w:r>
              <w:rPr>
                <w:rFonts w:ascii="Arial" w:hAnsi="Arial" w:cs="Arial"/>
                <w:color w:val="000000"/>
                <w:sz w:val="18"/>
                <w:szCs w:val="18"/>
              </w:rPr>
              <w:t>.</w:t>
            </w:r>
            <w:r w:rsidRPr="004E7D7A">
              <w:rPr>
                <w:rFonts w:ascii="Arial" w:hAnsi="Arial" w:cs="Arial"/>
                <w:color w:val="000000"/>
                <w:sz w:val="18"/>
                <w:szCs w:val="18"/>
              </w:rPr>
              <w:t>491</w:t>
            </w:r>
          </w:p>
        </w:tc>
      </w:tr>
      <w:tr w:rsidR="00EF4662" w:rsidRPr="004E7D7A" w:rsidTr="00E66CCF">
        <w:tc>
          <w:tcPr>
            <w:tcW w:w="841" w:type="dxa"/>
            <w:vMerge/>
            <w:tcBorders>
              <w:top w:val="nil"/>
              <w:left w:val="single" w:sz="8" w:space="0" w:color="000000"/>
              <w:bottom w:val="single" w:sz="8" w:space="0" w:color="000000"/>
              <w:right w:val="nil"/>
            </w:tcBorders>
            <w:vAlign w:val="center"/>
          </w:tcPr>
          <w:p w:rsidR="00EF4662" w:rsidRPr="004E7D7A" w:rsidRDefault="00EF4662" w:rsidP="003F47F7">
            <w:pPr>
              <w:rPr>
                <w:rFonts w:ascii="Arial" w:hAnsi="Arial" w:cs="Arial"/>
                <w:color w:val="000000"/>
                <w:sz w:val="18"/>
                <w:szCs w:val="18"/>
              </w:rPr>
            </w:pPr>
          </w:p>
        </w:tc>
        <w:tc>
          <w:tcPr>
            <w:tcW w:w="2768" w:type="dxa"/>
            <w:tcBorders>
              <w:top w:val="single" w:sz="4" w:space="0" w:color="auto"/>
              <w:left w:val="nil"/>
              <w:bottom w:val="single" w:sz="8" w:space="0" w:color="000000"/>
              <w:right w:val="single" w:sz="8" w:space="0" w:color="000000"/>
            </w:tcBorders>
            <w:shd w:val="clear" w:color="auto" w:fill="FFFFFF"/>
          </w:tcPr>
          <w:p w:rsidR="00EF4662" w:rsidRPr="004E7D7A" w:rsidRDefault="00EF4662" w:rsidP="003F47F7">
            <w:pPr>
              <w:rPr>
                <w:rFonts w:ascii="Arial" w:hAnsi="Arial" w:cs="Arial"/>
                <w:color w:val="000000"/>
                <w:sz w:val="18"/>
                <w:szCs w:val="18"/>
              </w:rPr>
            </w:pPr>
            <w:r w:rsidRPr="00966D50">
              <w:rPr>
                <w:rFonts w:ascii="Arial" w:hAnsi="Arial" w:cs="Arial"/>
                <w:b/>
                <w:color w:val="000000"/>
                <w:sz w:val="18"/>
                <w:szCs w:val="18"/>
              </w:rPr>
              <w:t>Totaal</w:t>
            </w:r>
          </w:p>
        </w:tc>
        <w:tc>
          <w:tcPr>
            <w:tcW w:w="1867" w:type="dxa"/>
            <w:tcBorders>
              <w:top w:val="single" w:sz="4" w:space="0" w:color="auto"/>
              <w:left w:val="nil"/>
              <w:bottom w:val="single" w:sz="8" w:space="0" w:color="000000"/>
              <w:right w:val="single" w:sz="4" w:space="0" w:color="000000"/>
            </w:tcBorders>
            <w:shd w:val="clear" w:color="auto" w:fill="FFFFFF"/>
            <w:noWrap/>
            <w:vAlign w:val="center"/>
          </w:tcPr>
          <w:p w:rsidR="00EF4662" w:rsidRPr="004E7D7A" w:rsidRDefault="00EF4662" w:rsidP="00EF4662">
            <w:pPr>
              <w:ind w:right="522"/>
              <w:jc w:val="right"/>
              <w:rPr>
                <w:rFonts w:ascii="Arial" w:hAnsi="Arial" w:cs="Arial"/>
                <w:color w:val="000000"/>
                <w:sz w:val="18"/>
                <w:szCs w:val="18"/>
              </w:rPr>
            </w:pPr>
            <w:r w:rsidRPr="004E7D7A">
              <w:rPr>
                <w:rFonts w:ascii="Arial" w:hAnsi="Arial" w:cs="Arial"/>
                <w:color w:val="000000"/>
                <w:sz w:val="18"/>
                <w:szCs w:val="18"/>
              </w:rPr>
              <w:t>429</w:t>
            </w:r>
            <w:r>
              <w:rPr>
                <w:rFonts w:ascii="Arial" w:hAnsi="Arial" w:cs="Arial"/>
                <w:color w:val="000000"/>
                <w:sz w:val="18"/>
                <w:szCs w:val="18"/>
              </w:rPr>
              <w:t>.</w:t>
            </w:r>
            <w:r w:rsidRPr="004E7D7A">
              <w:rPr>
                <w:rFonts w:ascii="Arial" w:hAnsi="Arial" w:cs="Arial"/>
                <w:color w:val="000000"/>
                <w:sz w:val="18"/>
                <w:szCs w:val="18"/>
              </w:rPr>
              <w:t>521</w:t>
            </w:r>
          </w:p>
        </w:tc>
        <w:tc>
          <w:tcPr>
            <w:tcW w:w="1800" w:type="dxa"/>
            <w:tcBorders>
              <w:top w:val="single" w:sz="4" w:space="0" w:color="auto"/>
              <w:left w:val="nil"/>
              <w:bottom w:val="single" w:sz="8" w:space="0" w:color="000000"/>
              <w:right w:val="single" w:sz="4" w:space="0" w:color="000000"/>
            </w:tcBorders>
            <w:shd w:val="clear" w:color="auto" w:fill="FFFFFF"/>
            <w:noWrap/>
            <w:vAlign w:val="center"/>
          </w:tcPr>
          <w:p w:rsidR="00EF4662" w:rsidRPr="004E7D7A" w:rsidRDefault="00EF4662" w:rsidP="00EF4662">
            <w:pPr>
              <w:ind w:right="437"/>
              <w:jc w:val="right"/>
              <w:rPr>
                <w:rFonts w:ascii="Arial" w:hAnsi="Arial" w:cs="Arial"/>
                <w:color w:val="000000"/>
                <w:sz w:val="18"/>
                <w:szCs w:val="18"/>
              </w:rPr>
            </w:pPr>
            <w:r w:rsidRPr="004E7D7A">
              <w:rPr>
                <w:rFonts w:ascii="Arial" w:hAnsi="Arial" w:cs="Arial"/>
                <w:color w:val="000000"/>
                <w:sz w:val="18"/>
                <w:szCs w:val="18"/>
              </w:rPr>
              <w:t>688</w:t>
            </w:r>
            <w:r>
              <w:rPr>
                <w:rFonts w:ascii="Arial" w:hAnsi="Arial" w:cs="Arial"/>
                <w:color w:val="000000"/>
                <w:sz w:val="18"/>
                <w:szCs w:val="18"/>
              </w:rPr>
              <w:t>.</w:t>
            </w:r>
            <w:r w:rsidRPr="004E7D7A">
              <w:rPr>
                <w:rFonts w:ascii="Arial" w:hAnsi="Arial" w:cs="Arial"/>
                <w:color w:val="000000"/>
                <w:sz w:val="18"/>
                <w:szCs w:val="18"/>
              </w:rPr>
              <w:t>677</w:t>
            </w:r>
          </w:p>
        </w:tc>
        <w:tc>
          <w:tcPr>
            <w:tcW w:w="1294" w:type="dxa"/>
            <w:tcBorders>
              <w:top w:val="single" w:sz="4" w:space="0" w:color="auto"/>
              <w:left w:val="nil"/>
              <w:bottom w:val="single" w:sz="8" w:space="0" w:color="000000"/>
              <w:right w:val="single" w:sz="8" w:space="0" w:color="000000"/>
            </w:tcBorders>
            <w:shd w:val="clear" w:color="auto" w:fill="FFFFFF"/>
            <w:noWrap/>
            <w:vAlign w:val="center"/>
          </w:tcPr>
          <w:p w:rsidR="00EF4662" w:rsidRPr="004E7D7A" w:rsidRDefault="00EF4662" w:rsidP="00EF4662">
            <w:pPr>
              <w:ind w:right="143"/>
              <w:jc w:val="right"/>
              <w:rPr>
                <w:rFonts w:ascii="Arial" w:hAnsi="Arial" w:cs="Arial"/>
                <w:color w:val="000000"/>
                <w:sz w:val="18"/>
                <w:szCs w:val="18"/>
              </w:rPr>
            </w:pPr>
            <w:r w:rsidRPr="004E7D7A">
              <w:rPr>
                <w:rFonts w:ascii="Arial" w:hAnsi="Arial" w:cs="Arial"/>
                <w:color w:val="000000"/>
                <w:sz w:val="18"/>
                <w:szCs w:val="18"/>
              </w:rPr>
              <w:t>1</w:t>
            </w:r>
            <w:r>
              <w:rPr>
                <w:rFonts w:ascii="Arial" w:hAnsi="Arial" w:cs="Arial"/>
                <w:color w:val="000000"/>
                <w:sz w:val="18"/>
                <w:szCs w:val="18"/>
              </w:rPr>
              <w:t>.</w:t>
            </w:r>
            <w:r w:rsidRPr="004E7D7A">
              <w:rPr>
                <w:rFonts w:ascii="Arial" w:hAnsi="Arial" w:cs="Arial"/>
                <w:color w:val="000000"/>
                <w:sz w:val="18"/>
                <w:szCs w:val="18"/>
              </w:rPr>
              <w:t>118</w:t>
            </w:r>
            <w:r>
              <w:rPr>
                <w:rFonts w:ascii="Arial" w:hAnsi="Arial" w:cs="Arial"/>
                <w:color w:val="000000"/>
                <w:sz w:val="18"/>
                <w:szCs w:val="18"/>
              </w:rPr>
              <w:t>.</w:t>
            </w:r>
            <w:r w:rsidRPr="004E7D7A">
              <w:rPr>
                <w:rFonts w:ascii="Arial" w:hAnsi="Arial" w:cs="Arial"/>
                <w:color w:val="000000"/>
                <w:sz w:val="18"/>
                <w:szCs w:val="18"/>
              </w:rPr>
              <w:t>198</w:t>
            </w:r>
          </w:p>
        </w:tc>
      </w:tr>
    </w:tbl>
    <w:p w:rsidR="00EF4662" w:rsidRDefault="00EF4662" w:rsidP="00BB24D0">
      <w:pPr>
        <w:jc w:val="both"/>
      </w:pPr>
    </w:p>
    <w:p w:rsidR="00EF4662" w:rsidRPr="000720DD" w:rsidRDefault="00EF4662" w:rsidP="00BB24D0">
      <w:pPr>
        <w:pStyle w:val="SVTitel"/>
        <w:rPr>
          <w:i w:val="0"/>
        </w:rPr>
      </w:pPr>
    </w:p>
    <w:p w:rsidR="00EF4662" w:rsidRPr="00E54CE4" w:rsidRDefault="00EF4662" w:rsidP="00BB24D0">
      <w:pPr>
        <w:ind w:left="708" w:hanging="708"/>
        <w:jc w:val="both"/>
      </w:pPr>
      <w:r w:rsidRPr="00E54CE4">
        <w:t>4.</w:t>
      </w:r>
      <w:r>
        <w:tab/>
      </w:r>
      <w:r w:rsidRPr="00E54CE4">
        <w:t xml:space="preserve">Wat </w:t>
      </w:r>
      <w:r w:rsidRPr="00EF4662">
        <w:rPr>
          <w:b/>
        </w:rPr>
        <w:t>inburgering</w:t>
      </w:r>
      <w:r w:rsidRPr="00E54CE4">
        <w:t xml:space="preserve"> betreft is dit niet te bepalen, aangezien we (zie punt 3 a) geen zicht hebben op het totaal aantal potentiële meerderjarige inburgeraars en minderjarige nieuwkomers in het Brusselse Hoofdstedelijke Gewest.</w:t>
      </w:r>
    </w:p>
    <w:p w:rsidR="00EF4662" w:rsidRPr="00E54CE4" w:rsidRDefault="00EF4662" w:rsidP="00BB24D0">
      <w:pPr>
        <w:ind w:left="708" w:firstLine="1"/>
        <w:jc w:val="both"/>
      </w:pPr>
    </w:p>
    <w:p w:rsidR="00EF4662" w:rsidRPr="00E54CE4" w:rsidRDefault="00EF4662" w:rsidP="00BB24D0">
      <w:pPr>
        <w:ind w:left="708" w:firstLine="1"/>
        <w:jc w:val="both"/>
      </w:pPr>
      <w:r w:rsidRPr="00E54CE4">
        <w:t xml:space="preserve">Ook wat </w:t>
      </w:r>
      <w:r w:rsidRPr="00EF4662">
        <w:rPr>
          <w:b/>
        </w:rPr>
        <w:t>integratie</w:t>
      </w:r>
      <w:r w:rsidRPr="00E54CE4">
        <w:t xml:space="preserve"> betreft, is dit moeilijk vast te stellen. Het integratiebeleid is in de eerste plaats gericht op de samenleving als geheel, en niet op individuele personen. Doelstelling is voornamelijk het creëren van een betere toegankelijkheid van diensten en voorzieningen en het realiseren van een grotere sociale cohesie. Diensten en voorzieningen worden ondersteund om de drempels weg te werken teneinde gelijke kansen voor alle burgers te garanderen. Daarnaast worden ten aanzien van de gehele samenleving initiatieven gestimuleerd om het ‘samenleven in diversiteit’ te verbeteren (zie artikel 4 van het decreet van 28 april 1998). Specifiek voor wat het tweetalig gebied Brussel-Hoofdstad betreft, koos de Vlaamse overheid ervoor om de regiefunctie voor het integratiebeleid toe te vertrouwen aan de Vlaamse Gemeenschaps</w:t>
      </w:r>
      <w:r>
        <w:t>-</w:t>
      </w:r>
      <w:r w:rsidRPr="00E54CE4">
        <w:t>commissie.</w:t>
      </w:r>
    </w:p>
    <w:p w:rsidR="00EF4662" w:rsidRPr="00E54CE4" w:rsidRDefault="00EF4662" w:rsidP="00BB24D0">
      <w:pPr>
        <w:ind w:left="708" w:hanging="708"/>
        <w:jc w:val="both"/>
      </w:pPr>
    </w:p>
    <w:p w:rsidR="00EF4662" w:rsidRDefault="00EF4662">
      <w:r>
        <w:br w:type="page"/>
      </w:r>
    </w:p>
    <w:p w:rsidR="00EF4662" w:rsidRDefault="00EF4662" w:rsidP="00EF4662">
      <w:pPr>
        <w:ind w:left="708" w:hanging="708"/>
      </w:pPr>
    </w:p>
    <w:p w:rsidR="00EF4662" w:rsidRPr="001379AC" w:rsidRDefault="00EF4662" w:rsidP="00BB24D0">
      <w:pPr>
        <w:ind w:left="708" w:hanging="708"/>
        <w:jc w:val="both"/>
        <w:rPr>
          <w:i/>
          <w:u w:val="single"/>
        </w:rPr>
      </w:pPr>
      <w:r w:rsidRPr="001379AC">
        <w:rPr>
          <w:rFonts w:ascii="Times New Roman Vet" w:hAnsi="Times New Roman Vet"/>
          <w:b/>
          <w:i/>
          <w:u w:val="single"/>
        </w:rPr>
        <w:t>Stedenbeleid (minister Van den Bossche)</w:t>
      </w:r>
    </w:p>
    <w:p w:rsidR="00EF4662" w:rsidRDefault="00EF4662" w:rsidP="00BB24D0">
      <w:pPr>
        <w:ind w:left="708" w:hanging="708"/>
        <w:jc w:val="both"/>
      </w:pPr>
    </w:p>
    <w:p w:rsidR="00EF4662" w:rsidRDefault="00EF4662" w:rsidP="00BB24D0">
      <w:pPr>
        <w:ind w:left="708" w:hanging="708"/>
        <w:jc w:val="both"/>
      </w:pPr>
    </w:p>
    <w:p w:rsidR="00EF4662" w:rsidRPr="003A6075" w:rsidRDefault="00EF4662" w:rsidP="00BB24D0">
      <w:pPr>
        <w:ind w:left="708" w:hanging="708"/>
        <w:jc w:val="both"/>
      </w:pPr>
      <w:r>
        <w:t>1.</w:t>
      </w:r>
      <w:r w:rsidRPr="003A6075">
        <w:t>a)</w:t>
      </w:r>
      <w:r>
        <w:tab/>
      </w:r>
      <w:r w:rsidRPr="003A6075">
        <w:t>In het kader van het Vlaams stedenbeleid, een gemeenschaps- en gewestaangelegenheid,  zijn de volgende bedragen uitgetrokken ten behoeve van Brussel</w:t>
      </w:r>
      <w:r>
        <w:t xml:space="preserve"> </w:t>
      </w:r>
      <w:r w:rsidRPr="003A6075">
        <w:t>:</w:t>
      </w:r>
    </w:p>
    <w:p w:rsidR="00E66CCF" w:rsidRDefault="00E66CCF" w:rsidP="00EF4662"/>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079"/>
        <w:gridCol w:w="2079"/>
        <w:gridCol w:w="2079"/>
      </w:tblGrid>
      <w:tr w:rsidR="00E66CCF" w:rsidRPr="0094658E" w:rsidTr="00E66CCF">
        <w:trPr>
          <w:trHeight w:val="397"/>
        </w:trPr>
        <w:tc>
          <w:tcPr>
            <w:tcW w:w="2268" w:type="dxa"/>
            <w:shd w:val="clear" w:color="auto" w:fill="auto"/>
            <w:vAlign w:val="center"/>
          </w:tcPr>
          <w:p w:rsidR="00E66CCF" w:rsidRPr="0094658E" w:rsidRDefault="00E66CCF" w:rsidP="00E66CCF">
            <w:pPr>
              <w:jc w:val="center"/>
            </w:pPr>
          </w:p>
        </w:tc>
        <w:tc>
          <w:tcPr>
            <w:tcW w:w="2079" w:type="dxa"/>
            <w:shd w:val="clear" w:color="auto" w:fill="auto"/>
            <w:vAlign w:val="center"/>
          </w:tcPr>
          <w:p w:rsidR="00E66CCF" w:rsidRPr="0094658E" w:rsidRDefault="00E66CCF" w:rsidP="00E66CCF">
            <w:pPr>
              <w:jc w:val="center"/>
            </w:pPr>
            <w:r w:rsidRPr="0094658E">
              <w:rPr>
                <w:szCs w:val="22"/>
              </w:rPr>
              <w:t>2009</w:t>
            </w:r>
          </w:p>
        </w:tc>
        <w:tc>
          <w:tcPr>
            <w:tcW w:w="2079" w:type="dxa"/>
            <w:shd w:val="clear" w:color="auto" w:fill="auto"/>
            <w:vAlign w:val="center"/>
          </w:tcPr>
          <w:p w:rsidR="00E66CCF" w:rsidRPr="0094658E" w:rsidRDefault="00E66CCF" w:rsidP="00E66CCF">
            <w:pPr>
              <w:jc w:val="center"/>
            </w:pPr>
            <w:r w:rsidRPr="0094658E">
              <w:rPr>
                <w:szCs w:val="22"/>
              </w:rPr>
              <w:t>2010</w:t>
            </w:r>
          </w:p>
        </w:tc>
        <w:tc>
          <w:tcPr>
            <w:tcW w:w="2079" w:type="dxa"/>
            <w:shd w:val="clear" w:color="auto" w:fill="auto"/>
            <w:vAlign w:val="center"/>
          </w:tcPr>
          <w:p w:rsidR="00E66CCF" w:rsidRPr="0094658E" w:rsidRDefault="00E66CCF" w:rsidP="00E66CCF">
            <w:pPr>
              <w:jc w:val="center"/>
            </w:pPr>
            <w:r w:rsidRPr="0094658E">
              <w:rPr>
                <w:szCs w:val="22"/>
              </w:rPr>
              <w:t>2011</w:t>
            </w:r>
          </w:p>
        </w:tc>
      </w:tr>
      <w:tr w:rsidR="00E66CCF" w:rsidRPr="0094658E" w:rsidTr="00E66CCF">
        <w:trPr>
          <w:trHeight w:val="397"/>
        </w:trPr>
        <w:tc>
          <w:tcPr>
            <w:tcW w:w="2268" w:type="dxa"/>
            <w:shd w:val="clear" w:color="auto" w:fill="auto"/>
            <w:vAlign w:val="center"/>
          </w:tcPr>
          <w:p w:rsidR="00E66CCF" w:rsidRPr="0094658E" w:rsidRDefault="00E66CCF" w:rsidP="00E66CCF">
            <w:r w:rsidRPr="0094658E">
              <w:rPr>
                <w:szCs w:val="22"/>
              </w:rPr>
              <w:t>Stedenfonds</w:t>
            </w:r>
          </w:p>
        </w:tc>
        <w:tc>
          <w:tcPr>
            <w:tcW w:w="2079" w:type="dxa"/>
            <w:shd w:val="clear" w:color="auto" w:fill="auto"/>
            <w:vAlign w:val="center"/>
          </w:tcPr>
          <w:p w:rsidR="00E66CCF" w:rsidRPr="00E66CCF" w:rsidRDefault="00E66CCF" w:rsidP="00E66CCF">
            <w:pPr>
              <w:tabs>
                <w:tab w:val="left" w:pos="1735"/>
              </w:tabs>
              <w:ind w:right="318"/>
              <w:jc w:val="right"/>
            </w:pPr>
            <w:r w:rsidRPr="00E66CCF">
              <w:t>12.412.400 euro</w:t>
            </w:r>
          </w:p>
        </w:tc>
        <w:tc>
          <w:tcPr>
            <w:tcW w:w="2079" w:type="dxa"/>
            <w:shd w:val="clear" w:color="auto" w:fill="auto"/>
            <w:vAlign w:val="center"/>
          </w:tcPr>
          <w:p w:rsidR="00E66CCF" w:rsidRPr="00E66CCF" w:rsidRDefault="00E66CCF" w:rsidP="00E66CCF">
            <w:pPr>
              <w:tabs>
                <w:tab w:val="left" w:pos="1735"/>
              </w:tabs>
              <w:ind w:right="318"/>
              <w:jc w:val="right"/>
            </w:pPr>
            <w:r w:rsidRPr="00E66CCF">
              <w:t>12.846.900 euro</w:t>
            </w:r>
          </w:p>
        </w:tc>
        <w:tc>
          <w:tcPr>
            <w:tcW w:w="2079" w:type="dxa"/>
            <w:shd w:val="clear" w:color="auto" w:fill="auto"/>
            <w:vAlign w:val="center"/>
          </w:tcPr>
          <w:p w:rsidR="00E66CCF" w:rsidRPr="00E66CCF" w:rsidRDefault="00E66CCF" w:rsidP="00E66CCF">
            <w:pPr>
              <w:tabs>
                <w:tab w:val="left" w:pos="1735"/>
              </w:tabs>
              <w:ind w:right="318"/>
              <w:jc w:val="right"/>
            </w:pPr>
            <w:r w:rsidRPr="00E66CCF">
              <w:t>13.289.600 euro</w:t>
            </w:r>
          </w:p>
        </w:tc>
      </w:tr>
      <w:tr w:rsidR="00E66CCF" w:rsidRPr="0094658E" w:rsidTr="00E66CCF">
        <w:trPr>
          <w:trHeight w:val="567"/>
        </w:trPr>
        <w:tc>
          <w:tcPr>
            <w:tcW w:w="2268" w:type="dxa"/>
            <w:shd w:val="clear" w:color="auto" w:fill="auto"/>
            <w:vAlign w:val="center"/>
          </w:tcPr>
          <w:p w:rsidR="00E66CCF" w:rsidRPr="0094658E" w:rsidRDefault="00E66CCF" w:rsidP="00E66CCF">
            <w:r>
              <w:rPr>
                <w:szCs w:val="22"/>
              </w:rPr>
              <w:t>Originele en innoverende projecten</w:t>
            </w:r>
          </w:p>
        </w:tc>
        <w:tc>
          <w:tcPr>
            <w:tcW w:w="2079" w:type="dxa"/>
            <w:shd w:val="clear" w:color="auto" w:fill="auto"/>
            <w:vAlign w:val="center"/>
          </w:tcPr>
          <w:p w:rsidR="00E66CCF" w:rsidRPr="00E66CCF" w:rsidRDefault="00E66CCF" w:rsidP="00E66CCF">
            <w:pPr>
              <w:tabs>
                <w:tab w:val="left" w:pos="1735"/>
              </w:tabs>
              <w:ind w:right="318"/>
              <w:jc w:val="right"/>
            </w:pPr>
            <w:r w:rsidRPr="00E66CCF">
              <w:t>0 euro</w:t>
            </w:r>
          </w:p>
        </w:tc>
        <w:tc>
          <w:tcPr>
            <w:tcW w:w="2079" w:type="dxa"/>
            <w:shd w:val="clear" w:color="auto" w:fill="auto"/>
            <w:vAlign w:val="center"/>
          </w:tcPr>
          <w:p w:rsidR="00E66CCF" w:rsidRPr="00E66CCF" w:rsidRDefault="00E66CCF" w:rsidP="00E66CCF">
            <w:pPr>
              <w:tabs>
                <w:tab w:val="left" w:pos="1735"/>
              </w:tabs>
              <w:ind w:right="318"/>
              <w:jc w:val="right"/>
            </w:pPr>
            <w:r w:rsidRPr="00E66CCF">
              <w:t>0 euro</w:t>
            </w:r>
          </w:p>
        </w:tc>
        <w:tc>
          <w:tcPr>
            <w:tcW w:w="2079" w:type="dxa"/>
            <w:shd w:val="clear" w:color="auto" w:fill="auto"/>
            <w:vAlign w:val="center"/>
          </w:tcPr>
          <w:p w:rsidR="00E66CCF" w:rsidRPr="00E66CCF" w:rsidRDefault="00E66CCF" w:rsidP="00E66CCF">
            <w:pPr>
              <w:tabs>
                <w:tab w:val="left" w:pos="1735"/>
              </w:tabs>
              <w:ind w:right="318"/>
              <w:jc w:val="right"/>
            </w:pPr>
            <w:r w:rsidRPr="00E66CCF">
              <w:t>36.320 euro</w:t>
            </w:r>
          </w:p>
        </w:tc>
      </w:tr>
      <w:tr w:rsidR="00E66CCF" w:rsidRPr="0094658E" w:rsidTr="00E66CCF">
        <w:trPr>
          <w:trHeight w:val="397"/>
        </w:trPr>
        <w:tc>
          <w:tcPr>
            <w:tcW w:w="2268" w:type="dxa"/>
            <w:shd w:val="clear" w:color="auto" w:fill="auto"/>
            <w:vAlign w:val="center"/>
          </w:tcPr>
          <w:p w:rsidR="00E66CCF" w:rsidRDefault="00E66CCF" w:rsidP="00E66CCF">
            <w:r>
              <w:rPr>
                <w:szCs w:val="22"/>
              </w:rPr>
              <w:t>Thuis in de stadprijs</w:t>
            </w:r>
          </w:p>
        </w:tc>
        <w:tc>
          <w:tcPr>
            <w:tcW w:w="2079" w:type="dxa"/>
            <w:shd w:val="clear" w:color="auto" w:fill="auto"/>
            <w:vAlign w:val="center"/>
          </w:tcPr>
          <w:p w:rsidR="00E66CCF" w:rsidRPr="00E66CCF" w:rsidRDefault="00E66CCF" w:rsidP="00E66CCF">
            <w:pPr>
              <w:tabs>
                <w:tab w:val="left" w:pos="1735"/>
              </w:tabs>
              <w:ind w:right="318"/>
              <w:jc w:val="right"/>
            </w:pPr>
            <w:r w:rsidRPr="00E66CCF">
              <w:t>0 euro</w:t>
            </w:r>
          </w:p>
        </w:tc>
        <w:tc>
          <w:tcPr>
            <w:tcW w:w="2079" w:type="dxa"/>
            <w:shd w:val="clear" w:color="auto" w:fill="auto"/>
            <w:vAlign w:val="center"/>
          </w:tcPr>
          <w:p w:rsidR="00E66CCF" w:rsidRPr="00E66CCF" w:rsidRDefault="00E66CCF" w:rsidP="00E66CCF">
            <w:pPr>
              <w:tabs>
                <w:tab w:val="left" w:pos="1735"/>
              </w:tabs>
              <w:ind w:right="318"/>
              <w:jc w:val="right"/>
            </w:pPr>
            <w:r w:rsidRPr="00E66CCF">
              <w:t>0 euro</w:t>
            </w:r>
          </w:p>
        </w:tc>
        <w:tc>
          <w:tcPr>
            <w:tcW w:w="2079" w:type="dxa"/>
            <w:shd w:val="clear" w:color="auto" w:fill="auto"/>
            <w:vAlign w:val="center"/>
          </w:tcPr>
          <w:p w:rsidR="00E66CCF" w:rsidRPr="00E66CCF" w:rsidRDefault="00E66CCF" w:rsidP="00E66CCF">
            <w:pPr>
              <w:tabs>
                <w:tab w:val="left" w:pos="1735"/>
              </w:tabs>
              <w:ind w:right="318"/>
              <w:jc w:val="right"/>
            </w:pPr>
            <w:r w:rsidRPr="00E66CCF">
              <w:t>25.000 euro</w:t>
            </w:r>
          </w:p>
        </w:tc>
      </w:tr>
    </w:tbl>
    <w:p w:rsidR="00E66CCF" w:rsidRPr="00765836" w:rsidRDefault="00E66CCF" w:rsidP="00BB24D0">
      <w:pPr>
        <w:jc w:val="both"/>
        <w:rPr>
          <w:szCs w:val="22"/>
        </w:rPr>
      </w:pPr>
    </w:p>
    <w:p w:rsidR="00EF4662" w:rsidRPr="003A6075" w:rsidRDefault="00EF4662" w:rsidP="00BB24D0">
      <w:pPr>
        <w:ind w:left="708" w:hanging="708"/>
        <w:jc w:val="both"/>
      </w:pPr>
      <w:r>
        <w:t>1.b</w:t>
      </w:r>
      <w:r w:rsidRPr="003A6075">
        <w:t>)</w:t>
      </w:r>
      <w:r>
        <w:tab/>
      </w:r>
      <w:r w:rsidRPr="003A6075">
        <w:t xml:space="preserve">In het kader </w:t>
      </w:r>
      <w:r>
        <w:t>v</w:t>
      </w:r>
      <w:r w:rsidRPr="003A6075">
        <w:t>an het Vlaams stedenbeleid waren de volgende bedragen beschikbaar ten behoeve van Brussel en Vlaanderen samen</w:t>
      </w:r>
      <w:r>
        <w:t xml:space="preserve"> </w:t>
      </w:r>
      <w:r w:rsidRPr="003A6075">
        <w:t>:</w:t>
      </w:r>
    </w:p>
    <w:p w:rsidR="00EF4662" w:rsidRPr="003A6075" w:rsidRDefault="00EF4662" w:rsidP="00BB24D0">
      <w:pPr>
        <w:jc w:val="both"/>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079"/>
        <w:gridCol w:w="2079"/>
        <w:gridCol w:w="2079"/>
      </w:tblGrid>
      <w:tr w:rsidR="00E66CCF" w:rsidRPr="0094658E" w:rsidTr="00E66CCF">
        <w:trPr>
          <w:trHeight w:val="397"/>
        </w:trPr>
        <w:tc>
          <w:tcPr>
            <w:tcW w:w="2268" w:type="dxa"/>
            <w:shd w:val="clear" w:color="auto" w:fill="auto"/>
            <w:vAlign w:val="center"/>
          </w:tcPr>
          <w:p w:rsidR="00E66CCF" w:rsidRPr="0094658E" w:rsidRDefault="00E66CCF" w:rsidP="003F47F7">
            <w:pPr>
              <w:jc w:val="center"/>
            </w:pPr>
          </w:p>
        </w:tc>
        <w:tc>
          <w:tcPr>
            <w:tcW w:w="2079" w:type="dxa"/>
            <w:shd w:val="clear" w:color="auto" w:fill="auto"/>
            <w:vAlign w:val="center"/>
          </w:tcPr>
          <w:p w:rsidR="00E66CCF" w:rsidRPr="0094658E" w:rsidRDefault="00E66CCF" w:rsidP="003F47F7">
            <w:pPr>
              <w:jc w:val="center"/>
            </w:pPr>
            <w:r w:rsidRPr="0094658E">
              <w:rPr>
                <w:szCs w:val="22"/>
              </w:rPr>
              <w:t>2009</w:t>
            </w:r>
          </w:p>
        </w:tc>
        <w:tc>
          <w:tcPr>
            <w:tcW w:w="2079" w:type="dxa"/>
            <w:shd w:val="clear" w:color="auto" w:fill="auto"/>
            <w:vAlign w:val="center"/>
          </w:tcPr>
          <w:p w:rsidR="00E66CCF" w:rsidRPr="0094658E" w:rsidRDefault="00E66CCF" w:rsidP="003F47F7">
            <w:pPr>
              <w:jc w:val="center"/>
            </w:pPr>
            <w:r w:rsidRPr="0094658E">
              <w:rPr>
                <w:szCs w:val="22"/>
              </w:rPr>
              <w:t>2010</w:t>
            </w:r>
          </w:p>
        </w:tc>
        <w:tc>
          <w:tcPr>
            <w:tcW w:w="2079" w:type="dxa"/>
            <w:shd w:val="clear" w:color="auto" w:fill="auto"/>
            <w:vAlign w:val="center"/>
          </w:tcPr>
          <w:p w:rsidR="00E66CCF" w:rsidRPr="0094658E" w:rsidRDefault="00E66CCF" w:rsidP="003F47F7">
            <w:pPr>
              <w:jc w:val="center"/>
            </w:pPr>
            <w:r w:rsidRPr="0094658E">
              <w:rPr>
                <w:szCs w:val="22"/>
              </w:rPr>
              <w:t>2011</w:t>
            </w:r>
          </w:p>
        </w:tc>
      </w:tr>
      <w:tr w:rsidR="00EF4662" w:rsidRPr="00E66CCF" w:rsidTr="00E66CCF">
        <w:trPr>
          <w:trHeight w:val="397"/>
        </w:trPr>
        <w:tc>
          <w:tcPr>
            <w:tcW w:w="2268" w:type="dxa"/>
            <w:shd w:val="clear" w:color="auto" w:fill="auto"/>
            <w:vAlign w:val="center"/>
          </w:tcPr>
          <w:p w:rsidR="00EF4662" w:rsidRPr="00E66CCF" w:rsidRDefault="00EF4662" w:rsidP="00E66CCF">
            <w:r w:rsidRPr="00E66CCF">
              <w:t>Stedenfonds</w:t>
            </w:r>
          </w:p>
        </w:tc>
        <w:tc>
          <w:tcPr>
            <w:tcW w:w="2079" w:type="dxa"/>
            <w:shd w:val="clear" w:color="auto" w:fill="auto"/>
            <w:vAlign w:val="center"/>
          </w:tcPr>
          <w:p w:rsidR="00EF4662" w:rsidRPr="00E66CCF" w:rsidRDefault="00EF4662" w:rsidP="00E66CCF">
            <w:pPr>
              <w:ind w:right="128"/>
              <w:jc w:val="right"/>
            </w:pPr>
            <w:r w:rsidRPr="00E66CCF">
              <w:t>124.124.000 euro</w:t>
            </w:r>
          </w:p>
        </w:tc>
        <w:tc>
          <w:tcPr>
            <w:tcW w:w="2079" w:type="dxa"/>
            <w:shd w:val="clear" w:color="auto" w:fill="auto"/>
            <w:vAlign w:val="center"/>
          </w:tcPr>
          <w:p w:rsidR="00EF4662" w:rsidRPr="00E66CCF" w:rsidRDefault="00EF4662" w:rsidP="00E66CCF">
            <w:pPr>
              <w:ind w:right="223"/>
              <w:jc w:val="right"/>
            </w:pPr>
            <w:r w:rsidRPr="00E66CCF">
              <w:t>127.769.000 euro</w:t>
            </w:r>
          </w:p>
        </w:tc>
        <w:tc>
          <w:tcPr>
            <w:tcW w:w="2079" w:type="dxa"/>
            <w:shd w:val="clear" w:color="auto" w:fill="auto"/>
            <w:vAlign w:val="center"/>
          </w:tcPr>
          <w:p w:rsidR="00EF4662" w:rsidRPr="00E66CCF" w:rsidRDefault="00EF4662" w:rsidP="00E66CCF">
            <w:pPr>
              <w:ind w:right="175"/>
              <w:jc w:val="right"/>
            </w:pPr>
            <w:r w:rsidRPr="00E66CCF">
              <w:t>132.896.000 euro</w:t>
            </w:r>
          </w:p>
        </w:tc>
      </w:tr>
      <w:tr w:rsidR="00EF4662" w:rsidRPr="00E66CCF" w:rsidTr="00E66CCF">
        <w:tc>
          <w:tcPr>
            <w:tcW w:w="2268" w:type="dxa"/>
            <w:shd w:val="clear" w:color="auto" w:fill="auto"/>
            <w:vAlign w:val="center"/>
          </w:tcPr>
          <w:p w:rsidR="00EF4662" w:rsidRPr="00E66CCF" w:rsidRDefault="00EF4662" w:rsidP="00E66CCF">
            <w:r w:rsidRPr="00E66CCF">
              <w:t>Ondersteuning stadsvernieuwings</w:t>
            </w:r>
            <w:r w:rsidR="00E66CCF" w:rsidRPr="00E66CCF">
              <w:t>-p</w:t>
            </w:r>
            <w:r w:rsidRPr="00E66CCF">
              <w:t>rojecten</w:t>
            </w:r>
          </w:p>
        </w:tc>
        <w:tc>
          <w:tcPr>
            <w:tcW w:w="2079" w:type="dxa"/>
            <w:shd w:val="clear" w:color="auto" w:fill="auto"/>
            <w:vAlign w:val="center"/>
          </w:tcPr>
          <w:p w:rsidR="00EF4662" w:rsidRPr="00E66CCF" w:rsidRDefault="00EF4662" w:rsidP="00E66CCF">
            <w:pPr>
              <w:ind w:right="128"/>
              <w:jc w:val="right"/>
            </w:pPr>
            <w:r w:rsidRPr="00E66CCF">
              <w:t>12.855.000 euro</w:t>
            </w:r>
          </w:p>
        </w:tc>
        <w:tc>
          <w:tcPr>
            <w:tcW w:w="2079" w:type="dxa"/>
            <w:shd w:val="clear" w:color="auto" w:fill="auto"/>
            <w:vAlign w:val="center"/>
          </w:tcPr>
          <w:p w:rsidR="00EF4662" w:rsidRPr="00E66CCF" w:rsidRDefault="00EF4662" w:rsidP="00E66CCF">
            <w:pPr>
              <w:ind w:right="223"/>
              <w:jc w:val="right"/>
            </w:pPr>
            <w:r w:rsidRPr="00E66CCF">
              <w:t>12.538.000 euro</w:t>
            </w:r>
          </w:p>
        </w:tc>
        <w:tc>
          <w:tcPr>
            <w:tcW w:w="2079" w:type="dxa"/>
            <w:shd w:val="clear" w:color="auto" w:fill="auto"/>
            <w:vAlign w:val="center"/>
          </w:tcPr>
          <w:p w:rsidR="00EF4662" w:rsidRPr="00E66CCF" w:rsidRDefault="00EF4662" w:rsidP="00E66CCF">
            <w:pPr>
              <w:ind w:right="175"/>
              <w:jc w:val="right"/>
            </w:pPr>
            <w:r w:rsidRPr="00E66CCF">
              <w:t>12.538.000 euro</w:t>
            </w:r>
          </w:p>
        </w:tc>
      </w:tr>
      <w:tr w:rsidR="00EF4662" w:rsidRPr="00E66CCF" w:rsidTr="00E66CCF">
        <w:trPr>
          <w:trHeight w:val="567"/>
        </w:trPr>
        <w:tc>
          <w:tcPr>
            <w:tcW w:w="2268" w:type="dxa"/>
            <w:shd w:val="clear" w:color="auto" w:fill="auto"/>
            <w:vAlign w:val="center"/>
          </w:tcPr>
          <w:p w:rsidR="00EF4662" w:rsidRPr="00E66CCF" w:rsidRDefault="00EF4662" w:rsidP="00E66CCF">
            <w:r w:rsidRPr="00E66CCF">
              <w:t>Originele en innoverende projecten</w:t>
            </w:r>
          </w:p>
        </w:tc>
        <w:tc>
          <w:tcPr>
            <w:tcW w:w="2079" w:type="dxa"/>
            <w:shd w:val="clear" w:color="auto" w:fill="auto"/>
            <w:vAlign w:val="center"/>
          </w:tcPr>
          <w:p w:rsidR="00EF4662" w:rsidRPr="00E66CCF" w:rsidRDefault="00EF4662" w:rsidP="00E66CCF">
            <w:pPr>
              <w:ind w:right="128"/>
              <w:jc w:val="right"/>
            </w:pPr>
            <w:r w:rsidRPr="00E66CCF">
              <w:t>75.000 euro</w:t>
            </w:r>
          </w:p>
        </w:tc>
        <w:tc>
          <w:tcPr>
            <w:tcW w:w="2079" w:type="dxa"/>
            <w:shd w:val="clear" w:color="auto" w:fill="auto"/>
            <w:vAlign w:val="center"/>
          </w:tcPr>
          <w:p w:rsidR="00EF4662" w:rsidRPr="00E66CCF" w:rsidRDefault="00EF4662" w:rsidP="00E66CCF">
            <w:pPr>
              <w:ind w:right="223"/>
              <w:jc w:val="right"/>
            </w:pPr>
            <w:r w:rsidRPr="00E66CCF">
              <w:t>75.000 euro</w:t>
            </w:r>
          </w:p>
        </w:tc>
        <w:tc>
          <w:tcPr>
            <w:tcW w:w="2079" w:type="dxa"/>
            <w:shd w:val="clear" w:color="auto" w:fill="auto"/>
            <w:vAlign w:val="center"/>
          </w:tcPr>
          <w:p w:rsidR="00EF4662" w:rsidRPr="00E66CCF" w:rsidRDefault="00EF4662" w:rsidP="00E66CCF">
            <w:pPr>
              <w:ind w:right="175"/>
              <w:jc w:val="right"/>
            </w:pPr>
            <w:r w:rsidRPr="00E66CCF">
              <w:t>220.000 euro</w:t>
            </w:r>
          </w:p>
        </w:tc>
      </w:tr>
      <w:tr w:rsidR="00EF4662" w:rsidRPr="00E66CCF" w:rsidTr="00E66CCF">
        <w:trPr>
          <w:trHeight w:val="397"/>
        </w:trPr>
        <w:tc>
          <w:tcPr>
            <w:tcW w:w="2268" w:type="dxa"/>
            <w:shd w:val="clear" w:color="auto" w:fill="auto"/>
            <w:vAlign w:val="center"/>
          </w:tcPr>
          <w:p w:rsidR="00EF4662" w:rsidRPr="00E66CCF" w:rsidRDefault="00EF4662" w:rsidP="00E66CCF">
            <w:r w:rsidRPr="00E66CCF">
              <w:t>Thuis in de stad prijs</w:t>
            </w:r>
          </w:p>
        </w:tc>
        <w:tc>
          <w:tcPr>
            <w:tcW w:w="2079" w:type="dxa"/>
            <w:shd w:val="clear" w:color="auto" w:fill="auto"/>
            <w:vAlign w:val="center"/>
          </w:tcPr>
          <w:p w:rsidR="00EF4662" w:rsidRPr="00E66CCF" w:rsidRDefault="00EF4662" w:rsidP="00E66CCF">
            <w:pPr>
              <w:ind w:right="128"/>
              <w:jc w:val="right"/>
            </w:pPr>
            <w:r w:rsidRPr="00E66CCF">
              <w:t>175.000 euro</w:t>
            </w:r>
          </w:p>
        </w:tc>
        <w:tc>
          <w:tcPr>
            <w:tcW w:w="2079" w:type="dxa"/>
            <w:shd w:val="clear" w:color="auto" w:fill="auto"/>
            <w:vAlign w:val="center"/>
          </w:tcPr>
          <w:p w:rsidR="00EF4662" w:rsidRPr="00E66CCF" w:rsidRDefault="00EF4662" w:rsidP="00E66CCF">
            <w:pPr>
              <w:ind w:right="223"/>
              <w:jc w:val="right"/>
            </w:pPr>
            <w:r w:rsidRPr="00E66CCF">
              <w:t>150.000 euro</w:t>
            </w:r>
          </w:p>
        </w:tc>
        <w:tc>
          <w:tcPr>
            <w:tcW w:w="2079" w:type="dxa"/>
            <w:shd w:val="clear" w:color="auto" w:fill="auto"/>
            <w:vAlign w:val="center"/>
          </w:tcPr>
          <w:p w:rsidR="00EF4662" w:rsidRPr="00E66CCF" w:rsidRDefault="00EF4662" w:rsidP="00E66CCF">
            <w:pPr>
              <w:ind w:right="175"/>
              <w:jc w:val="right"/>
            </w:pPr>
            <w:r w:rsidRPr="00E66CCF">
              <w:t>150.000 euro</w:t>
            </w:r>
          </w:p>
        </w:tc>
      </w:tr>
    </w:tbl>
    <w:p w:rsidR="00EF4662" w:rsidRDefault="00EF4662" w:rsidP="00EF4662">
      <w:pPr>
        <w:ind w:left="708" w:firstLine="1"/>
      </w:pPr>
    </w:p>
    <w:p w:rsidR="00E66CCF" w:rsidRDefault="00E66CCF" w:rsidP="00BB24D0">
      <w:pPr>
        <w:ind w:left="708" w:firstLine="1"/>
        <w:jc w:val="both"/>
      </w:pPr>
    </w:p>
    <w:p w:rsidR="00EF4662" w:rsidRPr="00672EE4" w:rsidRDefault="00EF4662" w:rsidP="00BB24D0">
      <w:pPr>
        <w:ind w:left="708" w:firstLine="1"/>
        <w:jc w:val="both"/>
      </w:pPr>
      <w:r w:rsidRPr="00672EE4">
        <w:t>De middelen voor de ondersteuning van stadsvernieuwingsprojecten worden door de Vlaamse Regering toegekend na een oproep en op basis van een advies van een deskundige en onafhankelijke jury. Het betreft hier subsidies aan de steden en de Vlaamse Gemeenschapscommissie (VGC) op basis van de ingediende projecten.</w:t>
      </w:r>
    </w:p>
    <w:p w:rsidR="00EF4662" w:rsidRPr="00672EE4" w:rsidRDefault="00EF4662" w:rsidP="00BB24D0">
      <w:pPr>
        <w:ind w:left="708" w:firstLine="1"/>
        <w:jc w:val="both"/>
      </w:pPr>
    </w:p>
    <w:p w:rsidR="00EF4662" w:rsidRPr="00672EE4" w:rsidRDefault="00EF4662" w:rsidP="00BB24D0">
      <w:pPr>
        <w:ind w:left="708" w:firstLine="1"/>
        <w:jc w:val="both"/>
      </w:pPr>
      <w:r w:rsidRPr="00672EE4">
        <w:t>De middelen voor originele en innoverende projecten en de thuis in de stadprijs worden na een oproep toegekend aan organisaties en verenigingen in de steden en in Brussel (voor wat betreft gemeenschapsaangelegenheden).</w:t>
      </w:r>
    </w:p>
    <w:p w:rsidR="00EF4662" w:rsidRPr="00672EE4" w:rsidRDefault="00EF4662" w:rsidP="00BB24D0">
      <w:pPr>
        <w:ind w:left="708" w:firstLine="1"/>
        <w:jc w:val="both"/>
      </w:pPr>
    </w:p>
    <w:p w:rsidR="00EF4662" w:rsidRPr="00672EE4" w:rsidRDefault="00EF4662" w:rsidP="00BB24D0">
      <w:pPr>
        <w:ind w:left="708" w:firstLine="1"/>
        <w:jc w:val="both"/>
      </w:pPr>
      <w:r w:rsidRPr="00672EE4">
        <w:t>Omdat het bij stadsvernieuwing, thuis in de stadprijs en bij de originele en innoverende projecten gaat om projectsubsidies, worden er geen voorafg</w:t>
      </w:r>
      <w:r>
        <w:t>aandelijke verdelingen gemaakt.</w:t>
      </w:r>
    </w:p>
    <w:p w:rsidR="00EF4662" w:rsidRDefault="00EF4662" w:rsidP="00BB24D0">
      <w:pPr>
        <w:ind w:left="708" w:hanging="708"/>
        <w:jc w:val="both"/>
      </w:pPr>
    </w:p>
    <w:p w:rsidR="00EF4662" w:rsidRDefault="00EF4662" w:rsidP="00BB24D0">
      <w:pPr>
        <w:ind w:left="708" w:hanging="708"/>
        <w:jc w:val="both"/>
      </w:pPr>
    </w:p>
    <w:p w:rsidR="00EF4662" w:rsidRDefault="00EF4662" w:rsidP="00BB24D0">
      <w:pPr>
        <w:ind w:left="708" w:hanging="708"/>
        <w:jc w:val="both"/>
      </w:pPr>
      <w:r>
        <w:t>2.</w:t>
      </w:r>
      <w:r>
        <w:tab/>
      </w:r>
      <w:r w:rsidRPr="003A6075">
        <w:t>In het kader van het Vlaams stedenbeleid zijn volgende bedragen in de begroting 2012 begroot voor Brussel</w:t>
      </w:r>
      <w:r>
        <w:t xml:space="preserve"> </w:t>
      </w:r>
      <w:r w:rsidRPr="003A6075">
        <w:t>:</w:t>
      </w:r>
    </w:p>
    <w:p w:rsidR="00EF4662" w:rsidRDefault="00EF4662" w:rsidP="00BB24D0">
      <w:pPr>
        <w:tabs>
          <w:tab w:val="left" w:pos="993"/>
        </w:tabs>
        <w:ind w:left="708"/>
        <w:jc w:val="both"/>
      </w:pPr>
      <w:r w:rsidRPr="003A6075">
        <w:t>-</w:t>
      </w:r>
      <w:r>
        <w:tab/>
      </w:r>
      <w:r w:rsidRPr="003A6075">
        <w:t>Stedenfonds</w:t>
      </w:r>
      <w:r w:rsidR="00BB24D0">
        <w:t xml:space="preserve"> </w:t>
      </w:r>
      <w:r w:rsidRPr="003A6075">
        <w:t>: 13.754.800 euro</w:t>
      </w:r>
    </w:p>
    <w:p w:rsidR="00EF4662" w:rsidRDefault="00EF4662" w:rsidP="00BB24D0">
      <w:pPr>
        <w:tabs>
          <w:tab w:val="left" w:pos="993"/>
        </w:tabs>
        <w:ind w:left="993" w:hanging="285"/>
        <w:jc w:val="both"/>
      </w:pPr>
      <w:r w:rsidRPr="003A6075">
        <w:t>-</w:t>
      </w:r>
      <w:r>
        <w:tab/>
      </w:r>
      <w:r w:rsidRPr="003A6075">
        <w:t>Buurtstewards in het kader van de uitvoering van het Vlaams MOE/Roma actieplan</w:t>
      </w:r>
      <w:r w:rsidR="00BB24D0">
        <w:t xml:space="preserve"> </w:t>
      </w:r>
      <w:r w:rsidRPr="003A6075">
        <w:t xml:space="preserve">: 200.000 euro (beslissing Vlaamse </w:t>
      </w:r>
      <w:r>
        <w:t>R</w:t>
      </w:r>
      <w:r w:rsidRPr="003A6075">
        <w:t>egering van 15/06/2012)</w:t>
      </w:r>
    </w:p>
    <w:p w:rsidR="00EF4662" w:rsidRPr="003A6075" w:rsidRDefault="00EF4662" w:rsidP="00BB24D0">
      <w:pPr>
        <w:tabs>
          <w:tab w:val="left" w:pos="993"/>
        </w:tabs>
        <w:ind w:left="993" w:hanging="285"/>
        <w:jc w:val="both"/>
      </w:pPr>
      <w:r>
        <w:t>-</w:t>
      </w:r>
      <w:r>
        <w:tab/>
      </w:r>
      <w:r w:rsidRPr="003A6075">
        <w:t>Diverse vzw’s uit het Brusselse hebben een project ingediend voor de oproep ‘originele en innoverende projecten’. De beslissing of deze vzw’s effectief middelen zullen krijgen,valt in de 2</w:t>
      </w:r>
      <w:r w:rsidRPr="00821B25">
        <w:t>de</w:t>
      </w:r>
      <w:r w:rsidRPr="003A6075">
        <w:t xml:space="preserve"> helft van 2012.</w:t>
      </w:r>
    </w:p>
    <w:p w:rsidR="00EF4662" w:rsidRPr="003A6075" w:rsidRDefault="00EF4662" w:rsidP="00BB24D0">
      <w:pPr>
        <w:tabs>
          <w:tab w:val="left" w:pos="993"/>
        </w:tabs>
        <w:ind w:left="993" w:hanging="284"/>
        <w:jc w:val="both"/>
      </w:pPr>
      <w:r>
        <w:t>-</w:t>
      </w:r>
      <w:r>
        <w:tab/>
      </w:r>
      <w:r w:rsidRPr="003A6075">
        <w:t>De oproep voor de thuis in de stadprijs 2012 staat nog open. De beslissing over de winnende projecten wordt in januari 2013 gecommuniceerd, maar wel eind 2012 financieel vastgelegd.</w:t>
      </w:r>
    </w:p>
    <w:p w:rsidR="00EF4662" w:rsidRPr="00821B25" w:rsidRDefault="00EF4662" w:rsidP="00BB24D0">
      <w:pPr>
        <w:jc w:val="both"/>
        <w:rPr>
          <w:b/>
        </w:rPr>
      </w:pPr>
    </w:p>
    <w:p w:rsidR="00EF4662" w:rsidRPr="003A6075" w:rsidRDefault="00EF4662" w:rsidP="00BB24D0">
      <w:pPr>
        <w:jc w:val="both"/>
      </w:pPr>
    </w:p>
    <w:p w:rsidR="00EF4662" w:rsidRDefault="00EF4662" w:rsidP="00BB24D0">
      <w:pPr>
        <w:jc w:val="both"/>
      </w:pPr>
      <w:r>
        <w:lastRenderedPageBreak/>
        <w:t>3.</w:t>
      </w:r>
      <w:r w:rsidRPr="003A6075">
        <w:t>a)</w:t>
      </w:r>
      <w:r>
        <w:tab/>
      </w:r>
      <w:r w:rsidRPr="003A6075">
        <w:t>Het Vlaams stedenbeleid richt zich niet tot een specifieke leeftijdscategorie.</w:t>
      </w:r>
    </w:p>
    <w:p w:rsidR="00EF4662" w:rsidRDefault="00EF4662" w:rsidP="00BB24D0">
      <w:pPr>
        <w:jc w:val="both"/>
      </w:pPr>
    </w:p>
    <w:p w:rsidR="00EF4662" w:rsidRDefault="00EF4662" w:rsidP="00BB24D0">
      <w:pPr>
        <w:jc w:val="both"/>
      </w:pPr>
      <w:r>
        <w:t>3.</w:t>
      </w:r>
      <w:r w:rsidRPr="003A6075">
        <w:t>b)</w:t>
      </w:r>
      <w:r>
        <w:tab/>
      </w:r>
      <w:r w:rsidRPr="003A6075">
        <w:t>Ingevolge het antwoord op de vorige vraag, is deze vraag niet van toepassing.</w:t>
      </w:r>
    </w:p>
    <w:p w:rsidR="00EF4662" w:rsidRDefault="00EF4662" w:rsidP="00BB24D0">
      <w:pPr>
        <w:jc w:val="both"/>
      </w:pPr>
    </w:p>
    <w:p w:rsidR="00EF4662" w:rsidRPr="003A6075" w:rsidRDefault="00EF4662" w:rsidP="00BB24D0">
      <w:pPr>
        <w:jc w:val="both"/>
      </w:pPr>
    </w:p>
    <w:p w:rsidR="00EF4662" w:rsidRDefault="00EF4662" w:rsidP="00BB24D0">
      <w:pPr>
        <w:ind w:left="708" w:hanging="708"/>
        <w:jc w:val="both"/>
      </w:pPr>
      <w:r w:rsidRPr="00672EE4">
        <w:t>4.</w:t>
      </w:r>
      <w:r w:rsidRPr="00672EE4">
        <w:tab/>
        <w:t>In het kader van het Vlaams stedenbeleid wordt jaarlijks een voorafname van 10% van het stedenfonds aan de VGC toegekend. Over het bereik van het doelpubliek is in de vigerende regelgeving betreffende het stedenfonds geen criterium ingeschreven.</w:t>
      </w:r>
    </w:p>
    <w:sectPr w:rsidR="00EF4662" w:rsidSect="00EF4662">
      <w:pgSz w:w="11906" w:h="16838"/>
      <w:pgMar w:top="1417" w:right="127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Vet">
    <w:panose1 w:val="02020803070505020304"/>
    <w:charset w:val="00"/>
    <w:family w:val="roman"/>
    <w:notTrueType/>
    <w:pitch w:val="default"/>
    <w:sig w:usb0="00000000" w:usb1="00000000" w:usb2="00000000" w:usb3="00000000" w:csb0="00000000" w:csb1="00000000"/>
  </w:font>
  <w:font w:name="Arial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587ED5"/>
    <w:multiLevelType w:val="hybridMultilevel"/>
    <w:tmpl w:val="E6D65BE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4662"/>
    <w:rsid w:val="001E60F9"/>
    <w:rsid w:val="002A0643"/>
    <w:rsid w:val="00A23474"/>
    <w:rsid w:val="00BB24D0"/>
    <w:rsid w:val="00C641CC"/>
    <w:rsid w:val="00C82051"/>
    <w:rsid w:val="00DF53A1"/>
    <w:rsid w:val="00E228DF"/>
    <w:rsid w:val="00E66CCF"/>
    <w:rsid w:val="00EF466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4662"/>
    <w:rPr>
      <w:rFonts w:eastAsia="Times New Roman" w:cs="Times New Roman"/>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EF4662"/>
    <w:pPr>
      <w:jc w:val="both"/>
    </w:pPr>
    <w:rPr>
      <w: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1600</Words>
  <Characters>8805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 cauwberghs</dc:creator>
  <cp:keywords/>
  <dc:description/>
  <cp:lastModifiedBy>gaetan cauwberghs</cp:lastModifiedBy>
  <cp:revision>5</cp:revision>
  <cp:lastPrinted>2012-06-26T10:45:00Z</cp:lastPrinted>
  <dcterms:created xsi:type="dcterms:W3CDTF">2012-06-26T10:40:00Z</dcterms:created>
  <dcterms:modified xsi:type="dcterms:W3CDTF">2012-06-26T12:02:00Z</dcterms:modified>
</cp:coreProperties>
</file>