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Text1"/>
    <w:p w:rsidR="000976E9" w:rsidRPr="00DD4121" w:rsidRDefault="003F56C4" w:rsidP="000976E9">
      <w:pPr>
        <w:pStyle w:val="A-NaamMinister"/>
      </w:pPr>
      <w:r>
        <w:rPr>
          <w:szCs w:val="22"/>
        </w:rPr>
        <w:fldChar w:fldCharType="begin">
          <w:ffData>
            <w:name w:val="Text1"/>
            <w:enabled/>
            <w:calcOnExit w:val="0"/>
            <w:statusText w:type="text" w:val="Geef hier de naam van de minister op..."/>
            <w:textInput>
              <w:maxLength w:val="255"/>
            </w:textInput>
          </w:ffData>
        </w:fldChar>
      </w:r>
      <w:r w:rsidR="00D71D99">
        <w:rPr>
          <w:szCs w:val="22"/>
        </w:rPr>
        <w:instrText xml:space="preserve"> FORMTEXT </w:instrText>
      </w:r>
      <w:r>
        <w:rPr>
          <w:szCs w:val="22"/>
        </w:rPr>
      </w:r>
      <w:r>
        <w:rPr>
          <w:szCs w:val="22"/>
        </w:rPr>
        <w:fldChar w:fldCharType="separate"/>
      </w:r>
      <w:r w:rsidR="004E2833">
        <w:rPr>
          <w:noProof/>
          <w:szCs w:val="22"/>
        </w:rPr>
        <w:t>pascal smet</w:t>
      </w:r>
      <w:r>
        <w:rPr>
          <w:szCs w:val="22"/>
        </w:rPr>
        <w:fldChar w:fldCharType="end"/>
      </w:r>
      <w:bookmarkEnd w:id="0"/>
    </w:p>
    <w:bookmarkStart w:id="1" w:name="Text2"/>
    <w:p w:rsidR="000976E9" w:rsidRPr="00015BF7" w:rsidRDefault="003F56C4" w:rsidP="000976E9">
      <w:pPr>
        <w:pStyle w:val="A-TitelMinister"/>
      </w:pPr>
      <w:r>
        <w:fldChar w:fldCharType="begin">
          <w:ffData>
            <w:name w:val="Text2"/>
            <w:enabled/>
            <w:calcOnExit w:val="0"/>
            <w:statusText w:type="text" w:val="Geef hier de titel van de minister op..."/>
            <w:textInput>
              <w:maxLength w:val="255"/>
            </w:textInput>
          </w:ffData>
        </w:fldChar>
      </w:r>
      <w:r w:rsidR="00D71D99">
        <w:instrText xml:space="preserve"> FORMTEXT </w:instrText>
      </w:r>
      <w:r>
        <w:fldChar w:fldCharType="separate"/>
      </w:r>
      <w:r w:rsidR="004E2833">
        <w:t>vlaams minister va</w:t>
      </w:r>
      <w:r w:rsidR="00894185">
        <w:rPr>
          <w:noProof/>
        </w:rPr>
        <w:t>n</w:t>
      </w:r>
      <w:r w:rsidR="004E2833">
        <w:rPr>
          <w:noProof/>
        </w:rPr>
        <w:t xml:space="preserve"> onderwijs, jeugd, gelijke kansen en brussel</w:t>
      </w:r>
      <w:r>
        <w:fldChar w:fldCharType="end"/>
      </w:r>
      <w:bookmarkEnd w:id="1"/>
    </w:p>
    <w:p w:rsidR="000976E9" w:rsidRPr="00015BF7" w:rsidRDefault="000976E9" w:rsidP="000976E9">
      <w:pPr>
        <w:rPr>
          <w:szCs w:val="22"/>
        </w:rPr>
      </w:pPr>
    </w:p>
    <w:p w:rsidR="000976E9" w:rsidRPr="00DB41C0" w:rsidRDefault="000976E9" w:rsidP="000976E9">
      <w:pPr>
        <w:pStyle w:val="A-Lijn"/>
      </w:pPr>
    </w:p>
    <w:p w:rsidR="000976E9" w:rsidRDefault="000976E9" w:rsidP="000976E9">
      <w:pPr>
        <w:pStyle w:val="A-Type"/>
        <w:sectPr w:rsidR="000976E9">
          <w:pgSz w:w="11906" w:h="16838"/>
          <w:pgMar w:top="1417" w:right="1417" w:bottom="1417" w:left="1417" w:header="708" w:footer="708" w:gutter="0"/>
          <w:cols w:space="708"/>
          <w:docGrid w:linePitch="360"/>
        </w:sectPr>
      </w:pPr>
    </w:p>
    <w:p w:rsidR="00210C07" w:rsidRDefault="000C1804" w:rsidP="000976E9">
      <w:pPr>
        <w:pStyle w:val="A-Type"/>
        <w:sectPr w:rsidR="00210C07" w:rsidSect="000976E9">
          <w:type w:val="continuous"/>
          <w:pgSz w:w="11906" w:h="16838"/>
          <w:pgMar w:top="1417" w:right="1417" w:bottom="1417" w:left="1417" w:header="708" w:footer="708" w:gutter="0"/>
          <w:cols w:space="708"/>
          <w:formProt w:val="0"/>
          <w:docGrid w:linePitch="360"/>
        </w:sectPr>
      </w:pPr>
      <w:r>
        <w:lastRenderedPageBreak/>
        <w:t xml:space="preserve">gecoördineerd </w:t>
      </w:r>
      <w:r w:rsidR="000976E9">
        <w:t>a</w:t>
      </w:r>
      <w:r w:rsidR="000976E9" w:rsidRPr="00E31F4D">
        <w:t>ntwoord</w:t>
      </w:r>
    </w:p>
    <w:p w:rsidR="000976E9" w:rsidRPr="00326A58" w:rsidRDefault="000976E9" w:rsidP="000976E9">
      <w:pPr>
        <w:pStyle w:val="A-Type"/>
        <w:rPr>
          <w:b w:val="0"/>
        </w:rPr>
      </w:pPr>
      <w:r w:rsidRPr="00326A58">
        <w:rPr>
          <w:b w:val="0"/>
          <w:smallCaps w:val="0"/>
        </w:rPr>
        <w:lastRenderedPageBreak/>
        <w:t>op vraag nr.</w:t>
      </w:r>
      <w:r w:rsidRPr="00326A58">
        <w:rPr>
          <w:b w:val="0"/>
        </w:rPr>
        <w:t xml:space="preserve"> </w:t>
      </w:r>
      <w:bookmarkStart w:id="2" w:name="Text3"/>
      <w:r w:rsidR="003F56C4" w:rsidRPr="00326A58">
        <w:rPr>
          <w:b w:val="0"/>
        </w:rPr>
        <w:fldChar w:fldCharType="begin">
          <w:ffData>
            <w:name w:val="Text3"/>
            <w:enabled/>
            <w:calcOnExit w:val="0"/>
            <w:statusText w:type="text" w:val="Geef het nummer van de schriftelijke vraag waarop dit een antwoord is..."/>
            <w:textInput>
              <w:maxLength w:val="5"/>
            </w:textInput>
          </w:ffData>
        </w:fldChar>
      </w:r>
      <w:r w:rsidRPr="00326A58">
        <w:rPr>
          <w:b w:val="0"/>
        </w:rPr>
        <w:instrText xml:space="preserve"> FORMTEXT </w:instrText>
      </w:r>
      <w:r w:rsidR="003F56C4" w:rsidRPr="00326A58">
        <w:rPr>
          <w:b w:val="0"/>
        </w:rPr>
      </w:r>
      <w:r w:rsidR="003F56C4" w:rsidRPr="00326A58">
        <w:rPr>
          <w:b w:val="0"/>
        </w:rPr>
        <w:fldChar w:fldCharType="separate"/>
      </w:r>
      <w:r w:rsidR="00D77BD1">
        <w:rPr>
          <w:b w:val="0"/>
        </w:rPr>
        <w:t>5</w:t>
      </w:r>
      <w:r w:rsidR="000052D2">
        <w:rPr>
          <w:b w:val="0"/>
        </w:rPr>
        <w:t>87</w:t>
      </w:r>
      <w:r w:rsidR="003F56C4" w:rsidRPr="00326A58">
        <w:rPr>
          <w:b w:val="0"/>
        </w:rPr>
        <w:fldChar w:fldCharType="end"/>
      </w:r>
      <w:bookmarkEnd w:id="2"/>
      <w:r w:rsidRPr="00326A58">
        <w:rPr>
          <w:b w:val="0"/>
        </w:rPr>
        <w:t xml:space="preserve"> </w:t>
      </w:r>
      <w:r w:rsidRPr="00326A58">
        <w:rPr>
          <w:b w:val="0"/>
          <w:smallCaps w:val="0"/>
        </w:rPr>
        <w:t>van</w:t>
      </w:r>
      <w:r w:rsidRPr="00326A58">
        <w:rPr>
          <w:b w:val="0"/>
        </w:rPr>
        <w:t xml:space="preserve"> </w:t>
      </w:r>
      <w:bookmarkStart w:id="3" w:name="Text5"/>
      <w:r w:rsidR="003F56C4">
        <w:rPr>
          <w:b w:val="0"/>
        </w:rPr>
        <w:fldChar w:fldCharType="begin">
          <w:ffData>
            <w:name w:val="Text5"/>
            <w:enabled/>
            <w:calcOnExit w:val="0"/>
            <w:statusText w:type="text" w:val="Geef de dag waarop de vraag gesteld werd..."/>
            <w:textInput>
              <w:type w:val="number"/>
              <w:maxLength w:val="2"/>
            </w:textInput>
          </w:ffData>
        </w:fldChar>
      </w:r>
      <w:r w:rsidR="008D5DB4">
        <w:rPr>
          <w:b w:val="0"/>
        </w:rPr>
        <w:instrText xml:space="preserve"> FORMTEXT </w:instrText>
      </w:r>
      <w:r w:rsidR="003F56C4">
        <w:rPr>
          <w:b w:val="0"/>
        </w:rPr>
      </w:r>
      <w:r w:rsidR="003F56C4">
        <w:rPr>
          <w:b w:val="0"/>
        </w:rPr>
        <w:fldChar w:fldCharType="separate"/>
      </w:r>
      <w:r w:rsidR="000052D2">
        <w:rPr>
          <w:b w:val="0"/>
        </w:rPr>
        <w:t>31</w:t>
      </w:r>
      <w:r w:rsidR="003F56C4">
        <w:rPr>
          <w:b w:val="0"/>
        </w:rPr>
        <w:fldChar w:fldCharType="end"/>
      </w:r>
      <w:bookmarkEnd w:id="3"/>
      <w:r w:rsidRPr="00326A58">
        <w:rPr>
          <w:b w:val="0"/>
        </w:rPr>
        <w:t xml:space="preserve"> </w:t>
      </w:r>
      <w:bookmarkStart w:id="4" w:name="Dropdown2"/>
      <w:r w:rsidR="003F56C4">
        <w:rPr>
          <w:b w:val="0"/>
        </w:rPr>
        <w:fldChar w:fldCharType="begin">
          <w:ffData>
            <w:name w:val="Dropdown2"/>
            <w:enabled/>
            <w:calcOnExit w:val="0"/>
            <w:statusText w:type="text" w:val="Kies de maand waarin de vraag gesteld werd."/>
            <w:ddList>
              <w:result w:val="5"/>
              <w:listEntry w:val="                                 "/>
              <w:listEntry w:val="januari"/>
              <w:listEntry w:val="februari"/>
              <w:listEntry w:val="maart"/>
              <w:listEntry w:val="april"/>
              <w:listEntry w:val="mei"/>
              <w:listEntry w:val="juni"/>
              <w:listEntry w:val="juli"/>
              <w:listEntry w:val="augustus"/>
              <w:listEntry w:val="september"/>
              <w:listEntry w:val="oktober"/>
              <w:listEntry w:val="november"/>
              <w:listEntry w:val="december"/>
            </w:ddList>
          </w:ffData>
        </w:fldChar>
      </w:r>
      <w:r w:rsidR="008D5DB4">
        <w:rPr>
          <w:b w:val="0"/>
        </w:rPr>
        <w:instrText xml:space="preserve"> FORMDROPDOWN </w:instrText>
      </w:r>
      <w:r w:rsidR="003F56C4">
        <w:rPr>
          <w:b w:val="0"/>
        </w:rPr>
      </w:r>
      <w:r w:rsidR="003F56C4">
        <w:rPr>
          <w:b w:val="0"/>
        </w:rPr>
        <w:fldChar w:fldCharType="end"/>
      </w:r>
      <w:bookmarkEnd w:id="4"/>
      <w:r w:rsidRPr="00326A58">
        <w:rPr>
          <w:b w:val="0"/>
        </w:rPr>
        <w:t xml:space="preserve"> </w:t>
      </w:r>
      <w:bookmarkStart w:id="5" w:name="Dropdown3"/>
      <w:r w:rsidR="003F56C4">
        <w:rPr>
          <w:b w:val="0"/>
        </w:rPr>
        <w:fldChar w:fldCharType="begin">
          <w:ffData>
            <w:name w:val="Dropdown3"/>
            <w:enabled/>
            <w:calcOnExit w:val="0"/>
            <w:statusText w:type="text" w:val="Kies het jaar waarin de vraag gesteld werd..."/>
            <w:ddList>
              <w:result w:val="8"/>
              <w:listEntry w:val="      "/>
              <w:listEntry w:val="2005"/>
              <w:listEntry w:val="2006"/>
              <w:listEntry w:val="2007"/>
              <w:listEntry w:val="2008"/>
              <w:listEntry w:val="2009"/>
              <w:listEntry w:val="2010"/>
              <w:listEntry w:val="2011"/>
              <w:listEntry w:val="2012"/>
              <w:listEntry w:val="2013"/>
              <w:listEntry w:val="2014"/>
              <w:listEntry w:val="2015"/>
              <w:listEntry w:val="2016"/>
              <w:listEntry w:val="2017"/>
              <w:listEntry w:val="2018"/>
              <w:listEntry w:val="2019"/>
              <w:listEntry w:val="2020"/>
            </w:ddList>
          </w:ffData>
        </w:fldChar>
      </w:r>
      <w:r w:rsidR="008D5DB4">
        <w:rPr>
          <w:b w:val="0"/>
        </w:rPr>
        <w:instrText xml:space="preserve"> FORMDROPDOWN </w:instrText>
      </w:r>
      <w:r w:rsidR="003F56C4">
        <w:rPr>
          <w:b w:val="0"/>
        </w:rPr>
      </w:r>
      <w:r w:rsidR="003F56C4">
        <w:rPr>
          <w:b w:val="0"/>
        </w:rPr>
        <w:fldChar w:fldCharType="end"/>
      </w:r>
      <w:bookmarkEnd w:id="5"/>
    </w:p>
    <w:p w:rsidR="000976E9" w:rsidRDefault="000976E9" w:rsidP="000976E9">
      <w:pPr>
        <w:rPr>
          <w:szCs w:val="22"/>
        </w:rPr>
      </w:pPr>
      <w:r>
        <w:rPr>
          <w:szCs w:val="22"/>
        </w:rPr>
        <w:t xml:space="preserve">van </w:t>
      </w:r>
      <w:r w:rsidR="003F56C4" w:rsidRPr="009D7043">
        <w:rPr>
          <w:rStyle w:val="AntwoordNaamMinisterChar"/>
        </w:rPr>
        <w:fldChar w:fldCharType="begin">
          <w:ffData>
            <w:name w:val=""/>
            <w:enabled/>
            <w:calcOnExit w:val="0"/>
            <w:statusText w:type="text" w:val="Geef hier de naam van de vraagsteller op..."/>
            <w:textInput>
              <w:maxLength w:val="255"/>
            </w:textInput>
          </w:ffData>
        </w:fldChar>
      </w:r>
      <w:r w:rsidR="00D71D99" w:rsidRPr="009D7043">
        <w:rPr>
          <w:rStyle w:val="AntwoordNaamMinisterChar"/>
        </w:rPr>
        <w:instrText xml:space="preserve"> FORMTEXT </w:instrText>
      </w:r>
      <w:r w:rsidR="003F56C4" w:rsidRPr="009D7043">
        <w:rPr>
          <w:rStyle w:val="AntwoordNaamMinisterChar"/>
        </w:rPr>
      </w:r>
      <w:r w:rsidR="003F56C4" w:rsidRPr="009D7043">
        <w:rPr>
          <w:rStyle w:val="AntwoordNaamMinisterChar"/>
        </w:rPr>
        <w:fldChar w:fldCharType="separate"/>
      </w:r>
      <w:r w:rsidR="001007C8">
        <w:rPr>
          <w:rStyle w:val="AntwoordNaamMinisterChar"/>
        </w:rPr>
        <w:t>willy segers</w:t>
      </w:r>
      <w:r w:rsidR="003F56C4" w:rsidRPr="009D7043">
        <w:rPr>
          <w:rStyle w:val="AntwoordNaamMinisterChar"/>
        </w:rPr>
        <w:fldChar w:fldCharType="end"/>
      </w:r>
    </w:p>
    <w:p w:rsidR="00326A58" w:rsidRPr="00015BF7" w:rsidRDefault="00326A58" w:rsidP="000976E9">
      <w:pPr>
        <w:rPr>
          <w:szCs w:val="22"/>
        </w:rPr>
      </w:pPr>
    </w:p>
    <w:p w:rsidR="000976E9" w:rsidRPr="00DB41C0" w:rsidRDefault="000976E9" w:rsidP="000976E9">
      <w:pPr>
        <w:pStyle w:val="A-Lijn"/>
      </w:pPr>
    </w:p>
    <w:p w:rsidR="000976E9" w:rsidRPr="00DB41C0" w:rsidRDefault="000976E9" w:rsidP="000976E9">
      <w:pPr>
        <w:pStyle w:val="A-Lijn"/>
      </w:pPr>
    </w:p>
    <w:p w:rsidR="000976E9" w:rsidRDefault="000976E9" w:rsidP="00DB41C0">
      <w:pPr>
        <w:sectPr w:rsidR="000976E9" w:rsidSect="000976E9">
          <w:type w:val="continuous"/>
          <w:pgSz w:w="11906" w:h="16838"/>
          <w:pgMar w:top="1417" w:right="1417" w:bottom="1417" w:left="1417" w:header="708" w:footer="708" w:gutter="0"/>
          <w:cols w:space="708"/>
          <w:docGrid w:linePitch="360"/>
        </w:sectPr>
      </w:pPr>
    </w:p>
    <w:p w:rsidR="001859A2" w:rsidRPr="00A60BFC" w:rsidRDefault="00CB0B49" w:rsidP="001859A2">
      <w:pPr>
        <w:pStyle w:val="SVTitel"/>
        <w:tabs>
          <w:tab w:val="left" w:pos="284"/>
        </w:tabs>
        <w:ind w:left="567" w:hanging="567"/>
        <w:rPr>
          <w:i w:val="0"/>
        </w:rPr>
      </w:pPr>
      <w:r>
        <w:rPr>
          <w:i w:val="0"/>
        </w:rPr>
        <w:lastRenderedPageBreak/>
        <w:t>1.</w:t>
      </w:r>
      <w:r>
        <w:rPr>
          <w:i w:val="0"/>
        </w:rPr>
        <w:tab/>
      </w:r>
      <w:r w:rsidRPr="00CB0B49">
        <w:rPr>
          <w:i w:val="0"/>
        </w:rPr>
        <w:t>a)</w:t>
      </w:r>
      <w:r w:rsidRPr="00CB0B49">
        <w:rPr>
          <w:i w:val="0"/>
        </w:rPr>
        <w:tab/>
      </w:r>
      <w:r w:rsidR="00AA610C">
        <w:rPr>
          <w:i w:val="0"/>
        </w:rPr>
        <w:t>In de bijlage 1 zijn d</w:t>
      </w:r>
      <w:r w:rsidRPr="00CB0B49">
        <w:rPr>
          <w:i w:val="0"/>
        </w:rPr>
        <w:t xml:space="preserve">e bedragen </w:t>
      </w:r>
      <w:r w:rsidR="00AA610C">
        <w:rPr>
          <w:i w:val="0"/>
        </w:rPr>
        <w:t xml:space="preserve">terug te vinden </w:t>
      </w:r>
      <w:r w:rsidRPr="00CB0B49">
        <w:rPr>
          <w:i w:val="0"/>
        </w:rPr>
        <w:t xml:space="preserve">die door de verschillende </w:t>
      </w:r>
      <w:r w:rsidR="00A75D31">
        <w:rPr>
          <w:i w:val="0"/>
        </w:rPr>
        <w:t>entiteiten</w:t>
      </w:r>
      <w:r w:rsidRPr="00CB0B49">
        <w:rPr>
          <w:i w:val="0"/>
        </w:rPr>
        <w:t xml:space="preserve"> </w:t>
      </w:r>
      <w:r w:rsidR="00FB4C55">
        <w:rPr>
          <w:i w:val="0"/>
        </w:rPr>
        <w:t xml:space="preserve">van de Vlaamse overheid </w:t>
      </w:r>
      <w:r w:rsidRPr="00CB0B49">
        <w:rPr>
          <w:i w:val="0"/>
        </w:rPr>
        <w:t xml:space="preserve">in 2009 en 2010 </w:t>
      </w:r>
      <w:r w:rsidR="001859A2" w:rsidRPr="00CB0B49">
        <w:rPr>
          <w:i w:val="0"/>
        </w:rPr>
        <w:t>werden uitge</w:t>
      </w:r>
      <w:r w:rsidR="001859A2">
        <w:rPr>
          <w:i w:val="0"/>
        </w:rPr>
        <w:t xml:space="preserve">geven </w:t>
      </w:r>
      <w:r w:rsidR="001859A2" w:rsidRPr="00CB0B49">
        <w:rPr>
          <w:i w:val="0"/>
        </w:rPr>
        <w:t>voor de v</w:t>
      </w:r>
      <w:r w:rsidR="001859A2">
        <w:rPr>
          <w:i w:val="0"/>
        </w:rPr>
        <w:t xml:space="preserve">olgende </w:t>
      </w:r>
      <w:r w:rsidR="001859A2" w:rsidRPr="00CB0B49">
        <w:rPr>
          <w:i w:val="0"/>
        </w:rPr>
        <w:t>gemeenschaps</w:t>
      </w:r>
      <w:r w:rsidR="001859A2">
        <w:rPr>
          <w:i w:val="0"/>
        </w:rPr>
        <w:t>-</w:t>
      </w:r>
      <w:r w:rsidR="001859A2" w:rsidRPr="00CB0B49">
        <w:rPr>
          <w:i w:val="0"/>
        </w:rPr>
        <w:t>bevoegdheden</w:t>
      </w:r>
      <w:r w:rsidR="001859A2">
        <w:rPr>
          <w:i w:val="0"/>
        </w:rPr>
        <w:t xml:space="preserve"> : </w:t>
      </w:r>
      <w:r w:rsidR="001859A2" w:rsidRPr="00D339BE">
        <w:t xml:space="preserve">Onderwijs </w:t>
      </w:r>
      <w:r w:rsidR="001859A2">
        <w:t xml:space="preserve">en </w:t>
      </w:r>
      <w:r w:rsidR="001859A2" w:rsidRPr="00D339BE">
        <w:t>Vorming</w:t>
      </w:r>
      <w:r w:rsidR="001859A2">
        <w:t xml:space="preserve"> ; W</w:t>
      </w:r>
      <w:r w:rsidR="001859A2" w:rsidRPr="00B94A89">
        <w:t>erk</w:t>
      </w:r>
      <w:r w:rsidR="001859A2">
        <w:t xml:space="preserve"> (</w:t>
      </w:r>
      <w:r w:rsidR="001859A2" w:rsidRPr="00B94A89">
        <w:t>beroepsopleiding</w:t>
      </w:r>
      <w:r w:rsidR="001859A2">
        <w:t xml:space="preserve"> en ondernemersvorming) ; </w:t>
      </w:r>
      <w:r w:rsidR="001859A2" w:rsidRPr="00B94A89">
        <w:t>Cultuur, Jeugd en Sport</w:t>
      </w:r>
      <w:r w:rsidR="001859A2">
        <w:t xml:space="preserve"> ; </w:t>
      </w:r>
      <w:r w:rsidR="001859A2" w:rsidRPr="00B94A89">
        <w:t>Welzijn, Gezondheid en Gezin</w:t>
      </w:r>
      <w:r w:rsidR="001859A2">
        <w:t xml:space="preserve"> ; </w:t>
      </w:r>
      <w:r w:rsidR="001859A2" w:rsidRPr="00B94A89">
        <w:t>Stedelijk Beleid</w:t>
      </w:r>
      <w:r w:rsidR="001859A2">
        <w:t xml:space="preserve"> ; </w:t>
      </w:r>
      <w:r w:rsidR="001859A2" w:rsidRPr="00B94A89">
        <w:t xml:space="preserve">Inburgering </w:t>
      </w:r>
      <w:r w:rsidR="001859A2">
        <w:t xml:space="preserve">en </w:t>
      </w:r>
      <w:r w:rsidR="001859A2" w:rsidRPr="00B94A89">
        <w:t>Integratie</w:t>
      </w:r>
      <w:r w:rsidR="001859A2">
        <w:t xml:space="preserve"> ; </w:t>
      </w:r>
      <w:r w:rsidR="001859A2" w:rsidRPr="00B94A89">
        <w:t>Media</w:t>
      </w:r>
      <w:r w:rsidR="001859A2">
        <w:t xml:space="preserve"> ; B</w:t>
      </w:r>
      <w:r w:rsidR="001859A2" w:rsidRPr="00B94A89">
        <w:t>russelbeleid.</w:t>
      </w:r>
    </w:p>
    <w:p w:rsidR="001859A2" w:rsidRDefault="001859A2" w:rsidP="001859A2">
      <w:pPr>
        <w:pStyle w:val="SVTitel"/>
        <w:tabs>
          <w:tab w:val="left" w:pos="284"/>
        </w:tabs>
        <w:ind w:left="567"/>
        <w:rPr>
          <w:i w:val="0"/>
        </w:rPr>
      </w:pPr>
    </w:p>
    <w:p w:rsidR="00BF6017" w:rsidRDefault="001859A2" w:rsidP="001859A2">
      <w:pPr>
        <w:pStyle w:val="SVTitel"/>
        <w:tabs>
          <w:tab w:val="left" w:pos="284"/>
        </w:tabs>
        <w:ind w:left="567"/>
        <w:rPr>
          <w:i w:val="0"/>
        </w:rPr>
      </w:pPr>
      <w:r>
        <w:rPr>
          <w:i w:val="0"/>
        </w:rPr>
        <w:t xml:space="preserve">Het betreft acht bevoegdheidspakketten die door de </w:t>
      </w:r>
      <w:proofErr w:type="spellStart"/>
      <w:r>
        <w:rPr>
          <w:i w:val="0"/>
        </w:rPr>
        <w:t>Task</w:t>
      </w:r>
      <w:proofErr w:type="spellEnd"/>
      <w:r>
        <w:rPr>
          <w:i w:val="0"/>
        </w:rPr>
        <w:t xml:space="preserve"> Force Brussel werden afgebakend bij de opmaak van zijn rapport van januari 2012</w:t>
      </w:r>
      <w:r w:rsidR="00BF6017">
        <w:rPr>
          <w:i w:val="0"/>
        </w:rPr>
        <w:t>,</w:t>
      </w:r>
      <w:r w:rsidR="00A75D31">
        <w:rPr>
          <w:i w:val="0"/>
        </w:rPr>
        <w:t xml:space="preserve"> dat opgesteld is ter voorbereiding van </w:t>
      </w:r>
      <w:r w:rsidR="00BF6017">
        <w:rPr>
          <w:i w:val="0"/>
        </w:rPr>
        <w:t xml:space="preserve">een politiek </w:t>
      </w:r>
      <w:r w:rsidR="00A75D31">
        <w:rPr>
          <w:i w:val="0"/>
        </w:rPr>
        <w:t xml:space="preserve">kerntakendebat </w:t>
      </w:r>
      <w:r w:rsidR="00BF6017">
        <w:rPr>
          <w:i w:val="0"/>
        </w:rPr>
        <w:t>dat de Vlaamse Regering over het gemeenschapsbeleid in Brussel wenst te voeren met het College van de Vlaamse Gemeenschapscommissie.</w:t>
      </w:r>
      <w:r w:rsidR="00BF6017" w:rsidRPr="00BF6017">
        <w:rPr>
          <w:i w:val="0"/>
        </w:rPr>
        <w:t xml:space="preserve"> </w:t>
      </w:r>
      <w:r w:rsidR="00BF6017">
        <w:rPr>
          <w:i w:val="0"/>
        </w:rPr>
        <w:t>In de b</w:t>
      </w:r>
      <w:r w:rsidR="00BF6017" w:rsidRPr="00CB0B49">
        <w:rPr>
          <w:i w:val="0"/>
        </w:rPr>
        <w:t>ijlage</w:t>
      </w:r>
      <w:r w:rsidR="00BF6017">
        <w:rPr>
          <w:i w:val="0"/>
        </w:rPr>
        <w:t xml:space="preserve"> 1 is meer toelichting verstrekt </w:t>
      </w:r>
      <w:r w:rsidR="00BF6017" w:rsidRPr="00CB0B49">
        <w:rPr>
          <w:i w:val="0"/>
        </w:rPr>
        <w:t xml:space="preserve">over </w:t>
      </w:r>
      <w:r w:rsidR="00BF6017">
        <w:rPr>
          <w:i w:val="0"/>
        </w:rPr>
        <w:t xml:space="preserve">de afbakening van die acht bevoegdheidspakketten en over de wijze waarop </w:t>
      </w:r>
      <w:r w:rsidR="00A016CD">
        <w:rPr>
          <w:i w:val="0"/>
        </w:rPr>
        <w:t xml:space="preserve">die </w:t>
      </w:r>
      <w:r w:rsidR="00BF6017" w:rsidRPr="00CB0B49">
        <w:rPr>
          <w:i w:val="0"/>
        </w:rPr>
        <w:t>gegevens werden verzameld</w:t>
      </w:r>
      <w:r w:rsidR="00A016CD">
        <w:rPr>
          <w:i w:val="0"/>
        </w:rPr>
        <w:t>.</w:t>
      </w:r>
    </w:p>
    <w:p w:rsidR="00BF6017" w:rsidRDefault="00BF6017" w:rsidP="001859A2">
      <w:pPr>
        <w:pStyle w:val="SVTitel"/>
        <w:tabs>
          <w:tab w:val="left" w:pos="284"/>
        </w:tabs>
        <w:ind w:left="567"/>
        <w:rPr>
          <w:i w:val="0"/>
        </w:rPr>
      </w:pPr>
    </w:p>
    <w:p w:rsidR="00BF6017" w:rsidRDefault="001859A2" w:rsidP="001859A2">
      <w:pPr>
        <w:pStyle w:val="SVTitel"/>
        <w:tabs>
          <w:tab w:val="left" w:pos="284"/>
        </w:tabs>
        <w:ind w:left="567"/>
        <w:rPr>
          <w:i w:val="0"/>
        </w:rPr>
      </w:pPr>
      <w:r>
        <w:rPr>
          <w:i w:val="0"/>
        </w:rPr>
        <w:t>In de</w:t>
      </w:r>
      <w:r w:rsidR="00BF6017">
        <w:rPr>
          <w:i w:val="0"/>
        </w:rPr>
        <w:t xml:space="preserve"> bijlage 2 zijn, specifiek met betrekking tot de bevoegdheden inburgering en integratie enerzijds en stedenbeleid anderzijds, aanvullingen en gecorrigeerde bedragen opgenomen. Het betreft gegevens die nog niet beschikbaar waren bij de beëindiging van de redactie van het rapport van de </w:t>
      </w:r>
      <w:proofErr w:type="spellStart"/>
      <w:r w:rsidR="00BF6017">
        <w:rPr>
          <w:i w:val="0"/>
        </w:rPr>
        <w:t>Task</w:t>
      </w:r>
      <w:proofErr w:type="spellEnd"/>
      <w:r w:rsidR="00BF6017">
        <w:rPr>
          <w:i w:val="0"/>
        </w:rPr>
        <w:t xml:space="preserve"> Force.</w:t>
      </w:r>
    </w:p>
    <w:p w:rsidR="00BF6017" w:rsidRDefault="00BF6017" w:rsidP="003B4439">
      <w:pPr>
        <w:pStyle w:val="SVTitel"/>
        <w:tabs>
          <w:tab w:val="left" w:pos="284"/>
        </w:tabs>
        <w:ind w:left="567"/>
        <w:rPr>
          <w:i w:val="0"/>
        </w:rPr>
      </w:pPr>
    </w:p>
    <w:p w:rsidR="00CB0B49" w:rsidRDefault="00FB4C55" w:rsidP="003B4439">
      <w:pPr>
        <w:pStyle w:val="SVTitel"/>
        <w:tabs>
          <w:tab w:val="left" w:pos="284"/>
        </w:tabs>
        <w:ind w:left="567"/>
        <w:rPr>
          <w:i w:val="0"/>
        </w:rPr>
      </w:pPr>
      <w:r>
        <w:rPr>
          <w:i w:val="0"/>
        </w:rPr>
        <w:t xml:space="preserve">In het verlengde van </w:t>
      </w:r>
      <w:r w:rsidR="00A016CD">
        <w:rPr>
          <w:i w:val="0"/>
        </w:rPr>
        <w:t xml:space="preserve">zijn </w:t>
      </w:r>
      <w:r>
        <w:rPr>
          <w:i w:val="0"/>
        </w:rPr>
        <w:t xml:space="preserve">oefening zal de </w:t>
      </w:r>
      <w:proofErr w:type="spellStart"/>
      <w:r>
        <w:rPr>
          <w:i w:val="0"/>
        </w:rPr>
        <w:t>Task</w:t>
      </w:r>
      <w:proofErr w:type="spellEnd"/>
      <w:r>
        <w:rPr>
          <w:i w:val="0"/>
        </w:rPr>
        <w:t xml:space="preserve"> Force Brussel dezelfde gegevens ook verza</w:t>
      </w:r>
      <w:r w:rsidR="00A016CD">
        <w:rPr>
          <w:i w:val="0"/>
        </w:rPr>
        <w:t xml:space="preserve">melen voor 2011. Momenteel is het grootste deel van </w:t>
      </w:r>
      <w:r>
        <w:rPr>
          <w:i w:val="0"/>
        </w:rPr>
        <w:t xml:space="preserve">die </w:t>
      </w:r>
      <w:r w:rsidR="00CB0B49" w:rsidRPr="00CB0B49">
        <w:rPr>
          <w:i w:val="0"/>
        </w:rPr>
        <w:t xml:space="preserve">gegevens </w:t>
      </w:r>
      <w:r>
        <w:rPr>
          <w:i w:val="0"/>
        </w:rPr>
        <w:t xml:space="preserve">echter nog </w:t>
      </w:r>
      <w:r w:rsidR="00CB0B49" w:rsidRPr="00CB0B49">
        <w:rPr>
          <w:i w:val="0"/>
        </w:rPr>
        <w:t>niet beschikbaar</w:t>
      </w:r>
      <w:r w:rsidR="00A016CD">
        <w:rPr>
          <w:i w:val="0"/>
        </w:rPr>
        <w:t xml:space="preserve">, en de </w:t>
      </w:r>
      <w:r w:rsidR="00CB0B49" w:rsidRPr="00CB0B49">
        <w:rPr>
          <w:i w:val="0"/>
        </w:rPr>
        <w:t>uitsplits</w:t>
      </w:r>
      <w:r w:rsidR="00A016CD">
        <w:rPr>
          <w:i w:val="0"/>
        </w:rPr>
        <w:t xml:space="preserve">ing </w:t>
      </w:r>
      <w:r w:rsidR="00CB0B49" w:rsidRPr="00CB0B49">
        <w:rPr>
          <w:i w:val="0"/>
        </w:rPr>
        <w:t xml:space="preserve">van de gegevens voor Brussel door de verschillende </w:t>
      </w:r>
      <w:r w:rsidR="00A016CD">
        <w:rPr>
          <w:i w:val="0"/>
        </w:rPr>
        <w:t xml:space="preserve">entiteiten </w:t>
      </w:r>
      <w:r w:rsidR="00CB0B49" w:rsidRPr="00CB0B49">
        <w:rPr>
          <w:i w:val="0"/>
        </w:rPr>
        <w:t xml:space="preserve">is </w:t>
      </w:r>
      <w:r w:rsidR="00A016CD">
        <w:rPr>
          <w:i w:val="0"/>
        </w:rPr>
        <w:t xml:space="preserve">ook </w:t>
      </w:r>
      <w:r w:rsidR="00CB0B49" w:rsidRPr="00CB0B49">
        <w:rPr>
          <w:i w:val="0"/>
        </w:rPr>
        <w:t>niet op korte termijn te realiseren. Zodra de</w:t>
      </w:r>
      <w:r w:rsidR="00D945AF">
        <w:rPr>
          <w:i w:val="0"/>
        </w:rPr>
        <w:t xml:space="preserve"> gegevens </w:t>
      </w:r>
      <w:r w:rsidR="00CB0B49" w:rsidRPr="00CB0B49">
        <w:rPr>
          <w:i w:val="0"/>
        </w:rPr>
        <w:t xml:space="preserve">beschikbaar zijn, zullen </w:t>
      </w:r>
      <w:r w:rsidR="004979BC">
        <w:rPr>
          <w:i w:val="0"/>
        </w:rPr>
        <w:t xml:space="preserve">zij, </w:t>
      </w:r>
      <w:r w:rsidR="00C91B4B">
        <w:rPr>
          <w:i w:val="0"/>
        </w:rPr>
        <w:t xml:space="preserve">als een </w:t>
      </w:r>
      <w:r w:rsidR="004979BC">
        <w:rPr>
          <w:i w:val="0"/>
        </w:rPr>
        <w:t xml:space="preserve">aanvulling op het rapport van de </w:t>
      </w:r>
      <w:proofErr w:type="spellStart"/>
      <w:r w:rsidR="004979BC">
        <w:rPr>
          <w:i w:val="0"/>
        </w:rPr>
        <w:t>Task</w:t>
      </w:r>
      <w:proofErr w:type="spellEnd"/>
      <w:r w:rsidR="004979BC">
        <w:rPr>
          <w:i w:val="0"/>
        </w:rPr>
        <w:t xml:space="preserve"> Force</w:t>
      </w:r>
      <w:r w:rsidR="00C91B4B">
        <w:rPr>
          <w:i w:val="0"/>
        </w:rPr>
        <w:t xml:space="preserve"> Brussel</w:t>
      </w:r>
      <w:r w:rsidR="004979BC">
        <w:rPr>
          <w:i w:val="0"/>
        </w:rPr>
        <w:t>, b</w:t>
      </w:r>
      <w:r w:rsidR="00D945AF" w:rsidRPr="004E2A29">
        <w:rPr>
          <w:i w:val="0"/>
        </w:rPr>
        <w:t>ekend gemaakt</w:t>
      </w:r>
      <w:r w:rsidR="004E2A29" w:rsidRPr="004E2A29">
        <w:rPr>
          <w:i w:val="0"/>
        </w:rPr>
        <w:t xml:space="preserve"> worden.</w:t>
      </w:r>
    </w:p>
    <w:p w:rsidR="003B4439" w:rsidRDefault="003B4439" w:rsidP="001859A2">
      <w:pPr>
        <w:pStyle w:val="SVTitel"/>
        <w:tabs>
          <w:tab w:val="left" w:pos="284"/>
        </w:tabs>
        <w:ind w:left="567"/>
        <w:rPr>
          <w:i w:val="0"/>
        </w:rPr>
      </w:pPr>
    </w:p>
    <w:p w:rsidR="001859A2" w:rsidRDefault="00A016CD" w:rsidP="001859A2">
      <w:pPr>
        <w:pStyle w:val="SVTitel"/>
        <w:tabs>
          <w:tab w:val="left" w:pos="284"/>
        </w:tabs>
        <w:ind w:left="567"/>
        <w:rPr>
          <w:i w:val="0"/>
        </w:rPr>
      </w:pPr>
      <w:r>
        <w:rPr>
          <w:i w:val="0"/>
        </w:rPr>
        <w:t xml:space="preserve">Ten slotte </w:t>
      </w:r>
      <w:r w:rsidR="001859A2">
        <w:rPr>
          <w:i w:val="0"/>
        </w:rPr>
        <w:t xml:space="preserve">zijn in de bijlage </w:t>
      </w:r>
      <w:r>
        <w:rPr>
          <w:i w:val="0"/>
        </w:rPr>
        <w:t>3</w:t>
      </w:r>
      <w:r w:rsidR="001859A2">
        <w:rPr>
          <w:i w:val="0"/>
        </w:rPr>
        <w:t xml:space="preserve"> nog aanvullingen opgenomen m.b.t. andere gemeenschaps-bevoegdheden : </w:t>
      </w:r>
      <w:r w:rsidR="008145F0">
        <w:rPr>
          <w:i w:val="0"/>
        </w:rPr>
        <w:t>toerisme en sociale economie.</w:t>
      </w:r>
    </w:p>
    <w:p w:rsidR="001859A2" w:rsidRDefault="001859A2" w:rsidP="003B4439">
      <w:pPr>
        <w:pStyle w:val="SVTitel"/>
        <w:tabs>
          <w:tab w:val="left" w:pos="284"/>
        </w:tabs>
        <w:ind w:left="567" w:hanging="283"/>
        <w:rPr>
          <w:i w:val="0"/>
        </w:rPr>
      </w:pPr>
    </w:p>
    <w:p w:rsidR="00CB0B49" w:rsidRDefault="00CB0B49" w:rsidP="00A60BFC">
      <w:pPr>
        <w:pStyle w:val="SVTitel"/>
        <w:tabs>
          <w:tab w:val="left" w:pos="284"/>
        </w:tabs>
        <w:spacing w:after="120"/>
        <w:ind w:left="568" w:hanging="284"/>
        <w:rPr>
          <w:i w:val="0"/>
        </w:rPr>
      </w:pPr>
      <w:r>
        <w:rPr>
          <w:i w:val="0"/>
        </w:rPr>
        <w:t>b)</w:t>
      </w:r>
      <w:r>
        <w:rPr>
          <w:i w:val="0"/>
        </w:rPr>
        <w:tab/>
      </w:r>
      <w:r w:rsidR="00D945AF">
        <w:rPr>
          <w:i w:val="0"/>
        </w:rPr>
        <w:t>De v</w:t>
      </w:r>
      <w:r>
        <w:rPr>
          <w:i w:val="0"/>
        </w:rPr>
        <w:t xml:space="preserve">olgende tabel geeft </w:t>
      </w:r>
      <w:r w:rsidR="008145F0">
        <w:rPr>
          <w:i w:val="0"/>
        </w:rPr>
        <w:t xml:space="preserve">- volgens de gegevens uit het rapport van de </w:t>
      </w:r>
      <w:proofErr w:type="spellStart"/>
      <w:r w:rsidR="008145F0">
        <w:rPr>
          <w:i w:val="0"/>
        </w:rPr>
        <w:t>Task</w:t>
      </w:r>
      <w:proofErr w:type="spellEnd"/>
      <w:r w:rsidR="008145F0">
        <w:rPr>
          <w:i w:val="0"/>
        </w:rPr>
        <w:t xml:space="preserve"> Force Brussel - </w:t>
      </w:r>
      <w:r>
        <w:rPr>
          <w:i w:val="0"/>
        </w:rPr>
        <w:t>de totale uitgaven</w:t>
      </w:r>
      <w:r w:rsidR="00072DD9">
        <w:rPr>
          <w:i w:val="0"/>
        </w:rPr>
        <w:t xml:space="preserve"> weer </w:t>
      </w:r>
      <w:r>
        <w:rPr>
          <w:i w:val="0"/>
        </w:rPr>
        <w:t xml:space="preserve">(Vlaanderen en Brussel samen) </w:t>
      </w:r>
      <w:r w:rsidRPr="008E60AC">
        <w:rPr>
          <w:i w:val="0"/>
        </w:rPr>
        <w:t>voor de verschillende gemeenschaps</w:t>
      </w:r>
      <w:r w:rsidR="00A016CD">
        <w:rPr>
          <w:i w:val="0"/>
        </w:rPr>
        <w:t>-</w:t>
      </w:r>
      <w:r>
        <w:rPr>
          <w:i w:val="0"/>
        </w:rPr>
        <w:t>bevoegdheden die overeenstemmen met de beleidsitems die in deelvraag a) werden gehanteerd.</w:t>
      </w:r>
    </w:p>
    <w:tbl>
      <w:tblPr>
        <w:tblW w:w="8508"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111"/>
        <w:gridCol w:w="2198"/>
        <w:gridCol w:w="2199"/>
      </w:tblGrid>
      <w:tr w:rsidR="00CB0B49" w:rsidRPr="002C46B6" w:rsidTr="003B4439">
        <w:trPr>
          <w:trHeight w:val="283"/>
        </w:trPr>
        <w:tc>
          <w:tcPr>
            <w:tcW w:w="4111" w:type="dxa"/>
            <w:shd w:val="clear" w:color="auto" w:fill="auto"/>
            <w:noWrap/>
            <w:vAlign w:val="center"/>
            <w:hideMark/>
          </w:tcPr>
          <w:p w:rsidR="00CB0B49" w:rsidRPr="004F7A35" w:rsidRDefault="00CB0B49" w:rsidP="0092270A">
            <w:pPr>
              <w:pStyle w:val="SVTitel"/>
              <w:tabs>
                <w:tab w:val="left" w:pos="284"/>
              </w:tabs>
              <w:ind w:left="567" w:hanging="567"/>
              <w:jc w:val="left"/>
              <w:rPr>
                <w:i w:val="0"/>
              </w:rPr>
            </w:pPr>
          </w:p>
        </w:tc>
        <w:tc>
          <w:tcPr>
            <w:tcW w:w="2198" w:type="dxa"/>
            <w:shd w:val="clear" w:color="auto" w:fill="auto"/>
            <w:noWrap/>
            <w:vAlign w:val="center"/>
            <w:hideMark/>
          </w:tcPr>
          <w:p w:rsidR="00CB0B49" w:rsidRPr="004F7A35" w:rsidRDefault="00CB0B49" w:rsidP="0092270A">
            <w:pPr>
              <w:pStyle w:val="SVTitel"/>
              <w:tabs>
                <w:tab w:val="left" w:pos="284"/>
              </w:tabs>
              <w:ind w:left="567" w:hanging="567"/>
              <w:jc w:val="center"/>
              <w:rPr>
                <w:b/>
                <w:i w:val="0"/>
              </w:rPr>
            </w:pPr>
            <w:r w:rsidRPr="004F7A35">
              <w:rPr>
                <w:b/>
                <w:i w:val="0"/>
              </w:rPr>
              <w:t>2009</w:t>
            </w:r>
            <w:r>
              <w:rPr>
                <w:b/>
                <w:i w:val="0"/>
              </w:rPr>
              <w:t xml:space="preserve"> (in K€)</w:t>
            </w:r>
          </w:p>
        </w:tc>
        <w:tc>
          <w:tcPr>
            <w:tcW w:w="2199" w:type="dxa"/>
            <w:shd w:val="clear" w:color="auto" w:fill="auto"/>
            <w:noWrap/>
            <w:vAlign w:val="center"/>
            <w:hideMark/>
          </w:tcPr>
          <w:p w:rsidR="00CB0B49" w:rsidRPr="004F7A35" w:rsidRDefault="00CB0B49" w:rsidP="0092270A">
            <w:pPr>
              <w:pStyle w:val="SVTitel"/>
              <w:tabs>
                <w:tab w:val="left" w:pos="284"/>
              </w:tabs>
              <w:ind w:left="567" w:hanging="567"/>
              <w:jc w:val="center"/>
              <w:rPr>
                <w:b/>
                <w:i w:val="0"/>
              </w:rPr>
            </w:pPr>
            <w:r w:rsidRPr="004F7A35">
              <w:rPr>
                <w:b/>
                <w:i w:val="0"/>
              </w:rPr>
              <w:t>2010</w:t>
            </w:r>
            <w:r>
              <w:rPr>
                <w:b/>
                <w:i w:val="0"/>
              </w:rPr>
              <w:t xml:space="preserve"> (in K€)</w:t>
            </w:r>
          </w:p>
        </w:tc>
      </w:tr>
      <w:tr w:rsidR="00CB0B49" w:rsidRPr="002C46B6" w:rsidTr="003B4439">
        <w:trPr>
          <w:trHeight w:val="283"/>
        </w:trPr>
        <w:tc>
          <w:tcPr>
            <w:tcW w:w="4111" w:type="dxa"/>
            <w:shd w:val="clear" w:color="auto" w:fill="auto"/>
            <w:noWrap/>
            <w:vAlign w:val="center"/>
            <w:hideMark/>
          </w:tcPr>
          <w:p w:rsidR="00CB0B49" w:rsidRPr="004F7A35" w:rsidRDefault="00CB0B49" w:rsidP="0092270A">
            <w:pPr>
              <w:pStyle w:val="SVTitel"/>
              <w:tabs>
                <w:tab w:val="left" w:pos="284"/>
              </w:tabs>
              <w:ind w:left="567" w:hanging="567"/>
              <w:jc w:val="left"/>
            </w:pPr>
            <w:r w:rsidRPr="004F7A35">
              <w:t>Onderwijs</w:t>
            </w:r>
          </w:p>
        </w:tc>
        <w:tc>
          <w:tcPr>
            <w:tcW w:w="2198" w:type="dxa"/>
            <w:shd w:val="clear" w:color="auto" w:fill="auto"/>
            <w:noWrap/>
            <w:vAlign w:val="center"/>
            <w:hideMark/>
          </w:tcPr>
          <w:p w:rsidR="00CB0B49" w:rsidRPr="004F7A35" w:rsidRDefault="00CB0B49" w:rsidP="0092270A">
            <w:pPr>
              <w:pStyle w:val="SVTitel"/>
              <w:tabs>
                <w:tab w:val="left" w:pos="284"/>
              </w:tabs>
              <w:ind w:left="567" w:right="569" w:hanging="567"/>
              <w:jc w:val="right"/>
              <w:rPr>
                <w:i w:val="0"/>
              </w:rPr>
            </w:pPr>
            <w:r w:rsidRPr="004F7A35">
              <w:rPr>
                <w:i w:val="0"/>
              </w:rPr>
              <w:t>9.286.609</w:t>
            </w:r>
          </w:p>
        </w:tc>
        <w:tc>
          <w:tcPr>
            <w:tcW w:w="2199" w:type="dxa"/>
            <w:shd w:val="clear" w:color="auto" w:fill="auto"/>
            <w:noWrap/>
            <w:vAlign w:val="center"/>
            <w:hideMark/>
          </w:tcPr>
          <w:p w:rsidR="00CB0B49" w:rsidRPr="004F7A35" w:rsidRDefault="00CB0B49" w:rsidP="0092270A">
            <w:pPr>
              <w:pStyle w:val="SVTitel"/>
              <w:tabs>
                <w:tab w:val="left" w:pos="284"/>
              </w:tabs>
              <w:ind w:left="567" w:right="497" w:hanging="567"/>
              <w:jc w:val="right"/>
              <w:rPr>
                <w:i w:val="0"/>
              </w:rPr>
            </w:pPr>
            <w:r w:rsidRPr="004F7A35">
              <w:rPr>
                <w:i w:val="0"/>
              </w:rPr>
              <w:t>9.854.974</w:t>
            </w:r>
          </w:p>
        </w:tc>
      </w:tr>
      <w:tr w:rsidR="00CB0B49" w:rsidRPr="002C46B6" w:rsidTr="003B4439">
        <w:trPr>
          <w:trHeight w:val="283"/>
        </w:trPr>
        <w:tc>
          <w:tcPr>
            <w:tcW w:w="4111" w:type="dxa"/>
            <w:shd w:val="clear" w:color="auto" w:fill="auto"/>
            <w:noWrap/>
            <w:vAlign w:val="center"/>
            <w:hideMark/>
          </w:tcPr>
          <w:p w:rsidR="00CB0B49" w:rsidRPr="004F7A35" w:rsidRDefault="00072DD9" w:rsidP="0092270A">
            <w:pPr>
              <w:pStyle w:val="SVTitel"/>
              <w:tabs>
                <w:tab w:val="left" w:pos="284"/>
              </w:tabs>
              <w:ind w:left="567" w:hanging="567"/>
              <w:jc w:val="left"/>
            </w:pPr>
            <w:r>
              <w:t xml:space="preserve">Werk (luik </w:t>
            </w:r>
            <w:r w:rsidR="00CB0B49" w:rsidRPr="004F7A35">
              <w:t>Beroepsopleiding</w:t>
            </w:r>
            <w:r>
              <w:t>)</w:t>
            </w:r>
          </w:p>
        </w:tc>
        <w:tc>
          <w:tcPr>
            <w:tcW w:w="2198" w:type="dxa"/>
            <w:shd w:val="clear" w:color="auto" w:fill="auto"/>
            <w:noWrap/>
            <w:vAlign w:val="center"/>
            <w:hideMark/>
          </w:tcPr>
          <w:p w:rsidR="00CB0B49" w:rsidRPr="004F7A35" w:rsidRDefault="00CB0B49" w:rsidP="0092270A">
            <w:pPr>
              <w:pStyle w:val="SVTitel"/>
              <w:tabs>
                <w:tab w:val="left" w:pos="284"/>
              </w:tabs>
              <w:ind w:left="567" w:right="569" w:hanging="567"/>
              <w:jc w:val="right"/>
              <w:rPr>
                <w:i w:val="0"/>
              </w:rPr>
            </w:pPr>
            <w:r w:rsidRPr="004F7A35">
              <w:rPr>
                <w:i w:val="0"/>
              </w:rPr>
              <w:t>196.286</w:t>
            </w:r>
          </w:p>
        </w:tc>
        <w:tc>
          <w:tcPr>
            <w:tcW w:w="2199" w:type="dxa"/>
            <w:shd w:val="clear" w:color="auto" w:fill="auto"/>
            <w:noWrap/>
            <w:vAlign w:val="center"/>
            <w:hideMark/>
          </w:tcPr>
          <w:p w:rsidR="00CB0B49" w:rsidRPr="004F7A35" w:rsidRDefault="00CB0B49" w:rsidP="0092270A">
            <w:pPr>
              <w:pStyle w:val="SVTitel"/>
              <w:tabs>
                <w:tab w:val="left" w:pos="284"/>
              </w:tabs>
              <w:ind w:left="567" w:right="497" w:hanging="567"/>
              <w:jc w:val="right"/>
              <w:rPr>
                <w:i w:val="0"/>
              </w:rPr>
            </w:pPr>
            <w:r w:rsidRPr="004F7A35">
              <w:rPr>
                <w:i w:val="0"/>
              </w:rPr>
              <w:t>195.214</w:t>
            </w:r>
          </w:p>
        </w:tc>
      </w:tr>
      <w:tr w:rsidR="00CB0B49" w:rsidRPr="002C46B6" w:rsidTr="003B4439">
        <w:trPr>
          <w:trHeight w:val="283"/>
        </w:trPr>
        <w:tc>
          <w:tcPr>
            <w:tcW w:w="4111" w:type="dxa"/>
            <w:shd w:val="clear" w:color="auto" w:fill="auto"/>
            <w:noWrap/>
            <w:vAlign w:val="center"/>
            <w:hideMark/>
          </w:tcPr>
          <w:p w:rsidR="00CB0B49" w:rsidRPr="004F7A35" w:rsidRDefault="00CB0B49" w:rsidP="0092270A">
            <w:pPr>
              <w:pStyle w:val="SVTitel"/>
              <w:tabs>
                <w:tab w:val="left" w:pos="284"/>
              </w:tabs>
              <w:ind w:left="567" w:hanging="567"/>
              <w:jc w:val="left"/>
            </w:pPr>
            <w:r w:rsidRPr="004F7A35">
              <w:t>Cultuur, Jeugd en Sport</w:t>
            </w:r>
          </w:p>
        </w:tc>
        <w:tc>
          <w:tcPr>
            <w:tcW w:w="2198" w:type="dxa"/>
            <w:shd w:val="clear" w:color="auto" w:fill="auto"/>
            <w:noWrap/>
            <w:vAlign w:val="center"/>
            <w:hideMark/>
          </w:tcPr>
          <w:p w:rsidR="00CB0B49" w:rsidRPr="004F7A35" w:rsidRDefault="00CB0B49" w:rsidP="0092270A">
            <w:pPr>
              <w:pStyle w:val="SVTitel"/>
              <w:tabs>
                <w:tab w:val="left" w:pos="284"/>
              </w:tabs>
              <w:ind w:left="567" w:right="569" w:hanging="567"/>
              <w:jc w:val="right"/>
              <w:rPr>
                <w:i w:val="0"/>
              </w:rPr>
            </w:pPr>
            <w:r w:rsidRPr="004F7A35">
              <w:rPr>
                <w:i w:val="0"/>
              </w:rPr>
              <w:t>688.891</w:t>
            </w:r>
          </w:p>
        </w:tc>
        <w:tc>
          <w:tcPr>
            <w:tcW w:w="2199" w:type="dxa"/>
            <w:shd w:val="clear" w:color="auto" w:fill="auto"/>
            <w:noWrap/>
            <w:vAlign w:val="center"/>
            <w:hideMark/>
          </w:tcPr>
          <w:p w:rsidR="00CB0B49" w:rsidRPr="004F7A35" w:rsidRDefault="00CB0B49" w:rsidP="0092270A">
            <w:pPr>
              <w:pStyle w:val="SVTitel"/>
              <w:tabs>
                <w:tab w:val="left" w:pos="284"/>
              </w:tabs>
              <w:ind w:left="567" w:right="497" w:hanging="567"/>
              <w:jc w:val="right"/>
              <w:rPr>
                <w:i w:val="0"/>
              </w:rPr>
            </w:pPr>
            <w:r w:rsidRPr="004F7A35">
              <w:rPr>
                <w:i w:val="0"/>
              </w:rPr>
              <w:t>695.998</w:t>
            </w:r>
          </w:p>
        </w:tc>
      </w:tr>
      <w:tr w:rsidR="00CB0B49" w:rsidRPr="002C46B6" w:rsidTr="003B4439">
        <w:trPr>
          <w:trHeight w:val="283"/>
        </w:trPr>
        <w:tc>
          <w:tcPr>
            <w:tcW w:w="4111" w:type="dxa"/>
            <w:shd w:val="clear" w:color="auto" w:fill="auto"/>
            <w:noWrap/>
            <w:vAlign w:val="center"/>
            <w:hideMark/>
          </w:tcPr>
          <w:p w:rsidR="00CB0B49" w:rsidRPr="004F7A35" w:rsidRDefault="00CB0B49" w:rsidP="0092270A">
            <w:pPr>
              <w:pStyle w:val="SVTitel"/>
              <w:tabs>
                <w:tab w:val="left" w:pos="284"/>
              </w:tabs>
              <w:ind w:left="567" w:hanging="567"/>
              <w:jc w:val="left"/>
            </w:pPr>
            <w:r w:rsidRPr="004F7A35">
              <w:t>Welzijn, Gezondheid en Gezin</w:t>
            </w:r>
          </w:p>
        </w:tc>
        <w:tc>
          <w:tcPr>
            <w:tcW w:w="2198" w:type="dxa"/>
            <w:shd w:val="clear" w:color="auto" w:fill="auto"/>
            <w:noWrap/>
            <w:vAlign w:val="center"/>
            <w:hideMark/>
          </w:tcPr>
          <w:p w:rsidR="00CB0B49" w:rsidRPr="004F7A35" w:rsidRDefault="00CB0B49" w:rsidP="0092270A">
            <w:pPr>
              <w:pStyle w:val="SVTitel"/>
              <w:tabs>
                <w:tab w:val="left" w:pos="284"/>
              </w:tabs>
              <w:ind w:left="567" w:right="569" w:hanging="567"/>
              <w:jc w:val="right"/>
              <w:rPr>
                <w:i w:val="0"/>
              </w:rPr>
            </w:pPr>
            <w:r w:rsidRPr="004F7A35">
              <w:rPr>
                <w:i w:val="0"/>
              </w:rPr>
              <w:t>3.142.559</w:t>
            </w:r>
          </w:p>
        </w:tc>
        <w:tc>
          <w:tcPr>
            <w:tcW w:w="2199" w:type="dxa"/>
            <w:shd w:val="clear" w:color="auto" w:fill="auto"/>
            <w:noWrap/>
            <w:vAlign w:val="center"/>
            <w:hideMark/>
          </w:tcPr>
          <w:p w:rsidR="00CB0B49" w:rsidRPr="004F7A35" w:rsidRDefault="00CB0B49" w:rsidP="0092270A">
            <w:pPr>
              <w:pStyle w:val="SVTitel"/>
              <w:tabs>
                <w:tab w:val="left" w:pos="284"/>
              </w:tabs>
              <w:ind w:left="567" w:right="497" w:hanging="567"/>
              <w:jc w:val="right"/>
              <w:rPr>
                <w:i w:val="0"/>
              </w:rPr>
            </w:pPr>
            <w:r w:rsidRPr="004F7A35">
              <w:rPr>
                <w:i w:val="0"/>
              </w:rPr>
              <w:t>3.164.086</w:t>
            </w:r>
          </w:p>
        </w:tc>
      </w:tr>
      <w:tr w:rsidR="00CB0B49" w:rsidRPr="002C46B6" w:rsidTr="003B4439">
        <w:trPr>
          <w:trHeight w:val="283"/>
        </w:trPr>
        <w:tc>
          <w:tcPr>
            <w:tcW w:w="4111" w:type="dxa"/>
            <w:shd w:val="clear" w:color="auto" w:fill="auto"/>
            <w:noWrap/>
            <w:vAlign w:val="center"/>
            <w:hideMark/>
          </w:tcPr>
          <w:p w:rsidR="00CB0B49" w:rsidRPr="004F7A35" w:rsidRDefault="00CB0B49" w:rsidP="0092270A">
            <w:pPr>
              <w:pStyle w:val="SVTitel"/>
              <w:tabs>
                <w:tab w:val="left" w:pos="284"/>
              </w:tabs>
              <w:ind w:left="567" w:hanging="567"/>
              <w:jc w:val="left"/>
            </w:pPr>
            <w:r w:rsidRPr="004F7A35">
              <w:t>Stedenbeleid</w:t>
            </w:r>
          </w:p>
        </w:tc>
        <w:tc>
          <w:tcPr>
            <w:tcW w:w="2198" w:type="dxa"/>
            <w:shd w:val="clear" w:color="auto" w:fill="auto"/>
            <w:noWrap/>
            <w:vAlign w:val="center"/>
            <w:hideMark/>
          </w:tcPr>
          <w:p w:rsidR="00CB0B49" w:rsidRPr="004F7A35" w:rsidRDefault="00CB0B49" w:rsidP="008145F0">
            <w:pPr>
              <w:pStyle w:val="SVTitel"/>
              <w:tabs>
                <w:tab w:val="left" w:pos="284"/>
              </w:tabs>
              <w:ind w:left="567" w:right="143" w:hanging="567"/>
              <w:jc w:val="right"/>
              <w:rPr>
                <w:i w:val="0"/>
              </w:rPr>
            </w:pPr>
            <w:r w:rsidRPr="004F7A35">
              <w:rPr>
                <w:i w:val="0"/>
              </w:rPr>
              <w:t>141.990</w:t>
            </w:r>
            <w:r w:rsidR="008145F0">
              <w:rPr>
                <w:i w:val="0"/>
              </w:rPr>
              <w:t xml:space="preserve">   </w:t>
            </w:r>
            <w:r w:rsidR="008145F0" w:rsidRPr="00A016CD">
              <w:rPr>
                <w:i w:val="0"/>
                <w:sz w:val="18"/>
                <w:szCs w:val="18"/>
              </w:rPr>
              <w:t>(a)</w:t>
            </w:r>
          </w:p>
        </w:tc>
        <w:tc>
          <w:tcPr>
            <w:tcW w:w="2199" w:type="dxa"/>
            <w:shd w:val="clear" w:color="auto" w:fill="auto"/>
            <w:noWrap/>
            <w:vAlign w:val="center"/>
            <w:hideMark/>
          </w:tcPr>
          <w:p w:rsidR="00CB0B49" w:rsidRPr="004F7A35" w:rsidRDefault="00CB0B49" w:rsidP="008145F0">
            <w:pPr>
              <w:pStyle w:val="SVTitel"/>
              <w:tabs>
                <w:tab w:val="left" w:pos="284"/>
              </w:tabs>
              <w:ind w:left="567" w:right="74" w:hanging="567"/>
              <w:jc w:val="right"/>
              <w:rPr>
                <w:i w:val="0"/>
              </w:rPr>
            </w:pPr>
            <w:r w:rsidRPr="004F7A35">
              <w:rPr>
                <w:i w:val="0"/>
              </w:rPr>
              <w:t>138.082</w:t>
            </w:r>
            <w:r w:rsidR="008145F0">
              <w:rPr>
                <w:i w:val="0"/>
              </w:rPr>
              <w:t xml:space="preserve">   </w:t>
            </w:r>
            <w:r w:rsidR="008145F0" w:rsidRPr="00A016CD">
              <w:rPr>
                <w:i w:val="0"/>
                <w:sz w:val="18"/>
                <w:szCs w:val="18"/>
              </w:rPr>
              <w:t>(a)</w:t>
            </w:r>
          </w:p>
        </w:tc>
      </w:tr>
      <w:tr w:rsidR="00CB0B49" w:rsidRPr="002C46B6" w:rsidTr="003B4439">
        <w:trPr>
          <w:trHeight w:val="283"/>
        </w:trPr>
        <w:tc>
          <w:tcPr>
            <w:tcW w:w="4111" w:type="dxa"/>
            <w:shd w:val="clear" w:color="auto" w:fill="auto"/>
            <w:noWrap/>
            <w:vAlign w:val="center"/>
            <w:hideMark/>
          </w:tcPr>
          <w:p w:rsidR="00CB0B49" w:rsidRPr="004F7A35" w:rsidRDefault="00CB0B49" w:rsidP="0092270A">
            <w:pPr>
              <w:pStyle w:val="SVTitel"/>
              <w:tabs>
                <w:tab w:val="left" w:pos="284"/>
              </w:tabs>
              <w:ind w:left="567" w:hanging="567"/>
              <w:jc w:val="left"/>
            </w:pPr>
            <w:r w:rsidRPr="004F7A35">
              <w:t>Integratie en Inburgering</w:t>
            </w:r>
          </w:p>
        </w:tc>
        <w:tc>
          <w:tcPr>
            <w:tcW w:w="2198" w:type="dxa"/>
            <w:shd w:val="clear" w:color="auto" w:fill="auto"/>
            <w:noWrap/>
            <w:vAlign w:val="center"/>
            <w:hideMark/>
          </w:tcPr>
          <w:p w:rsidR="00CB0B49" w:rsidRPr="004F7A35" w:rsidRDefault="00CB0B49" w:rsidP="00AF6924">
            <w:pPr>
              <w:pStyle w:val="SVTitel"/>
              <w:tabs>
                <w:tab w:val="left" w:pos="284"/>
              </w:tabs>
              <w:ind w:left="567" w:right="143" w:hanging="567"/>
              <w:jc w:val="right"/>
              <w:rPr>
                <w:i w:val="0"/>
              </w:rPr>
            </w:pPr>
            <w:r w:rsidRPr="004F7A35">
              <w:rPr>
                <w:i w:val="0"/>
              </w:rPr>
              <w:t>60.642</w:t>
            </w:r>
            <w:r w:rsidR="00AF6924">
              <w:rPr>
                <w:i w:val="0"/>
              </w:rPr>
              <w:t xml:space="preserve">   </w:t>
            </w:r>
            <w:r w:rsidR="00AF6924" w:rsidRPr="00AF6924">
              <w:rPr>
                <w:i w:val="0"/>
                <w:sz w:val="18"/>
                <w:szCs w:val="18"/>
              </w:rPr>
              <w:t>(a)</w:t>
            </w:r>
          </w:p>
        </w:tc>
        <w:tc>
          <w:tcPr>
            <w:tcW w:w="2199" w:type="dxa"/>
            <w:shd w:val="clear" w:color="auto" w:fill="auto"/>
            <w:noWrap/>
            <w:vAlign w:val="center"/>
            <w:hideMark/>
          </w:tcPr>
          <w:p w:rsidR="00CB0B49" w:rsidRPr="004F7A35" w:rsidRDefault="00CB0B49" w:rsidP="00AF6924">
            <w:pPr>
              <w:pStyle w:val="SVTitel"/>
              <w:tabs>
                <w:tab w:val="left" w:pos="284"/>
              </w:tabs>
              <w:ind w:left="567" w:right="74" w:hanging="567"/>
              <w:jc w:val="right"/>
              <w:rPr>
                <w:i w:val="0"/>
              </w:rPr>
            </w:pPr>
            <w:r w:rsidRPr="004F7A35">
              <w:rPr>
                <w:i w:val="0"/>
              </w:rPr>
              <w:t>60.642</w:t>
            </w:r>
            <w:r w:rsidR="00AF6924">
              <w:rPr>
                <w:i w:val="0"/>
              </w:rPr>
              <w:t xml:space="preserve">   </w:t>
            </w:r>
            <w:r w:rsidR="00AF6924" w:rsidRPr="00AF6924">
              <w:rPr>
                <w:i w:val="0"/>
                <w:sz w:val="18"/>
                <w:szCs w:val="18"/>
              </w:rPr>
              <w:t>(a)</w:t>
            </w:r>
          </w:p>
        </w:tc>
      </w:tr>
      <w:tr w:rsidR="00CB0B49" w:rsidRPr="002C46B6" w:rsidTr="003B4439">
        <w:trPr>
          <w:trHeight w:val="283"/>
        </w:trPr>
        <w:tc>
          <w:tcPr>
            <w:tcW w:w="4111" w:type="dxa"/>
            <w:shd w:val="clear" w:color="auto" w:fill="auto"/>
            <w:noWrap/>
            <w:vAlign w:val="center"/>
            <w:hideMark/>
          </w:tcPr>
          <w:p w:rsidR="00CB0B49" w:rsidRPr="004F7A35" w:rsidRDefault="00CB0B49" w:rsidP="00C44E28">
            <w:pPr>
              <w:pStyle w:val="SVTitel"/>
              <w:tabs>
                <w:tab w:val="left" w:pos="284"/>
              </w:tabs>
              <w:ind w:left="567" w:hanging="567"/>
              <w:jc w:val="left"/>
            </w:pPr>
            <w:r w:rsidRPr="004F7A35">
              <w:t xml:space="preserve">Communicatie </w:t>
            </w:r>
            <w:r w:rsidR="00C44E28">
              <w:t xml:space="preserve">en </w:t>
            </w:r>
            <w:r w:rsidRPr="004F7A35">
              <w:t>Media (regionale tv)</w:t>
            </w:r>
          </w:p>
        </w:tc>
        <w:tc>
          <w:tcPr>
            <w:tcW w:w="2198" w:type="dxa"/>
            <w:shd w:val="clear" w:color="auto" w:fill="auto"/>
            <w:noWrap/>
            <w:vAlign w:val="center"/>
            <w:hideMark/>
          </w:tcPr>
          <w:p w:rsidR="00CB0B49" w:rsidRPr="004F7A35" w:rsidRDefault="00CB0B49" w:rsidP="0092270A">
            <w:pPr>
              <w:pStyle w:val="SVTitel"/>
              <w:tabs>
                <w:tab w:val="left" w:pos="284"/>
              </w:tabs>
              <w:ind w:left="567" w:right="569" w:hanging="567"/>
              <w:jc w:val="right"/>
              <w:rPr>
                <w:i w:val="0"/>
              </w:rPr>
            </w:pPr>
            <w:r w:rsidRPr="004F7A35">
              <w:rPr>
                <w:i w:val="0"/>
              </w:rPr>
              <w:t>2.185</w:t>
            </w:r>
          </w:p>
        </w:tc>
        <w:tc>
          <w:tcPr>
            <w:tcW w:w="2199" w:type="dxa"/>
            <w:shd w:val="clear" w:color="auto" w:fill="auto"/>
            <w:noWrap/>
            <w:vAlign w:val="center"/>
            <w:hideMark/>
          </w:tcPr>
          <w:p w:rsidR="00CB0B49" w:rsidRPr="004F7A35" w:rsidRDefault="00CB0B49" w:rsidP="0092270A">
            <w:pPr>
              <w:pStyle w:val="SVTitel"/>
              <w:tabs>
                <w:tab w:val="left" w:pos="284"/>
              </w:tabs>
              <w:ind w:left="567" w:right="497" w:hanging="567"/>
              <w:jc w:val="right"/>
              <w:rPr>
                <w:i w:val="0"/>
              </w:rPr>
            </w:pPr>
            <w:r w:rsidRPr="004F7A35">
              <w:rPr>
                <w:i w:val="0"/>
              </w:rPr>
              <w:t>2.076</w:t>
            </w:r>
          </w:p>
        </w:tc>
      </w:tr>
      <w:tr w:rsidR="00CB0B49" w:rsidRPr="002C46B6" w:rsidTr="003B4439">
        <w:trPr>
          <w:trHeight w:val="283"/>
        </w:trPr>
        <w:tc>
          <w:tcPr>
            <w:tcW w:w="4111" w:type="dxa"/>
            <w:shd w:val="clear" w:color="auto" w:fill="auto"/>
            <w:noWrap/>
            <w:vAlign w:val="center"/>
            <w:hideMark/>
          </w:tcPr>
          <w:p w:rsidR="00CB0B49" w:rsidRPr="004F7A35" w:rsidRDefault="00CB0B49" w:rsidP="0092270A">
            <w:pPr>
              <w:pStyle w:val="SVTitel"/>
              <w:tabs>
                <w:tab w:val="left" w:pos="284"/>
              </w:tabs>
              <w:ind w:left="567" w:hanging="567"/>
              <w:jc w:val="left"/>
            </w:pPr>
            <w:r w:rsidRPr="004F7A35">
              <w:t>Brusselbeleid</w:t>
            </w:r>
          </w:p>
        </w:tc>
        <w:tc>
          <w:tcPr>
            <w:tcW w:w="2198" w:type="dxa"/>
            <w:shd w:val="clear" w:color="auto" w:fill="auto"/>
            <w:noWrap/>
            <w:vAlign w:val="center"/>
            <w:hideMark/>
          </w:tcPr>
          <w:p w:rsidR="00CB0B49" w:rsidRPr="004F7A35" w:rsidRDefault="00CB0B49" w:rsidP="0092270A">
            <w:pPr>
              <w:pStyle w:val="SVTitel"/>
              <w:tabs>
                <w:tab w:val="left" w:pos="284"/>
              </w:tabs>
              <w:ind w:left="567" w:right="569" w:hanging="567"/>
              <w:jc w:val="right"/>
              <w:rPr>
                <w:i w:val="0"/>
              </w:rPr>
            </w:pPr>
            <w:r w:rsidRPr="004F7A35">
              <w:rPr>
                <w:i w:val="0"/>
              </w:rPr>
              <w:t>59.353</w:t>
            </w:r>
          </w:p>
        </w:tc>
        <w:tc>
          <w:tcPr>
            <w:tcW w:w="2199" w:type="dxa"/>
            <w:shd w:val="clear" w:color="auto" w:fill="auto"/>
            <w:noWrap/>
            <w:vAlign w:val="center"/>
            <w:hideMark/>
          </w:tcPr>
          <w:p w:rsidR="00CB0B49" w:rsidRPr="004F7A35" w:rsidRDefault="00CB0B49" w:rsidP="0092270A">
            <w:pPr>
              <w:pStyle w:val="SVTitel"/>
              <w:tabs>
                <w:tab w:val="left" w:pos="284"/>
              </w:tabs>
              <w:ind w:left="567" w:right="497" w:hanging="567"/>
              <w:jc w:val="right"/>
              <w:rPr>
                <w:i w:val="0"/>
              </w:rPr>
            </w:pPr>
            <w:r w:rsidRPr="004F7A35">
              <w:rPr>
                <w:i w:val="0"/>
              </w:rPr>
              <w:t>54.999</w:t>
            </w:r>
          </w:p>
        </w:tc>
      </w:tr>
      <w:tr w:rsidR="00CB0B49" w:rsidRPr="002C46B6" w:rsidTr="003B4439">
        <w:trPr>
          <w:trHeight w:val="283"/>
        </w:trPr>
        <w:tc>
          <w:tcPr>
            <w:tcW w:w="4111" w:type="dxa"/>
            <w:shd w:val="clear" w:color="auto" w:fill="auto"/>
            <w:noWrap/>
            <w:vAlign w:val="center"/>
            <w:hideMark/>
          </w:tcPr>
          <w:p w:rsidR="00CB0B49" w:rsidRPr="004F7A35" w:rsidRDefault="00CB0B49" w:rsidP="0092270A">
            <w:pPr>
              <w:pStyle w:val="SVTitel"/>
              <w:tabs>
                <w:tab w:val="left" w:pos="284"/>
              </w:tabs>
              <w:ind w:left="567" w:hanging="567"/>
              <w:jc w:val="left"/>
              <w:rPr>
                <w:b/>
              </w:rPr>
            </w:pPr>
            <w:r w:rsidRPr="004F7A35">
              <w:rPr>
                <w:b/>
              </w:rPr>
              <w:t>Totaal</w:t>
            </w:r>
          </w:p>
        </w:tc>
        <w:tc>
          <w:tcPr>
            <w:tcW w:w="2198" w:type="dxa"/>
            <w:shd w:val="clear" w:color="auto" w:fill="auto"/>
            <w:noWrap/>
            <w:vAlign w:val="center"/>
            <w:hideMark/>
          </w:tcPr>
          <w:p w:rsidR="00CB0B49" w:rsidRPr="004F7A35" w:rsidRDefault="00CB0B49" w:rsidP="0092270A">
            <w:pPr>
              <w:pStyle w:val="SVTitel"/>
              <w:tabs>
                <w:tab w:val="left" w:pos="284"/>
              </w:tabs>
              <w:ind w:left="567" w:right="569" w:hanging="567"/>
              <w:jc w:val="right"/>
              <w:rPr>
                <w:b/>
                <w:i w:val="0"/>
              </w:rPr>
            </w:pPr>
            <w:r w:rsidRPr="004F7A35">
              <w:rPr>
                <w:b/>
                <w:i w:val="0"/>
              </w:rPr>
              <w:t>13.578.515</w:t>
            </w:r>
          </w:p>
        </w:tc>
        <w:tc>
          <w:tcPr>
            <w:tcW w:w="2199" w:type="dxa"/>
            <w:shd w:val="clear" w:color="auto" w:fill="auto"/>
            <w:noWrap/>
            <w:vAlign w:val="center"/>
            <w:hideMark/>
          </w:tcPr>
          <w:p w:rsidR="00CB0B49" w:rsidRPr="004F7A35" w:rsidRDefault="00CB0B49" w:rsidP="0092270A">
            <w:pPr>
              <w:pStyle w:val="SVTitel"/>
              <w:tabs>
                <w:tab w:val="left" w:pos="284"/>
              </w:tabs>
              <w:ind w:left="567" w:right="497" w:hanging="567"/>
              <w:jc w:val="right"/>
              <w:rPr>
                <w:b/>
                <w:i w:val="0"/>
              </w:rPr>
            </w:pPr>
            <w:r w:rsidRPr="004F7A35">
              <w:rPr>
                <w:b/>
                <w:i w:val="0"/>
              </w:rPr>
              <w:t>14.166.071</w:t>
            </w:r>
          </w:p>
        </w:tc>
      </w:tr>
    </w:tbl>
    <w:p w:rsidR="00A60BFC" w:rsidRDefault="008145F0" w:rsidP="001A5587">
      <w:pPr>
        <w:tabs>
          <w:tab w:val="left" w:pos="993"/>
        </w:tabs>
        <w:spacing w:before="120"/>
        <w:ind w:left="992" w:hanging="425"/>
        <w:rPr>
          <w:sz w:val="18"/>
          <w:szCs w:val="18"/>
        </w:rPr>
      </w:pPr>
      <w:r w:rsidRPr="00A016CD">
        <w:rPr>
          <w:i/>
          <w:sz w:val="18"/>
          <w:szCs w:val="18"/>
        </w:rPr>
        <w:t>(a)</w:t>
      </w:r>
      <w:r w:rsidRPr="00A016CD">
        <w:rPr>
          <w:i/>
          <w:sz w:val="18"/>
          <w:szCs w:val="18"/>
        </w:rPr>
        <w:tab/>
        <w:t xml:space="preserve">Inmiddels heeft het bevoegde agentschap </w:t>
      </w:r>
      <w:r w:rsidR="00A016CD">
        <w:rPr>
          <w:i/>
          <w:sz w:val="18"/>
          <w:szCs w:val="18"/>
        </w:rPr>
        <w:t xml:space="preserve">de </w:t>
      </w:r>
      <w:r w:rsidRPr="00A016CD">
        <w:rPr>
          <w:i/>
          <w:sz w:val="18"/>
          <w:szCs w:val="18"/>
        </w:rPr>
        <w:t>cijfers d</w:t>
      </w:r>
      <w:r w:rsidR="00A016CD">
        <w:rPr>
          <w:i/>
          <w:sz w:val="18"/>
          <w:szCs w:val="18"/>
        </w:rPr>
        <w:t>ie het had d</w:t>
      </w:r>
      <w:r w:rsidRPr="00A016CD">
        <w:rPr>
          <w:i/>
          <w:sz w:val="18"/>
          <w:szCs w:val="18"/>
        </w:rPr>
        <w:t xml:space="preserve">oorgegeven </w:t>
      </w:r>
      <w:r w:rsidR="00A016CD">
        <w:rPr>
          <w:i/>
          <w:sz w:val="18"/>
          <w:szCs w:val="18"/>
        </w:rPr>
        <w:t xml:space="preserve">aan de </w:t>
      </w:r>
      <w:proofErr w:type="spellStart"/>
      <w:r w:rsidR="00A016CD">
        <w:rPr>
          <w:i/>
          <w:sz w:val="18"/>
          <w:szCs w:val="18"/>
        </w:rPr>
        <w:t>Task</w:t>
      </w:r>
      <w:proofErr w:type="spellEnd"/>
      <w:r w:rsidR="00A016CD">
        <w:rPr>
          <w:i/>
          <w:sz w:val="18"/>
          <w:szCs w:val="18"/>
        </w:rPr>
        <w:t xml:space="preserve"> Force Brussel geactualiseerd </w:t>
      </w:r>
      <w:r w:rsidRPr="00A016CD">
        <w:rPr>
          <w:i/>
          <w:sz w:val="18"/>
          <w:szCs w:val="18"/>
        </w:rPr>
        <w:t>- zie d</w:t>
      </w:r>
      <w:r w:rsidR="00A016CD">
        <w:rPr>
          <w:i/>
          <w:sz w:val="18"/>
          <w:szCs w:val="18"/>
        </w:rPr>
        <w:t>aartoe d</w:t>
      </w:r>
      <w:r w:rsidRPr="00A016CD">
        <w:rPr>
          <w:i/>
          <w:sz w:val="18"/>
          <w:szCs w:val="18"/>
        </w:rPr>
        <w:t xml:space="preserve">e bijlage </w:t>
      </w:r>
      <w:r w:rsidR="00A016CD">
        <w:rPr>
          <w:i/>
          <w:sz w:val="18"/>
          <w:szCs w:val="18"/>
        </w:rPr>
        <w:t>2</w:t>
      </w:r>
      <w:r w:rsidRPr="00A016CD">
        <w:rPr>
          <w:i/>
          <w:sz w:val="18"/>
          <w:szCs w:val="18"/>
        </w:rPr>
        <w:t>.</w:t>
      </w:r>
      <w:r w:rsidR="00A60BFC">
        <w:rPr>
          <w:i/>
          <w:sz w:val="18"/>
          <w:szCs w:val="18"/>
        </w:rPr>
        <w:br w:type="page"/>
      </w:r>
    </w:p>
    <w:p w:rsidR="00A016CD" w:rsidRDefault="00A016CD" w:rsidP="00CB0B49">
      <w:pPr>
        <w:pStyle w:val="SVTitel"/>
        <w:tabs>
          <w:tab w:val="left" w:pos="426"/>
        </w:tabs>
        <w:ind w:left="426" w:hanging="426"/>
        <w:rPr>
          <w:i w:val="0"/>
          <w:spacing w:val="-3"/>
        </w:rPr>
      </w:pPr>
    </w:p>
    <w:p w:rsidR="00D945AF" w:rsidRDefault="00CB0B49" w:rsidP="00CB0B49">
      <w:pPr>
        <w:pStyle w:val="SVTitel"/>
        <w:tabs>
          <w:tab w:val="left" w:pos="426"/>
        </w:tabs>
        <w:ind w:left="426" w:hanging="426"/>
        <w:rPr>
          <w:i w:val="0"/>
        </w:rPr>
      </w:pPr>
      <w:r>
        <w:rPr>
          <w:i w:val="0"/>
          <w:spacing w:val="-3"/>
        </w:rPr>
        <w:t>2.</w:t>
      </w:r>
      <w:r>
        <w:rPr>
          <w:i w:val="0"/>
          <w:spacing w:val="-3"/>
        </w:rPr>
        <w:tab/>
        <w:t xml:space="preserve">Afgezien </w:t>
      </w:r>
      <w:r w:rsidRPr="003172E4">
        <w:rPr>
          <w:i w:val="0"/>
        </w:rPr>
        <w:t>van een aantal specifieke uitgaven</w:t>
      </w:r>
      <w:r w:rsidR="00841584">
        <w:rPr>
          <w:i w:val="0"/>
        </w:rPr>
        <w:t xml:space="preserve"> -</w:t>
      </w:r>
      <w:r w:rsidRPr="003172E4">
        <w:rPr>
          <w:i w:val="0"/>
        </w:rPr>
        <w:t xml:space="preserve">zoals </w:t>
      </w:r>
      <w:r w:rsidR="00D945AF">
        <w:rPr>
          <w:i w:val="0"/>
        </w:rPr>
        <w:t xml:space="preserve">bijvoorbeeld degene voor mijn eigen bevoegdheden als coördinerend </w:t>
      </w:r>
      <w:r w:rsidR="00C526E7">
        <w:rPr>
          <w:i w:val="0"/>
        </w:rPr>
        <w:t>m</w:t>
      </w:r>
      <w:r w:rsidR="00D945AF">
        <w:rPr>
          <w:i w:val="0"/>
        </w:rPr>
        <w:t xml:space="preserve">inister voor </w:t>
      </w:r>
      <w:r w:rsidRPr="003172E4">
        <w:rPr>
          <w:i w:val="0"/>
        </w:rPr>
        <w:t xml:space="preserve">het Brusselbeleid van de Vlaamse Regering, </w:t>
      </w:r>
      <w:r w:rsidR="00841584">
        <w:rPr>
          <w:i w:val="0"/>
        </w:rPr>
        <w:t xml:space="preserve">aangezien die het voorwerp uitmaken van afzonderlijke begrotingsartikelen - </w:t>
      </w:r>
      <w:r w:rsidRPr="003172E4">
        <w:rPr>
          <w:i w:val="0"/>
        </w:rPr>
        <w:t xml:space="preserve">is het niet mogelijk </w:t>
      </w:r>
      <w:r w:rsidR="00D945AF">
        <w:rPr>
          <w:i w:val="0"/>
        </w:rPr>
        <w:t xml:space="preserve">nu reeds voor 2012 </w:t>
      </w:r>
      <w:r w:rsidRPr="003172E4">
        <w:rPr>
          <w:i w:val="0"/>
        </w:rPr>
        <w:t xml:space="preserve">een overzicht te geven van de </w:t>
      </w:r>
      <w:proofErr w:type="spellStart"/>
      <w:r w:rsidR="00841584">
        <w:rPr>
          <w:i w:val="0"/>
        </w:rPr>
        <w:t>budgetten</w:t>
      </w:r>
      <w:proofErr w:type="spellEnd"/>
      <w:r w:rsidR="00841584">
        <w:rPr>
          <w:i w:val="0"/>
        </w:rPr>
        <w:t xml:space="preserve"> </w:t>
      </w:r>
      <w:r w:rsidRPr="003172E4">
        <w:rPr>
          <w:i w:val="0"/>
        </w:rPr>
        <w:t xml:space="preserve">die </w:t>
      </w:r>
      <w:r w:rsidR="00841584">
        <w:rPr>
          <w:i w:val="0"/>
        </w:rPr>
        <w:t xml:space="preserve">zullen </w:t>
      </w:r>
      <w:r w:rsidRPr="008E60AC">
        <w:rPr>
          <w:i w:val="0"/>
        </w:rPr>
        <w:t>be</w:t>
      </w:r>
      <w:r w:rsidR="00841584">
        <w:rPr>
          <w:i w:val="0"/>
        </w:rPr>
        <w:t xml:space="preserve">steed worden voor </w:t>
      </w:r>
      <w:r w:rsidRPr="008E60AC">
        <w:rPr>
          <w:i w:val="0"/>
        </w:rPr>
        <w:t xml:space="preserve">de </w:t>
      </w:r>
      <w:r w:rsidR="00C91B4B">
        <w:rPr>
          <w:i w:val="0"/>
        </w:rPr>
        <w:t xml:space="preserve">uitoefening van </w:t>
      </w:r>
      <w:r w:rsidRPr="008E60AC">
        <w:rPr>
          <w:i w:val="0"/>
        </w:rPr>
        <w:t>verschillende gemeenschapsbevoegdheden in Bruss</w:t>
      </w:r>
      <w:r w:rsidRPr="003172E4">
        <w:rPr>
          <w:i w:val="0"/>
        </w:rPr>
        <w:t>el.</w:t>
      </w:r>
    </w:p>
    <w:p w:rsidR="00CB0B49" w:rsidRDefault="00D945AF" w:rsidP="00D945AF">
      <w:pPr>
        <w:pStyle w:val="SVTitel"/>
        <w:tabs>
          <w:tab w:val="left" w:pos="426"/>
        </w:tabs>
        <w:ind w:left="426"/>
        <w:rPr>
          <w:i w:val="0"/>
        </w:rPr>
      </w:pPr>
      <w:r>
        <w:rPr>
          <w:i w:val="0"/>
        </w:rPr>
        <w:t>D</w:t>
      </w:r>
      <w:r w:rsidR="00CB0B49" w:rsidRPr="003172E4">
        <w:rPr>
          <w:i w:val="0"/>
        </w:rPr>
        <w:t>e meeste begrotingsa</w:t>
      </w:r>
      <w:r>
        <w:rPr>
          <w:i w:val="0"/>
        </w:rPr>
        <w:t>rtikelen</w:t>
      </w:r>
      <w:r w:rsidR="00CB0B49" w:rsidRPr="003172E4">
        <w:rPr>
          <w:i w:val="0"/>
        </w:rPr>
        <w:t xml:space="preserve"> zijn </w:t>
      </w:r>
      <w:r>
        <w:rPr>
          <w:i w:val="0"/>
        </w:rPr>
        <w:t xml:space="preserve">immers </w:t>
      </w:r>
      <w:r w:rsidR="00CB0B49" w:rsidRPr="003172E4">
        <w:rPr>
          <w:i w:val="0"/>
        </w:rPr>
        <w:t xml:space="preserve">bedoeld voor uitgaven die </w:t>
      </w:r>
      <w:r w:rsidR="00C91B4B">
        <w:rPr>
          <w:i w:val="0"/>
        </w:rPr>
        <w:t xml:space="preserve">voor </w:t>
      </w:r>
      <w:r w:rsidR="00CB0B49" w:rsidRPr="003172E4">
        <w:rPr>
          <w:i w:val="0"/>
        </w:rPr>
        <w:t>de hele Vlaamse Gemeenschap worden gedaan</w:t>
      </w:r>
      <w:r>
        <w:rPr>
          <w:i w:val="0"/>
        </w:rPr>
        <w:t>,</w:t>
      </w:r>
      <w:r w:rsidR="00CB0B49" w:rsidRPr="003172E4">
        <w:rPr>
          <w:i w:val="0"/>
        </w:rPr>
        <w:t xml:space="preserve"> en het is </w:t>
      </w:r>
      <w:r w:rsidR="00B476C5">
        <w:rPr>
          <w:i w:val="0"/>
        </w:rPr>
        <w:t xml:space="preserve">vaak </w:t>
      </w:r>
      <w:r w:rsidR="00CB0B49" w:rsidRPr="003172E4">
        <w:rPr>
          <w:i w:val="0"/>
        </w:rPr>
        <w:t>pas bij de effectieve besteding</w:t>
      </w:r>
      <w:r w:rsidR="00CB0B49">
        <w:rPr>
          <w:i w:val="0"/>
        </w:rPr>
        <w:t xml:space="preserve"> ervan</w:t>
      </w:r>
      <w:r w:rsidR="00CB0B49" w:rsidRPr="003172E4">
        <w:rPr>
          <w:i w:val="0"/>
        </w:rPr>
        <w:t xml:space="preserve"> dat kan worden vastgesteld welk deel </w:t>
      </w:r>
      <w:r>
        <w:rPr>
          <w:i w:val="0"/>
        </w:rPr>
        <w:t xml:space="preserve">ervan </w:t>
      </w:r>
      <w:r w:rsidR="00CB0B49" w:rsidRPr="003172E4">
        <w:rPr>
          <w:i w:val="0"/>
        </w:rPr>
        <w:t xml:space="preserve">naar Brussel </w:t>
      </w:r>
      <w:r>
        <w:rPr>
          <w:i w:val="0"/>
        </w:rPr>
        <w:t>gaa</w:t>
      </w:r>
      <w:r w:rsidR="00B476C5">
        <w:rPr>
          <w:i w:val="0"/>
        </w:rPr>
        <w:t>t</w:t>
      </w:r>
      <w:r w:rsidR="00CB0B49" w:rsidRPr="003172E4">
        <w:rPr>
          <w:i w:val="0"/>
        </w:rPr>
        <w:t xml:space="preserve">. Men kan </w:t>
      </w:r>
      <w:r w:rsidR="00B476C5">
        <w:rPr>
          <w:i w:val="0"/>
        </w:rPr>
        <w:t xml:space="preserve">ook </w:t>
      </w:r>
      <w:r w:rsidR="00CB0B49" w:rsidRPr="003172E4">
        <w:rPr>
          <w:i w:val="0"/>
        </w:rPr>
        <w:t xml:space="preserve">tijdens het lopende jaar </w:t>
      </w:r>
      <w:r w:rsidR="00841584">
        <w:rPr>
          <w:i w:val="0"/>
        </w:rPr>
        <w:t>bijvoorbeeld</w:t>
      </w:r>
      <w:r w:rsidR="00841584" w:rsidRPr="003172E4">
        <w:rPr>
          <w:i w:val="0"/>
        </w:rPr>
        <w:t xml:space="preserve"> </w:t>
      </w:r>
      <w:r w:rsidR="00C91B4B" w:rsidRPr="003172E4">
        <w:rPr>
          <w:i w:val="0"/>
        </w:rPr>
        <w:t xml:space="preserve">niet </w:t>
      </w:r>
      <w:r w:rsidR="00CB0B49" w:rsidRPr="003172E4">
        <w:rPr>
          <w:i w:val="0"/>
        </w:rPr>
        <w:t xml:space="preserve">voorspellen </w:t>
      </w:r>
      <w:r w:rsidR="00C91B4B">
        <w:rPr>
          <w:i w:val="0"/>
        </w:rPr>
        <w:t xml:space="preserve">hoeveel subsidieaanvragen </w:t>
      </w:r>
      <w:r w:rsidR="00CB0B49" w:rsidRPr="003172E4">
        <w:rPr>
          <w:i w:val="0"/>
        </w:rPr>
        <w:t xml:space="preserve">vanuit Brussel </w:t>
      </w:r>
      <w:r w:rsidR="00C91B4B">
        <w:rPr>
          <w:i w:val="0"/>
        </w:rPr>
        <w:t xml:space="preserve">zullen ingediend worden en welke projecten </w:t>
      </w:r>
      <w:r w:rsidR="00CB0B49" w:rsidRPr="003172E4">
        <w:rPr>
          <w:i w:val="0"/>
        </w:rPr>
        <w:t xml:space="preserve">al dan niet voor </w:t>
      </w:r>
      <w:r w:rsidR="00C91B4B">
        <w:rPr>
          <w:i w:val="0"/>
        </w:rPr>
        <w:t xml:space="preserve">een </w:t>
      </w:r>
      <w:r w:rsidR="00CB0B49" w:rsidRPr="003172E4">
        <w:rPr>
          <w:i w:val="0"/>
        </w:rPr>
        <w:t xml:space="preserve">subsidie in </w:t>
      </w:r>
      <w:r w:rsidR="004979BC">
        <w:rPr>
          <w:i w:val="0"/>
        </w:rPr>
        <w:t>aanmerking zullen komen.</w:t>
      </w:r>
    </w:p>
    <w:p w:rsidR="00D945AF" w:rsidRDefault="00D945AF" w:rsidP="00D945AF">
      <w:pPr>
        <w:pStyle w:val="SVTitel"/>
        <w:rPr>
          <w:i w:val="0"/>
        </w:rPr>
      </w:pPr>
    </w:p>
    <w:p w:rsidR="00CB0B49" w:rsidRDefault="00CB0B49" w:rsidP="00CB0B49">
      <w:pPr>
        <w:pStyle w:val="SVTitel"/>
        <w:tabs>
          <w:tab w:val="left" w:pos="426"/>
        </w:tabs>
        <w:ind w:left="426" w:hanging="426"/>
        <w:rPr>
          <w:i w:val="0"/>
          <w:spacing w:val="-3"/>
        </w:rPr>
      </w:pPr>
      <w:r>
        <w:rPr>
          <w:i w:val="0"/>
          <w:spacing w:val="-3"/>
        </w:rPr>
        <w:t>3.</w:t>
      </w:r>
      <w:r>
        <w:rPr>
          <w:i w:val="0"/>
          <w:spacing w:val="-3"/>
        </w:rPr>
        <w:tab/>
      </w:r>
      <w:r w:rsidRPr="00CB0B49">
        <w:rPr>
          <w:i w:val="0"/>
          <w:spacing w:val="-3"/>
        </w:rPr>
        <w:t xml:space="preserve">De meeste gemeenschapsbevoegdheden zijn niet tot een bepaalde leeftijdscategorie gericht, maar richten zich op de hele samenleving. Gedacht kan worden aan de culturele bevoegdheden of </w:t>
      </w:r>
      <w:r w:rsidR="00C44E28">
        <w:rPr>
          <w:i w:val="0"/>
          <w:spacing w:val="-3"/>
        </w:rPr>
        <w:t xml:space="preserve">aan </w:t>
      </w:r>
      <w:r w:rsidRPr="00CB0B49">
        <w:rPr>
          <w:i w:val="0"/>
          <w:spacing w:val="-3"/>
        </w:rPr>
        <w:t xml:space="preserve">het mediabeleid. Voor sommige gemeenschapsbevoegdheden is het niet evident om duidelijk een leeftijdscategorie af te bakenen, zelfs waar dat </w:t>
      </w:r>
      <w:r w:rsidR="00D945AF">
        <w:rPr>
          <w:i w:val="0"/>
          <w:spacing w:val="-3"/>
        </w:rPr>
        <w:t>op eerste zicht zou kunnen verwacht worden. Hierna volgen enkele voorbeelden om dit te illustreren</w:t>
      </w:r>
      <w:r w:rsidRPr="00CB0B49">
        <w:rPr>
          <w:i w:val="0"/>
          <w:spacing w:val="-3"/>
        </w:rPr>
        <w:t>.</w:t>
      </w:r>
    </w:p>
    <w:p w:rsidR="00CB0B49" w:rsidRPr="00CB0B49" w:rsidRDefault="00CB0B49" w:rsidP="00CB0B49">
      <w:pPr>
        <w:pStyle w:val="SVTitel"/>
        <w:ind w:left="426"/>
        <w:rPr>
          <w:i w:val="0"/>
        </w:rPr>
      </w:pPr>
    </w:p>
    <w:p w:rsidR="00CB0B49" w:rsidRDefault="00CB0B49" w:rsidP="00CB0B49">
      <w:pPr>
        <w:pStyle w:val="SVTitel"/>
        <w:ind w:left="426"/>
        <w:rPr>
          <w:i w:val="0"/>
        </w:rPr>
      </w:pPr>
      <w:r>
        <w:rPr>
          <w:i w:val="0"/>
        </w:rPr>
        <w:t xml:space="preserve">Zo richten bepaalde onderdelen van het onderwijs zich tot kinderen die vallen onder de leerplicht. Deze </w:t>
      </w:r>
      <w:r w:rsidRPr="009A683E">
        <w:rPr>
          <w:i w:val="0"/>
        </w:rPr>
        <w:t>gaat in op 1 september van het burgerlijk jaar waarin het kind 6 jaar wordt en duurt 12 volle schooljaren. Bij aanvang van de leerplicht is een kind dus minimaal 5 jaar en 8 maanden en maximaal 6 jaar en 8 maan</w:t>
      </w:r>
      <w:r>
        <w:rPr>
          <w:i w:val="0"/>
        </w:rPr>
        <w:t>den.</w:t>
      </w:r>
      <w:r w:rsidRPr="009A683E">
        <w:rPr>
          <w:i w:val="0"/>
        </w:rPr>
        <w:t xml:space="preserve"> Van die regel kan </w:t>
      </w:r>
      <w:r>
        <w:rPr>
          <w:i w:val="0"/>
        </w:rPr>
        <w:t xml:space="preserve">bovendien </w:t>
      </w:r>
      <w:r w:rsidRPr="009A683E">
        <w:rPr>
          <w:i w:val="0"/>
        </w:rPr>
        <w:t>worden afgeweken door een vervroegde of verlate instap, na overleg met het Centrum voor Leerlingenbegeleiding.</w:t>
      </w:r>
      <w:r>
        <w:rPr>
          <w:i w:val="0"/>
        </w:rPr>
        <w:t xml:space="preserve"> </w:t>
      </w:r>
      <w:r w:rsidRPr="009A683E">
        <w:rPr>
          <w:i w:val="0"/>
        </w:rPr>
        <w:t xml:space="preserve">Vanaf 15 of 16 jaar kan een jongere </w:t>
      </w:r>
      <w:r>
        <w:rPr>
          <w:i w:val="0"/>
        </w:rPr>
        <w:t xml:space="preserve">bovendien </w:t>
      </w:r>
      <w:r w:rsidRPr="009A683E">
        <w:rPr>
          <w:i w:val="0"/>
        </w:rPr>
        <w:t>deeltijds leren en werken. De leerplicht eindigt op het einde van het schooljaar van het jaar waarin de leerling 18 jaar wordt</w:t>
      </w:r>
      <w:r w:rsidR="00DA2ABC">
        <w:rPr>
          <w:i w:val="0"/>
        </w:rPr>
        <w:t>,</w:t>
      </w:r>
      <w:r w:rsidRPr="009A683E">
        <w:rPr>
          <w:i w:val="0"/>
        </w:rPr>
        <w:t xml:space="preserve"> of wanneer het diploma secundair onderwijs wordt behaald (ongeacht de leeftijd van de jongere).</w:t>
      </w:r>
      <w:r>
        <w:rPr>
          <w:i w:val="0"/>
        </w:rPr>
        <w:t xml:space="preserve"> Het leerplichtonderwijs is dus niet tot een vaste leeftijdscategorie gericht, waardoor evenmin een berekening van het totaalaantal inwoners van het Brusselse Hoofdstedelijke Gewest binnen deze leeftijdscategorie mogelijk is. Ook voor de kinderopvang en het kleuteronderwijs is </w:t>
      </w:r>
      <w:r w:rsidR="00DA2ABC">
        <w:rPr>
          <w:i w:val="0"/>
        </w:rPr>
        <w:t xml:space="preserve">een </w:t>
      </w:r>
      <w:r>
        <w:rPr>
          <w:i w:val="0"/>
        </w:rPr>
        <w:t>dergelijke vaste leeftijdscategorie niet te bepalen door een verschillende instap- en uitstapleeftijd.</w:t>
      </w:r>
    </w:p>
    <w:p w:rsidR="00CB0B49" w:rsidRDefault="00CB0B49" w:rsidP="00CB0B49">
      <w:pPr>
        <w:pStyle w:val="SVTitel"/>
        <w:ind w:left="426"/>
        <w:rPr>
          <w:i w:val="0"/>
        </w:rPr>
      </w:pPr>
    </w:p>
    <w:p w:rsidR="00CB0B49" w:rsidRDefault="00CB0B49" w:rsidP="00CB0B49">
      <w:pPr>
        <w:pStyle w:val="SVTitel"/>
        <w:ind w:left="426"/>
        <w:rPr>
          <w:i w:val="0"/>
        </w:rPr>
      </w:pPr>
      <w:r>
        <w:rPr>
          <w:i w:val="0"/>
        </w:rPr>
        <w:t>Bovendien worden in een aantal gemeenschapsbevoegdheden verschillende leeftijdscategorieën gehanteerd.</w:t>
      </w:r>
    </w:p>
    <w:p w:rsidR="00CB0B49" w:rsidRDefault="00CB0B49" w:rsidP="00CB0B49">
      <w:pPr>
        <w:pStyle w:val="SVTitel"/>
        <w:ind w:left="426"/>
        <w:rPr>
          <w:i w:val="0"/>
        </w:rPr>
      </w:pPr>
    </w:p>
    <w:p w:rsidR="00CB0B49" w:rsidRDefault="00CB0B49" w:rsidP="00CB0B49">
      <w:pPr>
        <w:pStyle w:val="SVTitel"/>
        <w:ind w:left="426"/>
        <w:rPr>
          <w:i w:val="0"/>
        </w:rPr>
      </w:pPr>
      <w:r>
        <w:rPr>
          <w:i w:val="0"/>
        </w:rPr>
        <w:t>Zo definieert het d</w:t>
      </w:r>
      <w:r w:rsidRPr="009A683E">
        <w:rPr>
          <w:i w:val="0"/>
        </w:rPr>
        <w:t>ecreet</w:t>
      </w:r>
      <w:r>
        <w:rPr>
          <w:i w:val="0"/>
        </w:rPr>
        <w:t xml:space="preserve"> van 18 juli 2008</w:t>
      </w:r>
      <w:r w:rsidRPr="009A683E">
        <w:rPr>
          <w:i w:val="0"/>
        </w:rPr>
        <w:t xml:space="preserve"> </w:t>
      </w:r>
      <w:r w:rsidRPr="00072DD9">
        <w:t>houdende het voeren van een Vlaams jeugd- en kinderrechtenbeleid</w:t>
      </w:r>
      <w:r>
        <w:rPr>
          <w:i w:val="0"/>
        </w:rPr>
        <w:t xml:space="preserve"> de jeugd als “</w:t>
      </w:r>
      <w:r w:rsidRPr="009A683E">
        <w:rPr>
          <w:i w:val="0"/>
        </w:rPr>
        <w:t>personen tot en met dertig jaar</w:t>
      </w:r>
      <w:r>
        <w:rPr>
          <w:i w:val="0"/>
        </w:rPr>
        <w:t>”, maar vormt de doelgroep van het jeugdwerk de “</w:t>
      </w:r>
      <w:r w:rsidRPr="008204B4">
        <w:rPr>
          <w:i w:val="0"/>
        </w:rPr>
        <w:t>jeugd van</w:t>
      </w:r>
      <w:r>
        <w:rPr>
          <w:i w:val="0"/>
        </w:rPr>
        <w:t xml:space="preserve"> </w:t>
      </w:r>
      <w:r w:rsidRPr="008204B4">
        <w:rPr>
          <w:i w:val="0"/>
        </w:rPr>
        <w:t>drie tot en met dertig jaar</w:t>
      </w:r>
      <w:r>
        <w:rPr>
          <w:i w:val="0"/>
        </w:rPr>
        <w:t>”. Het decreet bevat ook initiatieven die gericht zijn op de jeugd tot en met 25 jaar.</w:t>
      </w:r>
    </w:p>
    <w:p w:rsidR="00DA2ABC" w:rsidRDefault="00DA2ABC" w:rsidP="00CB0B49">
      <w:pPr>
        <w:pStyle w:val="SVTitel"/>
        <w:ind w:left="426"/>
        <w:rPr>
          <w:i w:val="0"/>
        </w:rPr>
      </w:pPr>
    </w:p>
    <w:p w:rsidR="00CB0B49" w:rsidRDefault="00CB0B49" w:rsidP="00CB0B49">
      <w:pPr>
        <w:pStyle w:val="SVTitel"/>
        <w:ind w:left="426"/>
        <w:rPr>
          <w:i w:val="0"/>
        </w:rPr>
      </w:pPr>
      <w:r>
        <w:rPr>
          <w:i w:val="0"/>
        </w:rPr>
        <w:t>Het d</w:t>
      </w:r>
      <w:r w:rsidRPr="009A683E">
        <w:rPr>
          <w:i w:val="0"/>
        </w:rPr>
        <w:t>ecreet</w:t>
      </w:r>
      <w:r>
        <w:rPr>
          <w:i w:val="0"/>
        </w:rPr>
        <w:t xml:space="preserve"> van 30 april 2004</w:t>
      </w:r>
      <w:r w:rsidRPr="009A683E">
        <w:rPr>
          <w:i w:val="0"/>
        </w:rPr>
        <w:t xml:space="preserve"> </w:t>
      </w:r>
      <w:r w:rsidRPr="00072DD9">
        <w:t>houdende de stimulering van een inclusief Vlaams ouderenbeleid en de beleidsparticipatie van ouderen</w:t>
      </w:r>
      <w:r>
        <w:rPr>
          <w:i w:val="0"/>
        </w:rPr>
        <w:t xml:space="preserve"> definieert een ouder</w:t>
      </w:r>
      <w:r w:rsidR="00DA2ABC">
        <w:rPr>
          <w:i w:val="0"/>
        </w:rPr>
        <w:t>e</w:t>
      </w:r>
      <w:r>
        <w:rPr>
          <w:i w:val="0"/>
        </w:rPr>
        <w:t xml:space="preserve"> als “</w:t>
      </w:r>
      <w:r w:rsidRPr="009A683E">
        <w:rPr>
          <w:i w:val="0"/>
        </w:rPr>
        <w:t>persoon die de leeftijd van 60 jaar heeft bereikt</w:t>
      </w:r>
      <w:r>
        <w:rPr>
          <w:i w:val="0"/>
        </w:rPr>
        <w:t>”. Het Woonzorgdecreet van 13 maart 2009 definieert de doelstelling van een aantal erkende instellingen die zich richten op ouderen boven de 65 jaar, maar het decreet creëert ook de mogelijkheid dat ouderen onder de leeftijd van 65 jaar in dergelijke instellingen worden opgenomen. Een ander voorbeeld is de Vlaamse zorgverzekering. Deze is niet gericht op een specifieke leeftijdscategorie, hoewel de meeste begunstigden ouderen betreffen.</w:t>
      </w:r>
    </w:p>
    <w:p w:rsidR="00CB0B49" w:rsidRDefault="00CB0B49" w:rsidP="00CB0B49">
      <w:pPr>
        <w:pStyle w:val="SVTitel"/>
        <w:ind w:left="426"/>
        <w:rPr>
          <w:i w:val="0"/>
        </w:rPr>
      </w:pPr>
    </w:p>
    <w:p w:rsidR="00CB0B49" w:rsidRDefault="00CB0B49" w:rsidP="00CB0B49">
      <w:pPr>
        <w:pStyle w:val="SVTitel"/>
        <w:ind w:left="426"/>
        <w:rPr>
          <w:i w:val="0"/>
        </w:rPr>
      </w:pPr>
      <w:r>
        <w:rPr>
          <w:i w:val="0"/>
        </w:rPr>
        <w:t xml:space="preserve">De bevoegdheid beroepsopleiding richt zich in de eerste plaats op de </w:t>
      </w:r>
      <w:proofErr w:type="spellStart"/>
      <w:r>
        <w:rPr>
          <w:i w:val="0"/>
        </w:rPr>
        <w:t>beroepsactieve</w:t>
      </w:r>
      <w:proofErr w:type="spellEnd"/>
      <w:r>
        <w:rPr>
          <w:i w:val="0"/>
        </w:rPr>
        <w:t xml:space="preserve"> bevolking, maar ook d</w:t>
      </w:r>
      <w:r w:rsidR="00DA2ABC">
        <w:rPr>
          <w:i w:val="0"/>
        </w:rPr>
        <w:t>ie</w:t>
      </w:r>
      <w:r>
        <w:rPr>
          <w:i w:val="0"/>
        </w:rPr>
        <w:t xml:space="preserve"> is niet aan leeftijd gebonden. Het betreft niet noodzakelijk alle personen tussen de leeftijd van 18 jaar en 65 jaar. Sommige personen komen immers al voor de leeftijd van 18 jaar in het arbeidscircuit terecht, terwijl anderen reeds voor de leeftijd van 65 jaar niet meer tot de doelgroep van b</w:t>
      </w:r>
      <w:r w:rsidR="00DA2ABC">
        <w:rPr>
          <w:i w:val="0"/>
        </w:rPr>
        <w:t xml:space="preserve">ijvoorbeeld </w:t>
      </w:r>
      <w:r>
        <w:rPr>
          <w:i w:val="0"/>
        </w:rPr>
        <w:t>de VDAB behoren.</w:t>
      </w:r>
    </w:p>
    <w:p w:rsidR="00CB0B49" w:rsidRDefault="00CB0B49" w:rsidP="00CB0B49">
      <w:pPr>
        <w:pStyle w:val="SVTitel"/>
        <w:ind w:left="426"/>
        <w:rPr>
          <w:i w:val="0"/>
        </w:rPr>
      </w:pPr>
    </w:p>
    <w:p w:rsidR="00CB0B49" w:rsidRDefault="00817C38" w:rsidP="00CB0B49">
      <w:pPr>
        <w:pStyle w:val="SVTitel"/>
        <w:ind w:left="426"/>
        <w:rPr>
          <w:i w:val="0"/>
        </w:rPr>
      </w:pPr>
      <w:r>
        <w:rPr>
          <w:i w:val="0"/>
        </w:rPr>
        <w:t xml:space="preserve">Er zijn wel </w:t>
      </w:r>
      <w:r w:rsidR="00CB0B49">
        <w:rPr>
          <w:i w:val="0"/>
        </w:rPr>
        <w:t xml:space="preserve">bevolkingscijfers </w:t>
      </w:r>
      <w:r w:rsidR="00D945AF">
        <w:rPr>
          <w:i w:val="0"/>
        </w:rPr>
        <w:t xml:space="preserve">in het Brussels Hoofdstedelijk Gewest </w:t>
      </w:r>
      <w:r>
        <w:rPr>
          <w:i w:val="0"/>
        </w:rPr>
        <w:t>bekend op datum van 1 januari 2011</w:t>
      </w:r>
      <w:r w:rsidR="00B476C5">
        <w:rPr>
          <w:i w:val="0"/>
        </w:rPr>
        <w:t xml:space="preserve">, </w:t>
      </w:r>
      <w:r>
        <w:rPr>
          <w:i w:val="0"/>
        </w:rPr>
        <w:t xml:space="preserve">ingedeeld per leeftijdscategorie </w:t>
      </w:r>
      <w:r w:rsidR="00CB0B49">
        <w:rPr>
          <w:i w:val="0"/>
        </w:rPr>
        <w:t>:</w:t>
      </w:r>
    </w:p>
    <w:p w:rsidR="00CB0B49" w:rsidRDefault="00CB0B49" w:rsidP="00CB0B49">
      <w:pPr>
        <w:pStyle w:val="SVTitel"/>
        <w:ind w:left="426"/>
        <w:rPr>
          <w:i w:val="0"/>
        </w:rPr>
      </w:pPr>
    </w:p>
    <w:tbl>
      <w:tblPr>
        <w:tblStyle w:val="Tabelraster"/>
        <w:tblW w:w="0" w:type="auto"/>
        <w:jc w:val="center"/>
        <w:tblLook w:val="04A0" w:firstRow="1" w:lastRow="0" w:firstColumn="1" w:lastColumn="0" w:noHBand="0" w:noVBand="1"/>
      </w:tblPr>
      <w:tblGrid>
        <w:gridCol w:w="4089"/>
        <w:gridCol w:w="1253"/>
      </w:tblGrid>
      <w:tr w:rsidR="00CB0B49" w:rsidTr="00B476C5">
        <w:trPr>
          <w:jc w:val="center"/>
        </w:trPr>
        <w:tc>
          <w:tcPr>
            <w:tcW w:w="4089" w:type="dxa"/>
          </w:tcPr>
          <w:p w:rsidR="00CB0B49" w:rsidRDefault="00CB0B49" w:rsidP="00FB4C55">
            <w:pPr>
              <w:pStyle w:val="SVTitel"/>
              <w:rPr>
                <w:i w:val="0"/>
              </w:rPr>
            </w:pPr>
            <w:r>
              <w:rPr>
                <w:i w:val="0"/>
              </w:rPr>
              <w:t>Personen van 0 tot en met 19 jaar</w:t>
            </w:r>
          </w:p>
        </w:tc>
        <w:tc>
          <w:tcPr>
            <w:tcW w:w="1253" w:type="dxa"/>
          </w:tcPr>
          <w:p w:rsidR="00CB0B49" w:rsidRDefault="00CB0B49" w:rsidP="00B476C5">
            <w:pPr>
              <w:pStyle w:val="SVTitel"/>
              <w:tabs>
                <w:tab w:val="left" w:pos="1026"/>
              </w:tabs>
              <w:ind w:right="153"/>
              <w:jc w:val="right"/>
              <w:rPr>
                <w:i w:val="0"/>
              </w:rPr>
            </w:pPr>
            <w:r w:rsidRPr="0061348C">
              <w:rPr>
                <w:i w:val="0"/>
              </w:rPr>
              <w:t>274.056</w:t>
            </w:r>
          </w:p>
        </w:tc>
      </w:tr>
      <w:tr w:rsidR="00CB0B49" w:rsidTr="00B476C5">
        <w:trPr>
          <w:jc w:val="center"/>
        </w:trPr>
        <w:tc>
          <w:tcPr>
            <w:tcW w:w="4089" w:type="dxa"/>
          </w:tcPr>
          <w:p w:rsidR="00CB0B49" w:rsidRDefault="00CB0B49" w:rsidP="00FB4C55">
            <w:pPr>
              <w:pStyle w:val="SVTitel"/>
              <w:rPr>
                <w:i w:val="0"/>
              </w:rPr>
            </w:pPr>
            <w:r>
              <w:rPr>
                <w:i w:val="0"/>
              </w:rPr>
              <w:t>Personen van 0 tot en met 25 jaar</w:t>
            </w:r>
          </w:p>
        </w:tc>
        <w:tc>
          <w:tcPr>
            <w:tcW w:w="1253" w:type="dxa"/>
          </w:tcPr>
          <w:p w:rsidR="00CB0B49" w:rsidRDefault="00CB0B49" w:rsidP="00B476C5">
            <w:pPr>
              <w:pStyle w:val="SVTitel"/>
              <w:tabs>
                <w:tab w:val="left" w:pos="1026"/>
              </w:tabs>
              <w:ind w:right="153"/>
              <w:jc w:val="right"/>
              <w:rPr>
                <w:i w:val="0"/>
              </w:rPr>
            </w:pPr>
            <w:r w:rsidRPr="0061348C">
              <w:rPr>
                <w:i w:val="0"/>
              </w:rPr>
              <w:t>349.998</w:t>
            </w:r>
          </w:p>
        </w:tc>
      </w:tr>
      <w:tr w:rsidR="00CB0B49" w:rsidTr="00B476C5">
        <w:trPr>
          <w:jc w:val="center"/>
        </w:trPr>
        <w:tc>
          <w:tcPr>
            <w:tcW w:w="4089" w:type="dxa"/>
          </w:tcPr>
          <w:p w:rsidR="00CB0B49" w:rsidRDefault="00CB0B49" w:rsidP="00FB4C55">
            <w:pPr>
              <w:pStyle w:val="SVTitel"/>
              <w:rPr>
                <w:i w:val="0"/>
              </w:rPr>
            </w:pPr>
            <w:r>
              <w:rPr>
                <w:i w:val="0"/>
              </w:rPr>
              <w:t>Personen van 0 tot en met 29 jaar</w:t>
            </w:r>
          </w:p>
        </w:tc>
        <w:tc>
          <w:tcPr>
            <w:tcW w:w="1253" w:type="dxa"/>
          </w:tcPr>
          <w:p w:rsidR="00CB0B49" w:rsidRDefault="00CB0B49" w:rsidP="00B476C5">
            <w:pPr>
              <w:pStyle w:val="SVTitel"/>
              <w:tabs>
                <w:tab w:val="left" w:pos="1026"/>
              </w:tabs>
              <w:ind w:right="153"/>
              <w:jc w:val="right"/>
              <w:rPr>
                <w:i w:val="0"/>
              </w:rPr>
            </w:pPr>
            <w:r w:rsidRPr="0061348C">
              <w:rPr>
                <w:i w:val="0"/>
              </w:rPr>
              <w:t>446.419</w:t>
            </w:r>
          </w:p>
        </w:tc>
      </w:tr>
      <w:tr w:rsidR="00CB0B49" w:rsidTr="00B476C5">
        <w:trPr>
          <w:jc w:val="center"/>
        </w:trPr>
        <w:tc>
          <w:tcPr>
            <w:tcW w:w="4089" w:type="dxa"/>
          </w:tcPr>
          <w:p w:rsidR="00CB0B49" w:rsidRDefault="00CB0B49" w:rsidP="00FB4C55">
            <w:pPr>
              <w:pStyle w:val="SVTitel"/>
              <w:rPr>
                <w:i w:val="0"/>
              </w:rPr>
            </w:pPr>
            <w:r>
              <w:rPr>
                <w:i w:val="0"/>
              </w:rPr>
              <w:t>Personen van 19 tot en met 64 jaar</w:t>
            </w:r>
          </w:p>
        </w:tc>
        <w:tc>
          <w:tcPr>
            <w:tcW w:w="1253" w:type="dxa"/>
          </w:tcPr>
          <w:p w:rsidR="00CB0B49" w:rsidRDefault="00CB0B49" w:rsidP="00B476C5">
            <w:pPr>
              <w:pStyle w:val="SVTitel"/>
              <w:tabs>
                <w:tab w:val="left" w:pos="1026"/>
              </w:tabs>
              <w:ind w:right="153"/>
              <w:jc w:val="right"/>
              <w:rPr>
                <w:i w:val="0"/>
              </w:rPr>
            </w:pPr>
            <w:r w:rsidRPr="0061348C">
              <w:rPr>
                <w:i w:val="0"/>
              </w:rPr>
              <w:t>692.532</w:t>
            </w:r>
          </w:p>
        </w:tc>
      </w:tr>
      <w:tr w:rsidR="00CB0B49" w:rsidTr="00B476C5">
        <w:trPr>
          <w:jc w:val="center"/>
        </w:trPr>
        <w:tc>
          <w:tcPr>
            <w:tcW w:w="4089" w:type="dxa"/>
          </w:tcPr>
          <w:p w:rsidR="00CB0B49" w:rsidRDefault="00CB0B49" w:rsidP="00FB4C55">
            <w:pPr>
              <w:pStyle w:val="SVTitel"/>
              <w:rPr>
                <w:i w:val="0"/>
              </w:rPr>
            </w:pPr>
            <w:r>
              <w:rPr>
                <w:i w:val="0"/>
              </w:rPr>
              <w:t>Personen van 60 jaar en ouder</w:t>
            </w:r>
          </w:p>
        </w:tc>
        <w:tc>
          <w:tcPr>
            <w:tcW w:w="1253" w:type="dxa"/>
          </w:tcPr>
          <w:p w:rsidR="00CB0B49" w:rsidRPr="0061348C" w:rsidRDefault="00CB0B49" w:rsidP="00B476C5">
            <w:pPr>
              <w:pStyle w:val="SVTitel"/>
              <w:tabs>
                <w:tab w:val="left" w:pos="1026"/>
              </w:tabs>
              <w:ind w:right="153"/>
              <w:jc w:val="right"/>
              <w:rPr>
                <w:i w:val="0"/>
              </w:rPr>
            </w:pPr>
            <w:r w:rsidRPr="0061348C">
              <w:rPr>
                <w:i w:val="0"/>
              </w:rPr>
              <w:t>203.070</w:t>
            </w:r>
          </w:p>
        </w:tc>
      </w:tr>
      <w:tr w:rsidR="00CB0B49" w:rsidTr="00B476C5">
        <w:trPr>
          <w:jc w:val="center"/>
        </w:trPr>
        <w:tc>
          <w:tcPr>
            <w:tcW w:w="4089" w:type="dxa"/>
          </w:tcPr>
          <w:p w:rsidR="00CB0B49" w:rsidRDefault="00CB0B49" w:rsidP="00FB4C55">
            <w:pPr>
              <w:pStyle w:val="SVTitel"/>
              <w:rPr>
                <w:i w:val="0"/>
              </w:rPr>
            </w:pPr>
            <w:r>
              <w:rPr>
                <w:i w:val="0"/>
              </w:rPr>
              <w:t>Personen van 65 jaar en ouder</w:t>
            </w:r>
          </w:p>
        </w:tc>
        <w:tc>
          <w:tcPr>
            <w:tcW w:w="1253" w:type="dxa"/>
          </w:tcPr>
          <w:p w:rsidR="00CB0B49" w:rsidRPr="0061348C" w:rsidRDefault="00CB0B49" w:rsidP="00B476C5">
            <w:pPr>
              <w:pStyle w:val="SVTitel"/>
              <w:tabs>
                <w:tab w:val="left" w:pos="1026"/>
              </w:tabs>
              <w:ind w:right="153"/>
              <w:jc w:val="right"/>
              <w:rPr>
                <w:i w:val="0"/>
              </w:rPr>
            </w:pPr>
            <w:r w:rsidRPr="0061348C">
              <w:rPr>
                <w:i w:val="0"/>
              </w:rPr>
              <w:t>152.500</w:t>
            </w:r>
          </w:p>
        </w:tc>
      </w:tr>
      <w:tr w:rsidR="00B476C5" w:rsidTr="00B476C5">
        <w:trPr>
          <w:jc w:val="center"/>
        </w:trPr>
        <w:tc>
          <w:tcPr>
            <w:tcW w:w="4089" w:type="dxa"/>
          </w:tcPr>
          <w:p w:rsidR="00B476C5" w:rsidRPr="00B476C5" w:rsidRDefault="00B476C5" w:rsidP="00FB4C55">
            <w:pPr>
              <w:pStyle w:val="SVTitel"/>
              <w:rPr>
                <w:b/>
                <w:i w:val="0"/>
              </w:rPr>
            </w:pPr>
            <w:r w:rsidRPr="00B476C5">
              <w:rPr>
                <w:b/>
                <w:i w:val="0"/>
              </w:rPr>
              <w:t>TOTAAL</w:t>
            </w:r>
          </w:p>
        </w:tc>
        <w:tc>
          <w:tcPr>
            <w:tcW w:w="1253" w:type="dxa"/>
          </w:tcPr>
          <w:p w:rsidR="00B476C5" w:rsidRPr="00B476C5" w:rsidRDefault="00B476C5" w:rsidP="00B476C5">
            <w:pPr>
              <w:pStyle w:val="SVTitel"/>
              <w:tabs>
                <w:tab w:val="left" w:pos="1026"/>
              </w:tabs>
              <w:ind w:right="153"/>
              <w:jc w:val="right"/>
              <w:rPr>
                <w:b/>
                <w:i w:val="0"/>
              </w:rPr>
            </w:pPr>
            <w:r w:rsidRPr="00B476C5">
              <w:rPr>
                <w:b/>
                <w:i w:val="0"/>
              </w:rPr>
              <w:t>2.118.575</w:t>
            </w:r>
          </w:p>
        </w:tc>
      </w:tr>
    </w:tbl>
    <w:p w:rsidR="00CB0B49" w:rsidRPr="004F79D6" w:rsidRDefault="00CB0B49" w:rsidP="00817C38">
      <w:pPr>
        <w:pStyle w:val="SVTitel"/>
        <w:spacing w:before="120"/>
        <w:ind w:firstLine="1843"/>
        <w:jc w:val="left"/>
        <w:rPr>
          <w:i w:val="0"/>
          <w:sz w:val="16"/>
          <w:szCs w:val="16"/>
        </w:rPr>
      </w:pPr>
      <w:r w:rsidRPr="004F79D6">
        <w:rPr>
          <w:i w:val="0"/>
          <w:sz w:val="16"/>
          <w:szCs w:val="16"/>
        </w:rPr>
        <w:t>Bron: : FOD Economie - Algemene Directie Statistiek en Economische Informatie</w:t>
      </w:r>
    </w:p>
    <w:p w:rsidR="00817C38" w:rsidRDefault="00817C38" w:rsidP="00817C38">
      <w:pPr>
        <w:pStyle w:val="SVTitel"/>
        <w:rPr>
          <w:i w:val="0"/>
        </w:rPr>
      </w:pPr>
    </w:p>
    <w:p w:rsidR="00B93818" w:rsidRPr="00B93818" w:rsidRDefault="00B93818" w:rsidP="00072DD9">
      <w:pPr>
        <w:pStyle w:val="SVTitel"/>
        <w:tabs>
          <w:tab w:val="left" w:pos="426"/>
        </w:tabs>
        <w:ind w:left="426" w:hanging="426"/>
        <w:rPr>
          <w:i w:val="0"/>
          <w:spacing w:val="-3"/>
        </w:rPr>
      </w:pPr>
      <w:r w:rsidRPr="00B93818">
        <w:rPr>
          <w:i w:val="0"/>
          <w:spacing w:val="-3"/>
        </w:rPr>
        <w:t>4.</w:t>
      </w:r>
      <w:r w:rsidRPr="00B93818">
        <w:rPr>
          <w:i w:val="0"/>
          <w:spacing w:val="-3"/>
        </w:rPr>
        <w:tab/>
        <w:t>In de vraagstelling wordt de Brusselnorm geïnterpreteerd als “30% van het doelpubliek”. In het beleid van de Vlaamse Regering daarentegen</w:t>
      </w:r>
      <w:r>
        <w:rPr>
          <w:i w:val="0"/>
          <w:spacing w:val="-3"/>
        </w:rPr>
        <w:t>, is</w:t>
      </w:r>
      <w:r w:rsidRPr="00B93818">
        <w:rPr>
          <w:i w:val="0"/>
          <w:spacing w:val="-3"/>
        </w:rPr>
        <w:t xml:space="preserve"> de Brusselnorm gericht op een doelpubliek van ten minste 30% van de Brusselse bevolking voor het Vlaamse beleid en wordt ten minste 5% van de totale Vlaamse </w:t>
      </w:r>
      <w:r>
        <w:rPr>
          <w:i w:val="0"/>
          <w:spacing w:val="-3"/>
        </w:rPr>
        <w:t>g</w:t>
      </w:r>
      <w:r w:rsidRPr="00B93818">
        <w:rPr>
          <w:i w:val="0"/>
          <w:spacing w:val="-3"/>
        </w:rPr>
        <w:t xml:space="preserve">emeenschapsuitgaven in en voor de hoofdstad aangewend. De vraag van de </w:t>
      </w:r>
      <w:r>
        <w:rPr>
          <w:i w:val="0"/>
          <w:spacing w:val="-3"/>
        </w:rPr>
        <w:t xml:space="preserve">Vlaamse </w:t>
      </w:r>
      <w:r w:rsidRPr="00B93818">
        <w:rPr>
          <w:i w:val="0"/>
          <w:spacing w:val="-3"/>
        </w:rPr>
        <w:t xml:space="preserve">volksvertegenwoordiger kan slechts worden beantwoord indien men bepaalde hypothesen vooropstelt wat betreft het doelpubliek van ieder beleidsdomein. Zoals onder meer ook bleek uit het BRIO-onderzoeksrapport </w:t>
      </w:r>
      <w:r w:rsidR="00072DD9">
        <w:rPr>
          <w:i w:val="0"/>
          <w:spacing w:val="-3"/>
        </w:rPr>
        <w:t xml:space="preserve">van </w:t>
      </w:r>
      <w:r w:rsidRPr="00B93818">
        <w:rPr>
          <w:i w:val="0"/>
          <w:spacing w:val="-3"/>
        </w:rPr>
        <w:t>2008 ‘</w:t>
      </w:r>
      <w:r w:rsidRPr="00072DD9">
        <w:rPr>
          <w:spacing w:val="-3"/>
        </w:rPr>
        <w:t>Onderzoek Brusselnorm en Brusseltoets</w:t>
      </w:r>
      <w:r w:rsidRPr="00072DD9">
        <w:rPr>
          <w:i w:val="0"/>
          <w:spacing w:val="-3"/>
        </w:rPr>
        <w:t>’</w:t>
      </w:r>
      <w:r w:rsidR="00072DD9" w:rsidRPr="00072DD9">
        <w:rPr>
          <w:i w:val="0"/>
          <w:spacing w:val="-3"/>
        </w:rPr>
        <w:t xml:space="preserve">(BRIO : Brussels Informatie-, Documentatie- en Onderzoekscentrum) </w:t>
      </w:r>
      <w:r w:rsidRPr="00B93818">
        <w:rPr>
          <w:i w:val="0"/>
          <w:spacing w:val="-3"/>
        </w:rPr>
        <w:t>kan het doelpubliek niet als een vaststaand absoluut aantal personen worden voorgesteld, maar dient voor de verschillende beleidsdomeinen de Brusselnorm te worden vertaald naar de concrete context.</w:t>
      </w:r>
    </w:p>
    <w:p w:rsidR="00B93818" w:rsidRPr="00B93818" w:rsidRDefault="00B93818" w:rsidP="00B93818">
      <w:pPr>
        <w:pStyle w:val="SVTitel"/>
        <w:ind w:left="426"/>
        <w:rPr>
          <w:i w:val="0"/>
        </w:rPr>
      </w:pPr>
    </w:p>
    <w:p w:rsidR="00B93818" w:rsidRPr="00B93818" w:rsidRDefault="00B93818" w:rsidP="00B93818">
      <w:pPr>
        <w:pStyle w:val="SVTitel"/>
        <w:ind w:left="426"/>
        <w:rPr>
          <w:i w:val="0"/>
        </w:rPr>
      </w:pPr>
      <w:r w:rsidRPr="00B93818">
        <w:rPr>
          <w:i w:val="0"/>
        </w:rPr>
        <w:t xml:space="preserve">Zo moet in het kader van de onderwijsbevoegdheid het doelpubliek van een kleuterschool ongetwijfeld op een andere manier worden geëvalueerd dan </w:t>
      </w:r>
      <w:r>
        <w:rPr>
          <w:i w:val="0"/>
        </w:rPr>
        <w:t xml:space="preserve">het doelpubliek </w:t>
      </w:r>
      <w:r w:rsidRPr="00B93818">
        <w:rPr>
          <w:i w:val="0"/>
        </w:rPr>
        <w:t xml:space="preserve">van een universiteit. </w:t>
      </w:r>
      <w:r>
        <w:rPr>
          <w:i w:val="0"/>
        </w:rPr>
        <w:t xml:space="preserve">Een Brusselse universiteit </w:t>
      </w:r>
      <w:r w:rsidRPr="00B93818">
        <w:rPr>
          <w:i w:val="0"/>
        </w:rPr>
        <w:t xml:space="preserve">zal zich niet exclusief richten op de Brusselse bevolking, gelet op de centrumfunctie van Brussel. Toch blijkt uit de financiële gegevens dat meer dan 5% van de totale Vlaamse </w:t>
      </w:r>
      <w:r>
        <w:rPr>
          <w:i w:val="0"/>
        </w:rPr>
        <w:t>g</w:t>
      </w:r>
      <w:r w:rsidRPr="00B93818">
        <w:rPr>
          <w:i w:val="0"/>
        </w:rPr>
        <w:t>emeenschapsuitgaven in het kader van onderwijs in en voor Brussel wordt aangewend, maar er zijn verschillen in de verhouding in de diverse onderwijsniveaus tussen het aantal ingeschreven leerlingen en studenten</w:t>
      </w:r>
      <w:r>
        <w:rPr>
          <w:i w:val="0"/>
        </w:rPr>
        <w:t>,</w:t>
      </w:r>
      <w:r w:rsidRPr="00B93818">
        <w:rPr>
          <w:i w:val="0"/>
        </w:rPr>
        <w:t xml:space="preserve"> en de bevolking die in theorie ingeschreven zou kunnen zijn.</w:t>
      </w:r>
    </w:p>
    <w:p w:rsidR="00B93818" w:rsidRPr="00B93818" w:rsidRDefault="00B93818" w:rsidP="00B93818">
      <w:pPr>
        <w:pStyle w:val="SVTitel"/>
        <w:ind w:left="426"/>
        <w:rPr>
          <w:i w:val="0"/>
        </w:rPr>
      </w:pPr>
    </w:p>
    <w:p w:rsidR="00B93818" w:rsidRPr="00B93818" w:rsidRDefault="00B93818" w:rsidP="00B93818">
      <w:pPr>
        <w:pStyle w:val="SVTitel"/>
        <w:ind w:left="426"/>
        <w:rPr>
          <w:i w:val="0"/>
        </w:rPr>
      </w:pPr>
      <w:r w:rsidRPr="00B93818">
        <w:rPr>
          <w:i w:val="0"/>
        </w:rPr>
        <w:t xml:space="preserve">In een aantal persoonsgebonden aangelegenheden, zoals </w:t>
      </w:r>
      <w:proofErr w:type="spellStart"/>
      <w:r>
        <w:rPr>
          <w:i w:val="0"/>
        </w:rPr>
        <w:t>bvb</w:t>
      </w:r>
      <w:proofErr w:type="spellEnd"/>
      <w:r>
        <w:rPr>
          <w:i w:val="0"/>
        </w:rPr>
        <w:t xml:space="preserve">. </w:t>
      </w:r>
      <w:r w:rsidRPr="00B93818">
        <w:rPr>
          <w:i w:val="0"/>
        </w:rPr>
        <w:t xml:space="preserve">het ouderenbeleid, stelt zich bovendien het specifieke probleem van de aanwezigheid van een bicommunautaire sector die zich per definitie richt tot </w:t>
      </w:r>
      <w:r>
        <w:rPr>
          <w:i w:val="0"/>
        </w:rPr>
        <w:t xml:space="preserve">de </w:t>
      </w:r>
      <w:r w:rsidRPr="00B93818">
        <w:rPr>
          <w:i w:val="0"/>
        </w:rPr>
        <w:t xml:space="preserve">beide gemeenschappen. </w:t>
      </w:r>
      <w:r>
        <w:rPr>
          <w:i w:val="0"/>
        </w:rPr>
        <w:t xml:space="preserve">Voor elk </w:t>
      </w:r>
      <w:r w:rsidRPr="00B93818">
        <w:rPr>
          <w:i w:val="0"/>
        </w:rPr>
        <w:t xml:space="preserve">beleidsinitiatief </w:t>
      </w:r>
      <w:r>
        <w:rPr>
          <w:i w:val="0"/>
        </w:rPr>
        <w:t>s</w:t>
      </w:r>
      <w:r w:rsidRPr="00B93818">
        <w:rPr>
          <w:i w:val="0"/>
        </w:rPr>
        <w:t>telt zich dan de vraag in hoeverre eigen Vlaamse voorzieningen moeten worden gerealiseerd naast de bestaande bicommunautaire initiatieven</w:t>
      </w:r>
      <w:r>
        <w:rPr>
          <w:i w:val="0"/>
        </w:rPr>
        <w:t>,</w:t>
      </w:r>
      <w:r w:rsidRPr="00B93818">
        <w:rPr>
          <w:i w:val="0"/>
        </w:rPr>
        <w:t xml:space="preserve"> indien het huidige aanbod in de praktijk voldoende </w:t>
      </w:r>
      <w:r>
        <w:rPr>
          <w:i w:val="0"/>
        </w:rPr>
        <w:t>blijkt te zijn</w:t>
      </w:r>
      <w:r w:rsidRPr="00B93818">
        <w:rPr>
          <w:i w:val="0"/>
        </w:rPr>
        <w:t xml:space="preserve">. Waar er wel een uitdrukkelijke tweedeling bestaat, zoals </w:t>
      </w:r>
      <w:r>
        <w:rPr>
          <w:i w:val="0"/>
        </w:rPr>
        <w:t xml:space="preserve">in </w:t>
      </w:r>
      <w:r w:rsidRPr="00B93818">
        <w:rPr>
          <w:i w:val="0"/>
        </w:rPr>
        <w:t>de kinderopvang, moeten ook hypotheses worden gemaakt naar het aantal in te vullen plaatsen en stelt zich het probleem dat er verschillende opvangvormen bestaan in de Vlaamse en Franse Gemeenschap.</w:t>
      </w:r>
    </w:p>
    <w:p w:rsidR="00B93818" w:rsidRPr="00B93818" w:rsidRDefault="00B93818" w:rsidP="00B93818">
      <w:pPr>
        <w:pStyle w:val="SVTitel"/>
        <w:ind w:left="426"/>
        <w:rPr>
          <w:i w:val="0"/>
        </w:rPr>
      </w:pPr>
    </w:p>
    <w:p w:rsidR="00B93818" w:rsidRPr="00B93818" w:rsidRDefault="00B93818" w:rsidP="00B93818">
      <w:pPr>
        <w:pStyle w:val="SVTitel"/>
        <w:ind w:left="426"/>
        <w:rPr>
          <w:i w:val="0"/>
        </w:rPr>
      </w:pPr>
      <w:r w:rsidRPr="00B93818">
        <w:rPr>
          <w:i w:val="0"/>
        </w:rPr>
        <w:t>In de culturele aangelegenheden is het evenzeer niet evident om een Brusselnorm op basis van het doelpubliek te bepalen. Gaat het hier om het vergelijken van uitgaven met de Franse Gemeenschap</w:t>
      </w:r>
      <w:r w:rsidR="0092270A">
        <w:rPr>
          <w:i w:val="0"/>
        </w:rPr>
        <w:t xml:space="preserve"> </w:t>
      </w:r>
      <w:r w:rsidRPr="00B93818">
        <w:rPr>
          <w:i w:val="0"/>
        </w:rPr>
        <w:t>? Zijn hier het aantal projecten en initiatieven doorslaggevend</w:t>
      </w:r>
      <w:r w:rsidR="0092270A">
        <w:rPr>
          <w:i w:val="0"/>
        </w:rPr>
        <w:t xml:space="preserve"> </w:t>
      </w:r>
      <w:r w:rsidRPr="00B93818">
        <w:rPr>
          <w:i w:val="0"/>
        </w:rPr>
        <w:t>? Berekent men het publiek enkel op basis van ledenaantallen, bezoekerscijfers, kijk- en luistercijfers,… of zijn er andere parameters</w:t>
      </w:r>
      <w:r w:rsidR="0092270A">
        <w:rPr>
          <w:i w:val="0"/>
        </w:rPr>
        <w:t xml:space="preserve"> </w:t>
      </w:r>
      <w:r w:rsidRPr="00B93818">
        <w:rPr>
          <w:i w:val="0"/>
        </w:rPr>
        <w:t>? Een kwantitatieve benadering van het doelpubliek in culturele aangelegenheden houdt een aantal risico’s in.</w:t>
      </w:r>
    </w:p>
    <w:p w:rsidR="00B93818" w:rsidRPr="00B93818" w:rsidRDefault="00B93818" w:rsidP="00B93818">
      <w:pPr>
        <w:pStyle w:val="SVTitel"/>
        <w:ind w:left="426"/>
        <w:rPr>
          <w:i w:val="0"/>
        </w:rPr>
      </w:pPr>
    </w:p>
    <w:p w:rsidR="0092270A" w:rsidRDefault="00B93818" w:rsidP="00B93818">
      <w:pPr>
        <w:pStyle w:val="SVTitel"/>
        <w:ind w:left="426"/>
        <w:rPr>
          <w:i w:val="0"/>
        </w:rPr>
      </w:pPr>
      <w:r w:rsidRPr="00B93818">
        <w:rPr>
          <w:i w:val="0"/>
        </w:rPr>
        <w:t xml:space="preserve">Het is vanuit de bekommernis om de Brusselnorm te kunnen toepassen doorheen het hele gemeenschapsbeleid dat de Vlaamse Regering aan de </w:t>
      </w:r>
      <w:proofErr w:type="spellStart"/>
      <w:r w:rsidRPr="00B93818">
        <w:rPr>
          <w:i w:val="0"/>
        </w:rPr>
        <w:t>Task</w:t>
      </w:r>
      <w:proofErr w:type="spellEnd"/>
      <w:r w:rsidR="00C526E7">
        <w:rPr>
          <w:i w:val="0"/>
        </w:rPr>
        <w:t xml:space="preserve"> F</w:t>
      </w:r>
      <w:r w:rsidRPr="00B93818">
        <w:rPr>
          <w:i w:val="0"/>
        </w:rPr>
        <w:t>orce Brussel de vraag heeft gesteld om voorstellen uit te werken voor de ontwikkeling van gemeenschappelijke meet- en weet</w:t>
      </w:r>
      <w:r w:rsidR="0092270A">
        <w:rPr>
          <w:i w:val="0"/>
        </w:rPr>
        <w:t>-</w:t>
      </w:r>
      <w:r w:rsidRPr="00B93818">
        <w:rPr>
          <w:i w:val="0"/>
        </w:rPr>
        <w:t>instrumenten</w:t>
      </w:r>
      <w:r w:rsidR="0092270A">
        <w:rPr>
          <w:i w:val="0"/>
        </w:rPr>
        <w:t>,</w:t>
      </w:r>
      <w:r w:rsidRPr="00B93818">
        <w:rPr>
          <w:i w:val="0"/>
        </w:rPr>
        <w:t xml:space="preserve"> en voor de implementatie van de Brusselnorm.</w:t>
      </w:r>
    </w:p>
    <w:p w:rsidR="0092270A" w:rsidRDefault="00B93818" w:rsidP="00B93818">
      <w:pPr>
        <w:pStyle w:val="SVTitel"/>
        <w:ind w:left="426"/>
        <w:rPr>
          <w:i w:val="0"/>
        </w:rPr>
      </w:pPr>
      <w:r w:rsidRPr="00B93818">
        <w:rPr>
          <w:i w:val="0"/>
        </w:rPr>
        <w:t xml:space="preserve">De </w:t>
      </w:r>
      <w:proofErr w:type="spellStart"/>
      <w:r w:rsidRPr="00B93818">
        <w:rPr>
          <w:i w:val="0"/>
        </w:rPr>
        <w:t>Task</w:t>
      </w:r>
      <w:proofErr w:type="spellEnd"/>
      <w:r w:rsidR="00C526E7">
        <w:rPr>
          <w:i w:val="0"/>
        </w:rPr>
        <w:t xml:space="preserve"> F</w:t>
      </w:r>
      <w:r w:rsidRPr="00B93818">
        <w:rPr>
          <w:i w:val="0"/>
        </w:rPr>
        <w:t xml:space="preserve">orce Brussel formuleerde in </w:t>
      </w:r>
      <w:r w:rsidR="0092270A">
        <w:rPr>
          <w:i w:val="0"/>
        </w:rPr>
        <w:t xml:space="preserve">zijn </w:t>
      </w:r>
      <w:r w:rsidRPr="00B93818">
        <w:rPr>
          <w:i w:val="0"/>
        </w:rPr>
        <w:t xml:space="preserve">eindrapport, dat een aantal analyses en voorstellen omvat, een aantal uitgangspunten. Zo stelt de </w:t>
      </w:r>
      <w:proofErr w:type="spellStart"/>
      <w:r w:rsidRPr="00B93818">
        <w:rPr>
          <w:i w:val="0"/>
        </w:rPr>
        <w:t>Task</w:t>
      </w:r>
      <w:proofErr w:type="spellEnd"/>
      <w:r w:rsidR="0092270A">
        <w:rPr>
          <w:i w:val="0"/>
        </w:rPr>
        <w:t xml:space="preserve"> F</w:t>
      </w:r>
      <w:r w:rsidRPr="00B93818">
        <w:rPr>
          <w:i w:val="0"/>
        </w:rPr>
        <w:t xml:space="preserve">orce onder meer voor dat er zou worden gestreefd naar een investerings- en programmatiebeleid van Nederlandstalige </w:t>
      </w:r>
      <w:proofErr w:type="spellStart"/>
      <w:r w:rsidRPr="00B93818">
        <w:rPr>
          <w:i w:val="0"/>
        </w:rPr>
        <w:t>gemeenschaps</w:t>
      </w:r>
      <w:r w:rsidR="0092270A">
        <w:rPr>
          <w:i w:val="0"/>
        </w:rPr>
        <w:t>-</w:t>
      </w:r>
      <w:r w:rsidRPr="00B93818">
        <w:rPr>
          <w:i w:val="0"/>
        </w:rPr>
        <w:t>voorzieningen</w:t>
      </w:r>
      <w:proofErr w:type="spellEnd"/>
      <w:r w:rsidRPr="00B93818">
        <w:rPr>
          <w:i w:val="0"/>
        </w:rPr>
        <w:t xml:space="preserve"> in het Brusselse Hoofdstedelijke Gewest dat een bereik van 30% van de Brusselse </w:t>
      </w:r>
      <w:r w:rsidRPr="00B93818">
        <w:rPr>
          <w:i w:val="0"/>
        </w:rPr>
        <w:lastRenderedPageBreak/>
        <w:t xml:space="preserve">bevolking mogelijk maakt. Centraal staat volgens de </w:t>
      </w:r>
      <w:proofErr w:type="spellStart"/>
      <w:r w:rsidRPr="00B93818">
        <w:rPr>
          <w:i w:val="0"/>
        </w:rPr>
        <w:t>Task</w:t>
      </w:r>
      <w:proofErr w:type="spellEnd"/>
      <w:r w:rsidR="0092270A">
        <w:rPr>
          <w:i w:val="0"/>
        </w:rPr>
        <w:t xml:space="preserve"> F</w:t>
      </w:r>
      <w:r w:rsidRPr="00B93818">
        <w:rPr>
          <w:i w:val="0"/>
        </w:rPr>
        <w:t xml:space="preserve">orce dat de financiering van gemeenschapsuitgaven door de Vlaamse Regering in het Brusselse Hoofdstedelijke Gewest dit bereik mogelijk maakt. Daarom zouden voor de verschillende sectoren de mogelijkheden en voorwaarden voor een groeipad moeten worden onderzocht. </w:t>
      </w:r>
    </w:p>
    <w:p w:rsidR="0092270A" w:rsidRDefault="0092270A" w:rsidP="00B93818">
      <w:pPr>
        <w:pStyle w:val="SVTitel"/>
        <w:ind w:left="426"/>
        <w:rPr>
          <w:i w:val="0"/>
        </w:rPr>
      </w:pPr>
    </w:p>
    <w:p w:rsidR="003B484A" w:rsidRDefault="00B93818" w:rsidP="0092270A">
      <w:pPr>
        <w:pStyle w:val="SVTitel"/>
        <w:ind w:left="426"/>
        <w:rPr>
          <w:i w:val="0"/>
        </w:rPr>
      </w:pPr>
      <w:r w:rsidRPr="00B93818">
        <w:rPr>
          <w:i w:val="0"/>
        </w:rPr>
        <w:t xml:space="preserve">Het eindrapport van de </w:t>
      </w:r>
      <w:proofErr w:type="spellStart"/>
      <w:r w:rsidRPr="00B93818">
        <w:rPr>
          <w:i w:val="0"/>
        </w:rPr>
        <w:t>Task</w:t>
      </w:r>
      <w:proofErr w:type="spellEnd"/>
      <w:r w:rsidR="00C526E7">
        <w:rPr>
          <w:i w:val="0"/>
        </w:rPr>
        <w:t xml:space="preserve"> F</w:t>
      </w:r>
      <w:r w:rsidRPr="00B93818">
        <w:rPr>
          <w:i w:val="0"/>
        </w:rPr>
        <w:t xml:space="preserve">orce zal </w:t>
      </w:r>
      <w:r w:rsidR="0092270A">
        <w:rPr>
          <w:i w:val="0"/>
        </w:rPr>
        <w:t xml:space="preserve">het </w:t>
      </w:r>
      <w:r w:rsidRPr="00B93818">
        <w:rPr>
          <w:i w:val="0"/>
        </w:rPr>
        <w:t xml:space="preserve">voorwerp uitmaken van </w:t>
      </w:r>
      <w:r w:rsidR="00C44E28">
        <w:rPr>
          <w:i w:val="0"/>
        </w:rPr>
        <w:t xml:space="preserve">een </w:t>
      </w:r>
      <w:r w:rsidRPr="00B93818">
        <w:rPr>
          <w:i w:val="0"/>
        </w:rPr>
        <w:t>politiek kerntakendebat met de Vlaamse Gemeenschapscommissie</w:t>
      </w:r>
      <w:r w:rsidR="0092270A">
        <w:rPr>
          <w:i w:val="0"/>
        </w:rPr>
        <w:t>,</w:t>
      </w:r>
      <w:r w:rsidRPr="00B93818">
        <w:rPr>
          <w:i w:val="0"/>
        </w:rPr>
        <w:t xml:space="preserve"> dat in het najaar van start zal gaan. Het is derhalve nog te vroeg om verder</w:t>
      </w:r>
      <w:r w:rsidR="0092270A">
        <w:rPr>
          <w:i w:val="0"/>
        </w:rPr>
        <w:t>e</w:t>
      </w:r>
      <w:r w:rsidRPr="00B93818">
        <w:rPr>
          <w:i w:val="0"/>
        </w:rPr>
        <w:t xml:space="preserve"> uitspraken te doen of</w:t>
      </w:r>
      <w:r w:rsidR="0092270A">
        <w:rPr>
          <w:i w:val="0"/>
        </w:rPr>
        <w:t>,</w:t>
      </w:r>
      <w:r w:rsidRPr="00B93818">
        <w:rPr>
          <w:i w:val="0"/>
        </w:rPr>
        <w:t xml:space="preserve"> in globaliteit</w:t>
      </w:r>
      <w:r w:rsidR="0092270A">
        <w:rPr>
          <w:i w:val="0"/>
        </w:rPr>
        <w:t>,</w:t>
      </w:r>
      <w:r w:rsidRPr="00B93818">
        <w:rPr>
          <w:i w:val="0"/>
        </w:rPr>
        <w:t xml:space="preserve"> de Brusselnorm </w:t>
      </w:r>
      <w:r w:rsidR="0092270A" w:rsidRPr="00B93818">
        <w:rPr>
          <w:i w:val="0"/>
        </w:rPr>
        <w:t xml:space="preserve">al dan niet </w:t>
      </w:r>
      <w:r w:rsidRPr="00B93818">
        <w:rPr>
          <w:i w:val="0"/>
        </w:rPr>
        <w:t>wordt gehaald.</w:t>
      </w:r>
    </w:p>
    <w:p w:rsidR="00072DD9" w:rsidRDefault="00072DD9" w:rsidP="0092270A">
      <w:pPr>
        <w:pStyle w:val="SVTitel"/>
        <w:rPr>
          <w:i w:val="0"/>
        </w:rPr>
      </w:pPr>
    </w:p>
    <w:p w:rsidR="00072DD9" w:rsidRDefault="00072DD9" w:rsidP="0092270A">
      <w:pPr>
        <w:pStyle w:val="SVTitel"/>
        <w:rPr>
          <w:i w:val="0"/>
        </w:rPr>
      </w:pPr>
    </w:p>
    <w:p w:rsidR="001A5587" w:rsidRPr="00AA754C" w:rsidRDefault="00AA754C" w:rsidP="008145F0">
      <w:pPr>
        <w:pStyle w:val="SVTitel"/>
        <w:ind w:left="1276" w:hanging="1276"/>
        <w:rPr>
          <w:b/>
          <w:i w:val="0"/>
          <w:smallCaps/>
          <w:color w:val="FF0000"/>
        </w:rPr>
      </w:pPr>
      <w:r>
        <w:rPr>
          <w:b/>
          <w:i w:val="0"/>
          <w:smallCaps/>
          <w:color w:val="FF0000"/>
        </w:rPr>
        <w:t>bijlagen</w:t>
      </w:r>
    </w:p>
    <w:p w:rsidR="001A5587" w:rsidRDefault="001A5587" w:rsidP="008145F0">
      <w:pPr>
        <w:pStyle w:val="SVTitel"/>
        <w:ind w:left="1276" w:hanging="1276"/>
        <w:rPr>
          <w:i w:val="0"/>
        </w:rPr>
      </w:pPr>
    </w:p>
    <w:p w:rsidR="00B476C5" w:rsidRDefault="001A5587" w:rsidP="00AA754C">
      <w:pPr>
        <w:pStyle w:val="SVTitel"/>
        <w:numPr>
          <w:ilvl w:val="0"/>
          <w:numId w:val="29"/>
        </w:numPr>
        <w:rPr>
          <w:i w:val="0"/>
        </w:rPr>
      </w:pPr>
      <w:r>
        <w:rPr>
          <w:i w:val="0"/>
        </w:rPr>
        <w:t>U</w:t>
      </w:r>
      <w:r w:rsidR="008145F0">
        <w:rPr>
          <w:i w:val="0"/>
        </w:rPr>
        <w:t xml:space="preserve">ittreksel uit het rapport van de </w:t>
      </w:r>
      <w:proofErr w:type="spellStart"/>
      <w:r w:rsidR="008145F0">
        <w:rPr>
          <w:i w:val="0"/>
        </w:rPr>
        <w:t>Ta</w:t>
      </w:r>
      <w:r w:rsidR="00AA754C">
        <w:rPr>
          <w:i w:val="0"/>
        </w:rPr>
        <w:t>sk</w:t>
      </w:r>
      <w:proofErr w:type="spellEnd"/>
      <w:r w:rsidR="00AA754C">
        <w:rPr>
          <w:i w:val="0"/>
        </w:rPr>
        <w:t xml:space="preserve"> Force Brussel (januari 2012)</w:t>
      </w:r>
      <w:r w:rsidR="008145F0">
        <w:rPr>
          <w:i w:val="0"/>
        </w:rPr>
        <w:t xml:space="preserve">: </w:t>
      </w:r>
      <w:r w:rsidR="00817C38">
        <w:rPr>
          <w:i w:val="0"/>
        </w:rPr>
        <w:t>overzicht van de gemeenschapsuitgaven van de Vlaamse overheid in Brussel in 2009 en 2010 (+ toelichting)</w:t>
      </w:r>
    </w:p>
    <w:p w:rsidR="001A5587" w:rsidRDefault="001A5587" w:rsidP="00895271">
      <w:pPr>
        <w:pStyle w:val="SVTitel"/>
        <w:ind w:left="567" w:hanging="567"/>
        <w:rPr>
          <w:i w:val="0"/>
        </w:rPr>
      </w:pPr>
    </w:p>
    <w:p w:rsidR="00895271" w:rsidRDefault="00895271" w:rsidP="00AA754C">
      <w:pPr>
        <w:pStyle w:val="SVTitel"/>
        <w:numPr>
          <w:ilvl w:val="0"/>
          <w:numId w:val="29"/>
        </w:numPr>
        <w:rPr>
          <w:i w:val="0"/>
        </w:rPr>
      </w:pPr>
      <w:r>
        <w:rPr>
          <w:i w:val="0"/>
        </w:rPr>
        <w:t>a</w:t>
      </w:r>
      <w:r w:rsidR="001A5587">
        <w:rPr>
          <w:i w:val="0"/>
        </w:rPr>
        <w:t>.</w:t>
      </w:r>
      <w:r w:rsidR="001A5587">
        <w:rPr>
          <w:i w:val="0"/>
        </w:rPr>
        <w:tab/>
        <w:t>Geactualiseerde cijfers en aanvullingen voor inburgering, integratie en stedenbeleid</w:t>
      </w:r>
    </w:p>
    <w:p w:rsidR="00895271" w:rsidRDefault="00895271" w:rsidP="00AA754C">
      <w:pPr>
        <w:pStyle w:val="SVTitel"/>
        <w:ind w:left="567" w:hanging="283"/>
        <w:rPr>
          <w:i w:val="0"/>
        </w:rPr>
      </w:pPr>
      <w:r>
        <w:rPr>
          <w:i w:val="0"/>
        </w:rPr>
        <w:t>b.</w:t>
      </w:r>
      <w:r>
        <w:rPr>
          <w:i w:val="0"/>
        </w:rPr>
        <w:tab/>
        <w:t>Detail van projectsubsidies Brussel in het kader van inburg</w:t>
      </w:r>
      <w:r w:rsidR="001A6A16">
        <w:rPr>
          <w:i w:val="0"/>
        </w:rPr>
        <w:t>e</w:t>
      </w:r>
      <w:r>
        <w:rPr>
          <w:i w:val="0"/>
        </w:rPr>
        <w:t>ring en integratie</w:t>
      </w:r>
    </w:p>
    <w:p w:rsidR="001A5587" w:rsidRDefault="001A5587" w:rsidP="00895271">
      <w:pPr>
        <w:pStyle w:val="SVTitel"/>
        <w:ind w:left="567" w:hanging="567"/>
        <w:rPr>
          <w:i w:val="0"/>
        </w:rPr>
      </w:pPr>
    </w:p>
    <w:p w:rsidR="00895271" w:rsidRPr="00B476C5" w:rsidRDefault="001A5587" w:rsidP="00AA754C">
      <w:pPr>
        <w:pStyle w:val="SVTitel"/>
        <w:numPr>
          <w:ilvl w:val="0"/>
          <w:numId w:val="29"/>
        </w:numPr>
        <w:rPr>
          <w:i w:val="0"/>
        </w:rPr>
      </w:pPr>
      <w:bookmarkStart w:id="6" w:name="_GoBack"/>
      <w:bookmarkEnd w:id="6"/>
      <w:r>
        <w:rPr>
          <w:i w:val="0"/>
        </w:rPr>
        <w:t>Aanvullingen m.b.t. toerisme en sociale economie</w:t>
      </w:r>
    </w:p>
    <w:sectPr w:rsidR="00895271" w:rsidRPr="00B476C5" w:rsidSect="000976E9">
      <w:type w:val="continuous"/>
      <w:pgSz w:w="11906" w:h="16838"/>
      <w:pgMar w:top="1417" w:right="1417" w:bottom="1417" w:left="1417" w:header="708" w:footer="708"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83C68"/>
    <w:multiLevelType w:val="hybridMultilevel"/>
    <w:tmpl w:val="33409CF4"/>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
    <w:nsid w:val="044171E8"/>
    <w:multiLevelType w:val="hybridMultilevel"/>
    <w:tmpl w:val="64F8DBAA"/>
    <w:lvl w:ilvl="0" w:tplc="0813000F">
      <w:start w:val="1"/>
      <w:numFmt w:val="decimal"/>
      <w:lvlText w:val="%1."/>
      <w:lvlJc w:val="left"/>
      <w:pPr>
        <w:ind w:left="360" w:hanging="360"/>
      </w:pPr>
    </w:lvl>
    <w:lvl w:ilvl="1" w:tplc="08130019">
      <w:start w:val="1"/>
      <w:numFmt w:val="decimal"/>
      <w:lvlText w:val="%2."/>
      <w:lvlJc w:val="left"/>
      <w:pPr>
        <w:tabs>
          <w:tab w:val="num" w:pos="1440"/>
        </w:tabs>
        <w:ind w:left="1440" w:hanging="360"/>
      </w:pPr>
    </w:lvl>
    <w:lvl w:ilvl="2" w:tplc="0813001B">
      <w:start w:val="1"/>
      <w:numFmt w:val="decimal"/>
      <w:lvlText w:val="%3."/>
      <w:lvlJc w:val="left"/>
      <w:pPr>
        <w:tabs>
          <w:tab w:val="num" w:pos="2160"/>
        </w:tabs>
        <w:ind w:left="2160" w:hanging="360"/>
      </w:pPr>
    </w:lvl>
    <w:lvl w:ilvl="3" w:tplc="0813000F">
      <w:start w:val="1"/>
      <w:numFmt w:val="decimal"/>
      <w:lvlText w:val="%4."/>
      <w:lvlJc w:val="left"/>
      <w:pPr>
        <w:tabs>
          <w:tab w:val="num" w:pos="2880"/>
        </w:tabs>
        <w:ind w:left="2880" w:hanging="360"/>
      </w:pPr>
    </w:lvl>
    <w:lvl w:ilvl="4" w:tplc="08130019">
      <w:start w:val="1"/>
      <w:numFmt w:val="decimal"/>
      <w:lvlText w:val="%5."/>
      <w:lvlJc w:val="left"/>
      <w:pPr>
        <w:tabs>
          <w:tab w:val="num" w:pos="3600"/>
        </w:tabs>
        <w:ind w:left="3600" w:hanging="360"/>
      </w:pPr>
    </w:lvl>
    <w:lvl w:ilvl="5" w:tplc="0813001B">
      <w:start w:val="1"/>
      <w:numFmt w:val="decimal"/>
      <w:lvlText w:val="%6."/>
      <w:lvlJc w:val="left"/>
      <w:pPr>
        <w:tabs>
          <w:tab w:val="num" w:pos="4320"/>
        </w:tabs>
        <w:ind w:left="4320" w:hanging="360"/>
      </w:pPr>
    </w:lvl>
    <w:lvl w:ilvl="6" w:tplc="0813000F">
      <w:start w:val="1"/>
      <w:numFmt w:val="decimal"/>
      <w:lvlText w:val="%7."/>
      <w:lvlJc w:val="left"/>
      <w:pPr>
        <w:tabs>
          <w:tab w:val="num" w:pos="5040"/>
        </w:tabs>
        <w:ind w:left="5040" w:hanging="360"/>
      </w:pPr>
    </w:lvl>
    <w:lvl w:ilvl="7" w:tplc="08130019">
      <w:start w:val="1"/>
      <w:numFmt w:val="decimal"/>
      <w:lvlText w:val="%8."/>
      <w:lvlJc w:val="left"/>
      <w:pPr>
        <w:tabs>
          <w:tab w:val="num" w:pos="5760"/>
        </w:tabs>
        <w:ind w:left="5760" w:hanging="360"/>
      </w:pPr>
    </w:lvl>
    <w:lvl w:ilvl="8" w:tplc="0813001B">
      <w:start w:val="1"/>
      <w:numFmt w:val="decimal"/>
      <w:lvlText w:val="%9."/>
      <w:lvlJc w:val="left"/>
      <w:pPr>
        <w:tabs>
          <w:tab w:val="num" w:pos="6480"/>
        </w:tabs>
        <w:ind w:left="6480" w:hanging="360"/>
      </w:pPr>
    </w:lvl>
  </w:abstractNum>
  <w:abstractNum w:abstractNumId="2">
    <w:nsid w:val="05720762"/>
    <w:multiLevelType w:val="hybridMultilevel"/>
    <w:tmpl w:val="07826246"/>
    <w:lvl w:ilvl="0" w:tplc="859A0DF6">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0CFD06AB"/>
    <w:multiLevelType w:val="hybridMultilevel"/>
    <w:tmpl w:val="DED08688"/>
    <w:lvl w:ilvl="0" w:tplc="08130001">
      <w:start w:val="1"/>
      <w:numFmt w:val="bullet"/>
      <w:lvlText w:val=""/>
      <w:lvlJc w:val="left"/>
      <w:pPr>
        <w:ind w:left="9433" w:hanging="360"/>
      </w:pPr>
      <w:rPr>
        <w:rFonts w:ascii="Symbol" w:hAnsi="Symbol" w:hint="default"/>
      </w:rPr>
    </w:lvl>
    <w:lvl w:ilvl="1" w:tplc="08130003" w:tentative="1">
      <w:start w:val="1"/>
      <w:numFmt w:val="bullet"/>
      <w:lvlText w:val="o"/>
      <w:lvlJc w:val="left"/>
      <w:pPr>
        <w:ind w:left="10153" w:hanging="360"/>
      </w:pPr>
      <w:rPr>
        <w:rFonts w:ascii="Courier New" w:hAnsi="Courier New" w:cs="Courier New" w:hint="default"/>
      </w:rPr>
    </w:lvl>
    <w:lvl w:ilvl="2" w:tplc="08130005" w:tentative="1">
      <w:start w:val="1"/>
      <w:numFmt w:val="bullet"/>
      <w:lvlText w:val=""/>
      <w:lvlJc w:val="left"/>
      <w:pPr>
        <w:ind w:left="10873" w:hanging="360"/>
      </w:pPr>
      <w:rPr>
        <w:rFonts w:ascii="Wingdings" w:hAnsi="Wingdings" w:hint="default"/>
      </w:rPr>
    </w:lvl>
    <w:lvl w:ilvl="3" w:tplc="08130001" w:tentative="1">
      <w:start w:val="1"/>
      <w:numFmt w:val="bullet"/>
      <w:lvlText w:val=""/>
      <w:lvlJc w:val="left"/>
      <w:pPr>
        <w:ind w:left="11593" w:hanging="360"/>
      </w:pPr>
      <w:rPr>
        <w:rFonts w:ascii="Symbol" w:hAnsi="Symbol" w:hint="default"/>
      </w:rPr>
    </w:lvl>
    <w:lvl w:ilvl="4" w:tplc="08130003" w:tentative="1">
      <w:start w:val="1"/>
      <w:numFmt w:val="bullet"/>
      <w:lvlText w:val="o"/>
      <w:lvlJc w:val="left"/>
      <w:pPr>
        <w:ind w:left="12313" w:hanging="360"/>
      </w:pPr>
      <w:rPr>
        <w:rFonts w:ascii="Courier New" w:hAnsi="Courier New" w:cs="Courier New" w:hint="default"/>
      </w:rPr>
    </w:lvl>
    <w:lvl w:ilvl="5" w:tplc="08130005" w:tentative="1">
      <w:start w:val="1"/>
      <w:numFmt w:val="bullet"/>
      <w:lvlText w:val=""/>
      <w:lvlJc w:val="left"/>
      <w:pPr>
        <w:ind w:left="13033" w:hanging="360"/>
      </w:pPr>
      <w:rPr>
        <w:rFonts w:ascii="Wingdings" w:hAnsi="Wingdings" w:hint="default"/>
      </w:rPr>
    </w:lvl>
    <w:lvl w:ilvl="6" w:tplc="08130001" w:tentative="1">
      <w:start w:val="1"/>
      <w:numFmt w:val="bullet"/>
      <w:lvlText w:val=""/>
      <w:lvlJc w:val="left"/>
      <w:pPr>
        <w:ind w:left="13753" w:hanging="360"/>
      </w:pPr>
      <w:rPr>
        <w:rFonts w:ascii="Symbol" w:hAnsi="Symbol" w:hint="default"/>
      </w:rPr>
    </w:lvl>
    <w:lvl w:ilvl="7" w:tplc="08130003" w:tentative="1">
      <w:start w:val="1"/>
      <w:numFmt w:val="bullet"/>
      <w:lvlText w:val="o"/>
      <w:lvlJc w:val="left"/>
      <w:pPr>
        <w:ind w:left="14473" w:hanging="360"/>
      </w:pPr>
      <w:rPr>
        <w:rFonts w:ascii="Courier New" w:hAnsi="Courier New" w:cs="Courier New" w:hint="default"/>
      </w:rPr>
    </w:lvl>
    <w:lvl w:ilvl="8" w:tplc="08130005" w:tentative="1">
      <w:start w:val="1"/>
      <w:numFmt w:val="bullet"/>
      <w:lvlText w:val=""/>
      <w:lvlJc w:val="left"/>
      <w:pPr>
        <w:ind w:left="15193" w:hanging="360"/>
      </w:pPr>
      <w:rPr>
        <w:rFonts w:ascii="Wingdings" w:hAnsi="Wingdings" w:hint="default"/>
      </w:rPr>
    </w:lvl>
  </w:abstractNum>
  <w:abstractNum w:abstractNumId="4">
    <w:nsid w:val="0D3D200E"/>
    <w:multiLevelType w:val="hybridMultilevel"/>
    <w:tmpl w:val="723839FE"/>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nsid w:val="101641D8"/>
    <w:multiLevelType w:val="hybridMultilevel"/>
    <w:tmpl w:val="2DCAF44C"/>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6">
    <w:nsid w:val="15C14374"/>
    <w:multiLevelType w:val="hybridMultilevel"/>
    <w:tmpl w:val="FAC28AB6"/>
    <w:lvl w:ilvl="0" w:tplc="0813000F">
      <w:start w:val="2"/>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nsid w:val="1909142E"/>
    <w:multiLevelType w:val="hybridMultilevel"/>
    <w:tmpl w:val="C00E7852"/>
    <w:lvl w:ilvl="0" w:tplc="0813000F">
      <w:start w:val="1"/>
      <w:numFmt w:val="decimal"/>
      <w:lvlText w:val="%1."/>
      <w:lvlJc w:val="left"/>
      <w:pPr>
        <w:ind w:left="4046" w:hanging="360"/>
      </w:pPr>
      <w:rPr>
        <w:rFonts w:hint="default"/>
      </w:rPr>
    </w:lvl>
    <w:lvl w:ilvl="1" w:tplc="08130019" w:tentative="1">
      <w:start w:val="1"/>
      <w:numFmt w:val="lowerLetter"/>
      <w:lvlText w:val="%2."/>
      <w:lvlJc w:val="left"/>
      <w:pPr>
        <w:ind w:left="3141" w:hanging="360"/>
      </w:pPr>
    </w:lvl>
    <w:lvl w:ilvl="2" w:tplc="0813001B" w:tentative="1">
      <w:start w:val="1"/>
      <w:numFmt w:val="lowerRoman"/>
      <w:lvlText w:val="%3."/>
      <w:lvlJc w:val="right"/>
      <w:pPr>
        <w:ind w:left="3861" w:hanging="180"/>
      </w:pPr>
    </w:lvl>
    <w:lvl w:ilvl="3" w:tplc="0813000F" w:tentative="1">
      <w:start w:val="1"/>
      <w:numFmt w:val="decimal"/>
      <w:lvlText w:val="%4."/>
      <w:lvlJc w:val="left"/>
      <w:pPr>
        <w:ind w:left="4581" w:hanging="360"/>
      </w:pPr>
    </w:lvl>
    <w:lvl w:ilvl="4" w:tplc="08130019" w:tentative="1">
      <w:start w:val="1"/>
      <w:numFmt w:val="lowerLetter"/>
      <w:lvlText w:val="%5."/>
      <w:lvlJc w:val="left"/>
      <w:pPr>
        <w:ind w:left="5301" w:hanging="360"/>
      </w:pPr>
    </w:lvl>
    <w:lvl w:ilvl="5" w:tplc="0813001B" w:tentative="1">
      <w:start w:val="1"/>
      <w:numFmt w:val="lowerRoman"/>
      <w:lvlText w:val="%6."/>
      <w:lvlJc w:val="right"/>
      <w:pPr>
        <w:ind w:left="6021" w:hanging="180"/>
      </w:pPr>
    </w:lvl>
    <w:lvl w:ilvl="6" w:tplc="0813000F" w:tentative="1">
      <w:start w:val="1"/>
      <w:numFmt w:val="decimal"/>
      <w:lvlText w:val="%7."/>
      <w:lvlJc w:val="left"/>
      <w:pPr>
        <w:ind w:left="6741" w:hanging="360"/>
      </w:pPr>
    </w:lvl>
    <w:lvl w:ilvl="7" w:tplc="08130019" w:tentative="1">
      <w:start w:val="1"/>
      <w:numFmt w:val="lowerLetter"/>
      <w:lvlText w:val="%8."/>
      <w:lvlJc w:val="left"/>
      <w:pPr>
        <w:ind w:left="7461" w:hanging="360"/>
      </w:pPr>
    </w:lvl>
    <w:lvl w:ilvl="8" w:tplc="0813001B" w:tentative="1">
      <w:start w:val="1"/>
      <w:numFmt w:val="lowerRoman"/>
      <w:lvlText w:val="%9."/>
      <w:lvlJc w:val="right"/>
      <w:pPr>
        <w:ind w:left="8181" w:hanging="180"/>
      </w:pPr>
    </w:lvl>
  </w:abstractNum>
  <w:abstractNum w:abstractNumId="8">
    <w:nsid w:val="1959168F"/>
    <w:multiLevelType w:val="hybridMultilevel"/>
    <w:tmpl w:val="83E8BB04"/>
    <w:lvl w:ilvl="0" w:tplc="8B941C50">
      <w:start w:val="1"/>
      <w:numFmt w:val="decimal"/>
      <w:lvlText w:val="%1."/>
      <w:lvlJc w:val="left"/>
      <w:pPr>
        <w:ind w:left="1080" w:hanging="360"/>
      </w:pPr>
      <w:rPr>
        <w:rFonts w:hint="default"/>
      </w:rPr>
    </w:lvl>
    <w:lvl w:ilvl="1" w:tplc="08130019">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9">
    <w:nsid w:val="1A2A64BE"/>
    <w:multiLevelType w:val="hybridMultilevel"/>
    <w:tmpl w:val="93000C9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nsid w:val="1E682FE7"/>
    <w:multiLevelType w:val="hybridMultilevel"/>
    <w:tmpl w:val="C3DC870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nsid w:val="23BB7CF1"/>
    <w:multiLevelType w:val="hybridMultilevel"/>
    <w:tmpl w:val="1364209A"/>
    <w:lvl w:ilvl="0" w:tplc="7E029308">
      <w:start w:val="1"/>
      <w:numFmt w:val="lowerLetter"/>
      <w:lvlText w:val="%1)"/>
      <w:lvlJc w:val="left"/>
      <w:pPr>
        <w:ind w:left="4471" w:hanging="360"/>
      </w:pPr>
      <w:rPr>
        <w:rFonts w:hint="default"/>
      </w:rPr>
    </w:lvl>
    <w:lvl w:ilvl="1" w:tplc="08130019" w:tentative="1">
      <w:start w:val="1"/>
      <w:numFmt w:val="lowerLetter"/>
      <w:lvlText w:val="%2."/>
      <w:lvlJc w:val="left"/>
      <w:pPr>
        <w:ind w:left="5191" w:hanging="360"/>
      </w:pPr>
    </w:lvl>
    <w:lvl w:ilvl="2" w:tplc="0813001B" w:tentative="1">
      <w:start w:val="1"/>
      <w:numFmt w:val="lowerRoman"/>
      <w:lvlText w:val="%3."/>
      <w:lvlJc w:val="right"/>
      <w:pPr>
        <w:ind w:left="5911" w:hanging="180"/>
      </w:pPr>
    </w:lvl>
    <w:lvl w:ilvl="3" w:tplc="0813000F" w:tentative="1">
      <w:start w:val="1"/>
      <w:numFmt w:val="decimal"/>
      <w:lvlText w:val="%4."/>
      <w:lvlJc w:val="left"/>
      <w:pPr>
        <w:ind w:left="6631" w:hanging="360"/>
      </w:pPr>
    </w:lvl>
    <w:lvl w:ilvl="4" w:tplc="08130019" w:tentative="1">
      <w:start w:val="1"/>
      <w:numFmt w:val="lowerLetter"/>
      <w:lvlText w:val="%5."/>
      <w:lvlJc w:val="left"/>
      <w:pPr>
        <w:ind w:left="7351" w:hanging="360"/>
      </w:pPr>
    </w:lvl>
    <w:lvl w:ilvl="5" w:tplc="0813001B" w:tentative="1">
      <w:start w:val="1"/>
      <w:numFmt w:val="lowerRoman"/>
      <w:lvlText w:val="%6."/>
      <w:lvlJc w:val="right"/>
      <w:pPr>
        <w:ind w:left="8071" w:hanging="180"/>
      </w:pPr>
    </w:lvl>
    <w:lvl w:ilvl="6" w:tplc="0813000F" w:tentative="1">
      <w:start w:val="1"/>
      <w:numFmt w:val="decimal"/>
      <w:lvlText w:val="%7."/>
      <w:lvlJc w:val="left"/>
      <w:pPr>
        <w:ind w:left="8791" w:hanging="360"/>
      </w:pPr>
    </w:lvl>
    <w:lvl w:ilvl="7" w:tplc="08130019" w:tentative="1">
      <w:start w:val="1"/>
      <w:numFmt w:val="lowerLetter"/>
      <w:lvlText w:val="%8."/>
      <w:lvlJc w:val="left"/>
      <w:pPr>
        <w:ind w:left="9511" w:hanging="360"/>
      </w:pPr>
    </w:lvl>
    <w:lvl w:ilvl="8" w:tplc="0813001B" w:tentative="1">
      <w:start w:val="1"/>
      <w:numFmt w:val="lowerRoman"/>
      <w:lvlText w:val="%9."/>
      <w:lvlJc w:val="right"/>
      <w:pPr>
        <w:ind w:left="10231" w:hanging="180"/>
      </w:pPr>
    </w:lvl>
  </w:abstractNum>
  <w:abstractNum w:abstractNumId="12">
    <w:nsid w:val="2C881159"/>
    <w:multiLevelType w:val="hybridMultilevel"/>
    <w:tmpl w:val="6598D6C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nsid w:val="31BF18E2"/>
    <w:multiLevelType w:val="hybridMultilevel"/>
    <w:tmpl w:val="DF94F28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nsid w:val="3B154965"/>
    <w:multiLevelType w:val="hybridMultilevel"/>
    <w:tmpl w:val="F8EAD952"/>
    <w:lvl w:ilvl="0" w:tplc="08130019">
      <w:start w:val="1"/>
      <w:numFmt w:val="lowerLetter"/>
      <w:lvlText w:val="%1."/>
      <w:lvlJc w:val="left"/>
      <w:pPr>
        <w:ind w:left="1068" w:hanging="360"/>
      </w:pPr>
      <w:rPr>
        <w:rFonts w:hint="default"/>
      </w:r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15">
    <w:nsid w:val="3DDE3A03"/>
    <w:multiLevelType w:val="multilevel"/>
    <w:tmpl w:val="8A8A3474"/>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FEF6A93"/>
    <w:multiLevelType w:val="hybridMultilevel"/>
    <w:tmpl w:val="0028366E"/>
    <w:lvl w:ilvl="0" w:tplc="08130017">
      <w:start w:val="3"/>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nsid w:val="47107D63"/>
    <w:multiLevelType w:val="hybridMultilevel"/>
    <w:tmpl w:val="6A0A61E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nsid w:val="4A433831"/>
    <w:multiLevelType w:val="hybridMultilevel"/>
    <w:tmpl w:val="9D2AC92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nsid w:val="4FA07300"/>
    <w:multiLevelType w:val="hybridMultilevel"/>
    <w:tmpl w:val="ED8E01C6"/>
    <w:lvl w:ilvl="0" w:tplc="0813000F">
      <w:start w:val="1"/>
      <w:numFmt w:val="decimal"/>
      <w:lvlText w:val="%1."/>
      <w:lvlJc w:val="left"/>
      <w:pPr>
        <w:ind w:left="720" w:hanging="360"/>
      </w:pPr>
      <w:rPr>
        <w:rFonts w:cs="Times New Roman"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nsid w:val="5A5D701D"/>
    <w:multiLevelType w:val="hybridMultilevel"/>
    <w:tmpl w:val="D2D01EEE"/>
    <w:lvl w:ilvl="0" w:tplc="9550AD96">
      <w:start w:val="1"/>
      <w:numFmt w:val="decimal"/>
      <w:lvlText w:val="%1."/>
      <w:lvlJc w:val="left"/>
      <w:pPr>
        <w:ind w:left="360" w:hanging="360"/>
      </w:pPr>
      <w:rPr>
        <w:rFonts w:hint="default"/>
        <w:b/>
        <w:i w:val="0"/>
      </w:rPr>
    </w:lvl>
    <w:lvl w:ilvl="1" w:tplc="08130001">
      <w:start w:val="1"/>
      <w:numFmt w:val="bullet"/>
      <w:lvlText w:val=""/>
      <w:lvlJc w:val="left"/>
      <w:pPr>
        <w:ind w:left="1080" w:hanging="360"/>
      </w:pPr>
      <w:rPr>
        <w:rFonts w:ascii="Symbol" w:hAnsi="Symbol" w:hint="default"/>
      </w:r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1">
    <w:nsid w:val="61857B5C"/>
    <w:multiLevelType w:val="multilevel"/>
    <w:tmpl w:val="42948E20"/>
    <w:lvl w:ilvl="0">
      <w:start w:val="1"/>
      <w:numFmt w:val="lowerLetter"/>
      <w:lvlText w:val="%1)"/>
      <w:lvlJc w:val="left"/>
      <w:pPr>
        <w:tabs>
          <w:tab w:val="num" w:pos="757"/>
        </w:tabs>
        <w:ind w:left="757" w:hanging="397"/>
      </w:pPr>
      <w:rPr>
        <w:rFonts w:hint="default"/>
      </w:rPr>
    </w:lvl>
    <w:lvl w:ilvl="1">
      <w:start w:val="1"/>
      <w:numFmt w:val="lowerLetter"/>
      <w:lvlText w:val="%2)"/>
      <w:lvlJc w:val="left"/>
      <w:pPr>
        <w:tabs>
          <w:tab w:val="num" w:pos="1040"/>
        </w:tabs>
        <w:ind w:left="1040" w:hanging="453"/>
      </w:pPr>
      <w:rPr>
        <w:rFonts w:hint="default"/>
      </w:rPr>
    </w:lvl>
    <w:lvl w:ilvl="2">
      <w:start w:val="1"/>
      <w:numFmt w:val="lowerLetter"/>
      <w:lvlText w:val="%3)"/>
      <w:lvlJc w:val="left"/>
      <w:pPr>
        <w:tabs>
          <w:tab w:val="num" w:pos="1324"/>
        </w:tabs>
        <w:ind w:left="1324" w:hanging="510"/>
      </w:pPr>
      <w:rPr>
        <w:rFonts w:hint="default"/>
      </w:rPr>
    </w:lvl>
    <w:lvl w:ilvl="3">
      <w:start w:val="1"/>
      <w:numFmt w:val="lowerLetter"/>
      <w:lvlText w:val="%4)"/>
      <w:lvlJc w:val="left"/>
      <w:pPr>
        <w:tabs>
          <w:tab w:val="num" w:pos="1097"/>
        </w:tabs>
        <w:ind w:left="1664" w:hanging="567"/>
      </w:pPr>
      <w:rPr>
        <w:rFonts w:hint="default"/>
      </w:rPr>
    </w:lvl>
    <w:lvl w:ilvl="4">
      <w:start w:val="1"/>
      <w:numFmt w:val="lowerLetter"/>
      <w:lvlText w:val="%5)"/>
      <w:lvlJc w:val="left"/>
      <w:pPr>
        <w:tabs>
          <w:tab w:val="num" w:pos="1664"/>
        </w:tabs>
        <w:ind w:left="1948" w:hanging="567"/>
      </w:pPr>
      <w:rPr>
        <w:rFonts w:hint="default"/>
      </w:rPr>
    </w:lvl>
    <w:lvl w:ilvl="5">
      <w:start w:val="1"/>
      <w:numFmt w:val="lowerLetter"/>
      <w:lvlText w:val="%6)"/>
      <w:lvlJc w:val="left"/>
      <w:pPr>
        <w:tabs>
          <w:tab w:val="num" w:pos="2118"/>
        </w:tabs>
        <w:ind w:left="2174" w:hanging="510"/>
      </w:pPr>
      <w:rPr>
        <w:rFonts w:hint="default"/>
      </w:rPr>
    </w:lvl>
    <w:lvl w:ilvl="6">
      <w:start w:val="1"/>
      <w:numFmt w:val="lowerLetter"/>
      <w:lvlText w:val="%7)"/>
      <w:lvlJc w:val="left"/>
      <w:pPr>
        <w:tabs>
          <w:tab w:val="num" w:pos="2458"/>
        </w:tabs>
        <w:ind w:left="2515" w:hanging="567"/>
      </w:pPr>
      <w:rPr>
        <w:rFonts w:hint="default"/>
      </w:rPr>
    </w:lvl>
    <w:lvl w:ilvl="7">
      <w:start w:val="1"/>
      <w:numFmt w:val="lowerLetter"/>
      <w:lvlText w:val="%8)"/>
      <w:lvlJc w:val="left"/>
      <w:pPr>
        <w:tabs>
          <w:tab w:val="num" w:pos="2798"/>
        </w:tabs>
        <w:ind w:left="2855" w:hanging="567"/>
      </w:pPr>
      <w:rPr>
        <w:rFonts w:hint="default"/>
      </w:rPr>
    </w:lvl>
    <w:lvl w:ilvl="8">
      <w:start w:val="1"/>
      <w:numFmt w:val="lowerLetter"/>
      <w:lvlText w:val="%9)"/>
      <w:lvlJc w:val="left"/>
      <w:pPr>
        <w:tabs>
          <w:tab w:val="num" w:pos="2968"/>
        </w:tabs>
        <w:ind w:left="3025" w:hanging="454"/>
      </w:pPr>
      <w:rPr>
        <w:rFonts w:hint="default"/>
      </w:rPr>
    </w:lvl>
  </w:abstractNum>
  <w:abstractNum w:abstractNumId="22">
    <w:nsid w:val="633F2419"/>
    <w:multiLevelType w:val="hybridMultilevel"/>
    <w:tmpl w:val="092EA32E"/>
    <w:lvl w:ilvl="0" w:tplc="AFCE0720">
      <w:start w:val="1"/>
      <w:numFmt w:val="bullet"/>
      <w:lvlText w:val=""/>
      <w:lvlJc w:val="left"/>
      <w:pPr>
        <w:tabs>
          <w:tab w:val="num" w:pos="720"/>
        </w:tabs>
        <w:ind w:left="720" w:hanging="360"/>
      </w:pPr>
      <w:rPr>
        <w:rFonts w:ascii="Wingdings" w:hAnsi="Wingdings" w:hint="default"/>
      </w:rPr>
    </w:lvl>
    <w:lvl w:ilvl="1" w:tplc="BE58EFFE">
      <w:start w:val="913"/>
      <w:numFmt w:val="bullet"/>
      <w:lvlText w:val="•"/>
      <w:lvlJc w:val="left"/>
      <w:pPr>
        <w:tabs>
          <w:tab w:val="num" w:pos="1440"/>
        </w:tabs>
        <w:ind w:left="1440" w:hanging="360"/>
      </w:pPr>
      <w:rPr>
        <w:rFonts w:ascii="Arial" w:hAnsi="Arial" w:hint="default"/>
      </w:rPr>
    </w:lvl>
    <w:lvl w:ilvl="2" w:tplc="7744E288">
      <w:start w:val="1"/>
      <w:numFmt w:val="bullet"/>
      <w:lvlText w:val=""/>
      <w:lvlJc w:val="left"/>
      <w:pPr>
        <w:tabs>
          <w:tab w:val="num" w:pos="2160"/>
        </w:tabs>
        <w:ind w:left="2160" w:hanging="360"/>
      </w:pPr>
      <w:rPr>
        <w:rFonts w:ascii="Wingdings" w:hAnsi="Wingdings" w:hint="default"/>
      </w:rPr>
    </w:lvl>
    <w:lvl w:ilvl="3" w:tplc="12F0F4A6" w:tentative="1">
      <w:start w:val="1"/>
      <w:numFmt w:val="bullet"/>
      <w:lvlText w:val=""/>
      <w:lvlJc w:val="left"/>
      <w:pPr>
        <w:tabs>
          <w:tab w:val="num" w:pos="2880"/>
        </w:tabs>
        <w:ind w:left="2880" w:hanging="360"/>
      </w:pPr>
      <w:rPr>
        <w:rFonts w:ascii="Wingdings" w:hAnsi="Wingdings" w:hint="default"/>
      </w:rPr>
    </w:lvl>
    <w:lvl w:ilvl="4" w:tplc="17FECAD2" w:tentative="1">
      <w:start w:val="1"/>
      <w:numFmt w:val="bullet"/>
      <w:lvlText w:val=""/>
      <w:lvlJc w:val="left"/>
      <w:pPr>
        <w:tabs>
          <w:tab w:val="num" w:pos="3600"/>
        </w:tabs>
        <w:ind w:left="3600" w:hanging="360"/>
      </w:pPr>
      <w:rPr>
        <w:rFonts w:ascii="Wingdings" w:hAnsi="Wingdings" w:hint="default"/>
      </w:rPr>
    </w:lvl>
    <w:lvl w:ilvl="5" w:tplc="8BB65602" w:tentative="1">
      <w:start w:val="1"/>
      <w:numFmt w:val="bullet"/>
      <w:lvlText w:val=""/>
      <w:lvlJc w:val="left"/>
      <w:pPr>
        <w:tabs>
          <w:tab w:val="num" w:pos="4320"/>
        </w:tabs>
        <w:ind w:left="4320" w:hanging="360"/>
      </w:pPr>
      <w:rPr>
        <w:rFonts w:ascii="Wingdings" w:hAnsi="Wingdings" w:hint="default"/>
      </w:rPr>
    </w:lvl>
    <w:lvl w:ilvl="6" w:tplc="15F0ED7C" w:tentative="1">
      <w:start w:val="1"/>
      <w:numFmt w:val="bullet"/>
      <w:lvlText w:val=""/>
      <w:lvlJc w:val="left"/>
      <w:pPr>
        <w:tabs>
          <w:tab w:val="num" w:pos="5040"/>
        </w:tabs>
        <w:ind w:left="5040" w:hanging="360"/>
      </w:pPr>
      <w:rPr>
        <w:rFonts w:ascii="Wingdings" w:hAnsi="Wingdings" w:hint="default"/>
      </w:rPr>
    </w:lvl>
    <w:lvl w:ilvl="7" w:tplc="342ABE9E" w:tentative="1">
      <w:start w:val="1"/>
      <w:numFmt w:val="bullet"/>
      <w:lvlText w:val=""/>
      <w:lvlJc w:val="left"/>
      <w:pPr>
        <w:tabs>
          <w:tab w:val="num" w:pos="5760"/>
        </w:tabs>
        <w:ind w:left="5760" w:hanging="360"/>
      </w:pPr>
      <w:rPr>
        <w:rFonts w:ascii="Wingdings" w:hAnsi="Wingdings" w:hint="default"/>
      </w:rPr>
    </w:lvl>
    <w:lvl w:ilvl="8" w:tplc="29A048EA" w:tentative="1">
      <w:start w:val="1"/>
      <w:numFmt w:val="bullet"/>
      <w:lvlText w:val=""/>
      <w:lvlJc w:val="left"/>
      <w:pPr>
        <w:tabs>
          <w:tab w:val="num" w:pos="6480"/>
        </w:tabs>
        <w:ind w:left="6480" w:hanging="360"/>
      </w:pPr>
      <w:rPr>
        <w:rFonts w:ascii="Wingdings" w:hAnsi="Wingdings" w:hint="default"/>
      </w:rPr>
    </w:lvl>
  </w:abstractNum>
  <w:abstractNum w:abstractNumId="23">
    <w:nsid w:val="67614C03"/>
    <w:multiLevelType w:val="hybridMultilevel"/>
    <w:tmpl w:val="A8A0A130"/>
    <w:lvl w:ilvl="0" w:tplc="08130001">
      <w:start w:val="1"/>
      <w:numFmt w:val="bullet"/>
      <w:lvlText w:val=""/>
      <w:lvlJc w:val="left"/>
      <w:pPr>
        <w:ind w:left="1004" w:hanging="360"/>
      </w:pPr>
      <w:rPr>
        <w:rFonts w:ascii="Symbol" w:hAnsi="Symbol" w:hint="default"/>
      </w:rPr>
    </w:lvl>
    <w:lvl w:ilvl="1" w:tplc="08130003" w:tentative="1">
      <w:start w:val="1"/>
      <w:numFmt w:val="bullet"/>
      <w:lvlText w:val="o"/>
      <w:lvlJc w:val="left"/>
      <w:pPr>
        <w:ind w:left="1724" w:hanging="360"/>
      </w:pPr>
      <w:rPr>
        <w:rFonts w:ascii="Courier New" w:hAnsi="Courier New" w:cs="Courier New" w:hint="default"/>
      </w:rPr>
    </w:lvl>
    <w:lvl w:ilvl="2" w:tplc="08130005" w:tentative="1">
      <w:start w:val="1"/>
      <w:numFmt w:val="bullet"/>
      <w:lvlText w:val=""/>
      <w:lvlJc w:val="left"/>
      <w:pPr>
        <w:ind w:left="2444" w:hanging="360"/>
      </w:pPr>
      <w:rPr>
        <w:rFonts w:ascii="Wingdings" w:hAnsi="Wingdings" w:hint="default"/>
      </w:rPr>
    </w:lvl>
    <w:lvl w:ilvl="3" w:tplc="08130001" w:tentative="1">
      <w:start w:val="1"/>
      <w:numFmt w:val="bullet"/>
      <w:lvlText w:val=""/>
      <w:lvlJc w:val="left"/>
      <w:pPr>
        <w:ind w:left="3164" w:hanging="360"/>
      </w:pPr>
      <w:rPr>
        <w:rFonts w:ascii="Symbol" w:hAnsi="Symbol" w:hint="default"/>
      </w:rPr>
    </w:lvl>
    <w:lvl w:ilvl="4" w:tplc="08130003" w:tentative="1">
      <w:start w:val="1"/>
      <w:numFmt w:val="bullet"/>
      <w:lvlText w:val="o"/>
      <w:lvlJc w:val="left"/>
      <w:pPr>
        <w:ind w:left="3884" w:hanging="360"/>
      </w:pPr>
      <w:rPr>
        <w:rFonts w:ascii="Courier New" w:hAnsi="Courier New" w:cs="Courier New" w:hint="default"/>
      </w:rPr>
    </w:lvl>
    <w:lvl w:ilvl="5" w:tplc="08130005" w:tentative="1">
      <w:start w:val="1"/>
      <w:numFmt w:val="bullet"/>
      <w:lvlText w:val=""/>
      <w:lvlJc w:val="left"/>
      <w:pPr>
        <w:ind w:left="4604" w:hanging="360"/>
      </w:pPr>
      <w:rPr>
        <w:rFonts w:ascii="Wingdings" w:hAnsi="Wingdings" w:hint="default"/>
      </w:rPr>
    </w:lvl>
    <w:lvl w:ilvl="6" w:tplc="08130001" w:tentative="1">
      <w:start w:val="1"/>
      <w:numFmt w:val="bullet"/>
      <w:lvlText w:val=""/>
      <w:lvlJc w:val="left"/>
      <w:pPr>
        <w:ind w:left="5324" w:hanging="360"/>
      </w:pPr>
      <w:rPr>
        <w:rFonts w:ascii="Symbol" w:hAnsi="Symbol" w:hint="default"/>
      </w:rPr>
    </w:lvl>
    <w:lvl w:ilvl="7" w:tplc="08130003" w:tentative="1">
      <w:start w:val="1"/>
      <w:numFmt w:val="bullet"/>
      <w:lvlText w:val="o"/>
      <w:lvlJc w:val="left"/>
      <w:pPr>
        <w:ind w:left="6044" w:hanging="360"/>
      </w:pPr>
      <w:rPr>
        <w:rFonts w:ascii="Courier New" w:hAnsi="Courier New" w:cs="Courier New" w:hint="default"/>
      </w:rPr>
    </w:lvl>
    <w:lvl w:ilvl="8" w:tplc="08130005" w:tentative="1">
      <w:start w:val="1"/>
      <w:numFmt w:val="bullet"/>
      <w:lvlText w:val=""/>
      <w:lvlJc w:val="left"/>
      <w:pPr>
        <w:ind w:left="6764" w:hanging="360"/>
      </w:pPr>
      <w:rPr>
        <w:rFonts w:ascii="Wingdings" w:hAnsi="Wingdings" w:hint="default"/>
      </w:rPr>
    </w:lvl>
  </w:abstractNum>
  <w:abstractNum w:abstractNumId="24">
    <w:nsid w:val="6B2960CE"/>
    <w:multiLevelType w:val="hybridMultilevel"/>
    <w:tmpl w:val="C21EA092"/>
    <w:lvl w:ilvl="0" w:tplc="0413000F">
      <w:start w:val="1"/>
      <w:numFmt w:val="decimal"/>
      <w:lvlText w:val="%1."/>
      <w:lvlJc w:val="left"/>
      <w:pPr>
        <w:tabs>
          <w:tab w:val="num" w:pos="360"/>
        </w:tabs>
        <w:ind w:left="360" w:hanging="360"/>
      </w:pPr>
    </w:lvl>
    <w:lvl w:ilvl="1" w:tplc="04130019">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5">
    <w:nsid w:val="73915119"/>
    <w:multiLevelType w:val="hybridMultilevel"/>
    <w:tmpl w:val="65A4A9DE"/>
    <w:lvl w:ilvl="0" w:tplc="0813000F">
      <w:start w:val="1"/>
      <w:numFmt w:val="decimal"/>
      <w:lvlText w:val="%1."/>
      <w:lvlJc w:val="left"/>
      <w:pPr>
        <w:ind w:left="2487" w:hanging="360"/>
      </w:pPr>
      <w:rPr>
        <w:rFonts w:hint="default"/>
      </w:rPr>
    </w:lvl>
    <w:lvl w:ilvl="1" w:tplc="08130019" w:tentative="1">
      <w:start w:val="1"/>
      <w:numFmt w:val="lowerLetter"/>
      <w:lvlText w:val="%2."/>
      <w:lvlJc w:val="left"/>
      <w:pPr>
        <w:ind w:left="3207" w:hanging="360"/>
      </w:pPr>
    </w:lvl>
    <w:lvl w:ilvl="2" w:tplc="0813001B" w:tentative="1">
      <w:start w:val="1"/>
      <w:numFmt w:val="lowerRoman"/>
      <w:lvlText w:val="%3."/>
      <w:lvlJc w:val="right"/>
      <w:pPr>
        <w:ind w:left="3927" w:hanging="180"/>
      </w:pPr>
    </w:lvl>
    <w:lvl w:ilvl="3" w:tplc="0813000F" w:tentative="1">
      <w:start w:val="1"/>
      <w:numFmt w:val="decimal"/>
      <w:lvlText w:val="%4."/>
      <w:lvlJc w:val="left"/>
      <w:pPr>
        <w:ind w:left="4647" w:hanging="360"/>
      </w:pPr>
    </w:lvl>
    <w:lvl w:ilvl="4" w:tplc="08130019" w:tentative="1">
      <w:start w:val="1"/>
      <w:numFmt w:val="lowerLetter"/>
      <w:lvlText w:val="%5."/>
      <w:lvlJc w:val="left"/>
      <w:pPr>
        <w:ind w:left="5367" w:hanging="360"/>
      </w:pPr>
    </w:lvl>
    <w:lvl w:ilvl="5" w:tplc="0813001B" w:tentative="1">
      <w:start w:val="1"/>
      <w:numFmt w:val="lowerRoman"/>
      <w:lvlText w:val="%6."/>
      <w:lvlJc w:val="right"/>
      <w:pPr>
        <w:ind w:left="6087" w:hanging="180"/>
      </w:pPr>
    </w:lvl>
    <w:lvl w:ilvl="6" w:tplc="0813000F" w:tentative="1">
      <w:start w:val="1"/>
      <w:numFmt w:val="decimal"/>
      <w:lvlText w:val="%7."/>
      <w:lvlJc w:val="left"/>
      <w:pPr>
        <w:ind w:left="6807" w:hanging="360"/>
      </w:pPr>
    </w:lvl>
    <w:lvl w:ilvl="7" w:tplc="08130019" w:tentative="1">
      <w:start w:val="1"/>
      <w:numFmt w:val="lowerLetter"/>
      <w:lvlText w:val="%8."/>
      <w:lvlJc w:val="left"/>
      <w:pPr>
        <w:ind w:left="7527" w:hanging="360"/>
      </w:pPr>
    </w:lvl>
    <w:lvl w:ilvl="8" w:tplc="0813001B" w:tentative="1">
      <w:start w:val="1"/>
      <w:numFmt w:val="lowerRoman"/>
      <w:lvlText w:val="%9."/>
      <w:lvlJc w:val="right"/>
      <w:pPr>
        <w:ind w:left="8247" w:hanging="180"/>
      </w:pPr>
    </w:lvl>
  </w:abstractNum>
  <w:abstractNum w:abstractNumId="26">
    <w:nsid w:val="77CF0F0A"/>
    <w:multiLevelType w:val="hybridMultilevel"/>
    <w:tmpl w:val="2A7A071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7">
    <w:nsid w:val="7DBE37F9"/>
    <w:multiLevelType w:val="hybridMultilevel"/>
    <w:tmpl w:val="F684EBAC"/>
    <w:lvl w:ilvl="0" w:tplc="B43CE6AC">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1"/>
  </w:num>
  <w:num w:numId="2">
    <w:abstractNumId w:val="21"/>
  </w:num>
  <w:num w:numId="3">
    <w:abstractNumId w:val="7"/>
  </w:num>
  <w:num w:numId="4">
    <w:abstractNumId w:val="26"/>
  </w:num>
  <w:num w:numId="5">
    <w:abstractNumId w:val="9"/>
  </w:num>
  <w:num w:numId="6">
    <w:abstractNumId w:val="13"/>
  </w:num>
  <w:num w:numId="7">
    <w:abstractNumId w:val="2"/>
  </w:num>
  <w:num w:numId="8">
    <w:abstractNumId w:val="3"/>
  </w:num>
  <w:num w:numId="9">
    <w:abstractNumId w:val="10"/>
  </w:num>
  <w:num w:numId="10">
    <w:abstractNumId w:val="25"/>
  </w:num>
  <w:num w:numId="11">
    <w:abstractNumId w:val="24"/>
  </w:num>
  <w:num w:numId="12">
    <w:abstractNumId w:val="18"/>
  </w:num>
  <w:num w:numId="13">
    <w:abstractNumId w:val="22"/>
  </w:num>
  <w:num w:numId="14">
    <w:abstractNumId w:val="11"/>
  </w:num>
  <w:num w:numId="15">
    <w:abstractNumId w:val="20"/>
  </w:num>
  <w:num w:numId="16">
    <w:abstractNumId w:val="14"/>
  </w:num>
  <w:num w:numId="17">
    <w:abstractNumId w:val="27"/>
  </w:num>
  <w:num w:numId="18">
    <w:abstractNumId w:val="8"/>
  </w:num>
  <w:num w:numId="19">
    <w:abstractNumId w:val="16"/>
  </w:num>
  <w:num w:numId="20">
    <w:abstractNumId w:val="6"/>
  </w:num>
  <w:num w:numId="21">
    <w:abstractNumId w:val="5"/>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19"/>
  </w:num>
  <w:num w:numId="25">
    <w:abstractNumId w:val="15"/>
  </w:num>
  <w:num w:numId="26">
    <w:abstractNumId w:val="4"/>
  </w:num>
  <w:num w:numId="27">
    <w:abstractNumId w:val="17"/>
  </w:num>
  <w:num w:numId="28">
    <w:abstractNumId w:val="1"/>
  </w:num>
  <w:num w:numId="29">
    <w:abstractNumId w:val="0"/>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compat>
    <w:compatSetting w:name="compatibilityMode" w:uri="http://schemas.microsoft.com/office/word" w:val="12"/>
  </w:compat>
  <w:rsids>
    <w:rsidRoot w:val="000C4E8C"/>
    <w:rsid w:val="00002E44"/>
    <w:rsid w:val="000052D2"/>
    <w:rsid w:val="0001089D"/>
    <w:rsid w:val="00014624"/>
    <w:rsid w:val="0002492F"/>
    <w:rsid w:val="000547B1"/>
    <w:rsid w:val="00072DD9"/>
    <w:rsid w:val="00072E3E"/>
    <w:rsid w:val="00073F9E"/>
    <w:rsid w:val="00083F9B"/>
    <w:rsid w:val="000846F6"/>
    <w:rsid w:val="000865DB"/>
    <w:rsid w:val="00094535"/>
    <w:rsid w:val="0009585F"/>
    <w:rsid w:val="000976E9"/>
    <w:rsid w:val="000A1CF3"/>
    <w:rsid w:val="000C1804"/>
    <w:rsid w:val="000C2FF7"/>
    <w:rsid w:val="000C43FD"/>
    <w:rsid w:val="000C4E8C"/>
    <w:rsid w:val="000D2C31"/>
    <w:rsid w:val="000E30E8"/>
    <w:rsid w:val="000E4F45"/>
    <w:rsid w:val="000E5905"/>
    <w:rsid w:val="000E5927"/>
    <w:rsid w:val="000F22E1"/>
    <w:rsid w:val="000F3532"/>
    <w:rsid w:val="001007C8"/>
    <w:rsid w:val="00107949"/>
    <w:rsid w:val="0011048D"/>
    <w:rsid w:val="001232A0"/>
    <w:rsid w:val="00124F88"/>
    <w:rsid w:val="00143218"/>
    <w:rsid w:val="00170ECE"/>
    <w:rsid w:val="0017541C"/>
    <w:rsid w:val="001859A2"/>
    <w:rsid w:val="001861D5"/>
    <w:rsid w:val="001929A7"/>
    <w:rsid w:val="001936B8"/>
    <w:rsid w:val="001A10AA"/>
    <w:rsid w:val="001A5587"/>
    <w:rsid w:val="001A58AB"/>
    <w:rsid w:val="001A6A16"/>
    <w:rsid w:val="001A75E2"/>
    <w:rsid w:val="001B2135"/>
    <w:rsid w:val="001B6E48"/>
    <w:rsid w:val="001E3E89"/>
    <w:rsid w:val="001F24DB"/>
    <w:rsid w:val="001F2C34"/>
    <w:rsid w:val="001F7390"/>
    <w:rsid w:val="002013F9"/>
    <w:rsid w:val="00210C07"/>
    <w:rsid w:val="0021344C"/>
    <w:rsid w:val="00253967"/>
    <w:rsid w:val="002619E3"/>
    <w:rsid w:val="0026564B"/>
    <w:rsid w:val="00266E3B"/>
    <w:rsid w:val="00272DBF"/>
    <w:rsid w:val="00274B37"/>
    <w:rsid w:val="00276604"/>
    <w:rsid w:val="00284271"/>
    <w:rsid w:val="002847D5"/>
    <w:rsid w:val="002C6E1E"/>
    <w:rsid w:val="002D75D3"/>
    <w:rsid w:val="002E39A6"/>
    <w:rsid w:val="002E4A6F"/>
    <w:rsid w:val="002F5649"/>
    <w:rsid w:val="00307B76"/>
    <w:rsid w:val="0031703E"/>
    <w:rsid w:val="00326A58"/>
    <w:rsid w:val="00356F29"/>
    <w:rsid w:val="00375CCD"/>
    <w:rsid w:val="00377D66"/>
    <w:rsid w:val="00382339"/>
    <w:rsid w:val="003A4AEF"/>
    <w:rsid w:val="003B4439"/>
    <w:rsid w:val="003B484A"/>
    <w:rsid w:val="003C153F"/>
    <w:rsid w:val="003C2B21"/>
    <w:rsid w:val="003D617F"/>
    <w:rsid w:val="003F48F6"/>
    <w:rsid w:val="003F56C4"/>
    <w:rsid w:val="003F7EE0"/>
    <w:rsid w:val="004342D7"/>
    <w:rsid w:val="00437A68"/>
    <w:rsid w:val="004448D9"/>
    <w:rsid w:val="00446750"/>
    <w:rsid w:val="004471CB"/>
    <w:rsid w:val="00453BD4"/>
    <w:rsid w:val="0048043B"/>
    <w:rsid w:val="004939D2"/>
    <w:rsid w:val="004979BC"/>
    <w:rsid w:val="004D5C93"/>
    <w:rsid w:val="004E2833"/>
    <w:rsid w:val="004E2A29"/>
    <w:rsid w:val="00510390"/>
    <w:rsid w:val="00510964"/>
    <w:rsid w:val="005127B3"/>
    <w:rsid w:val="005264F2"/>
    <w:rsid w:val="00534B4D"/>
    <w:rsid w:val="0056151F"/>
    <w:rsid w:val="00566C53"/>
    <w:rsid w:val="00580089"/>
    <w:rsid w:val="005900AD"/>
    <w:rsid w:val="005A27B4"/>
    <w:rsid w:val="005B251E"/>
    <w:rsid w:val="005E16F0"/>
    <w:rsid w:val="005E38CA"/>
    <w:rsid w:val="00621417"/>
    <w:rsid w:val="00623675"/>
    <w:rsid w:val="0063138E"/>
    <w:rsid w:val="00637D1C"/>
    <w:rsid w:val="00642D95"/>
    <w:rsid w:val="0065479D"/>
    <w:rsid w:val="006548DD"/>
    <w:rsid w:val="006557CD"/>
    <w:rsid w:val="00660CBA"/>
    <w:rsid w:val="0066282D"/>
    <w:rsid w:val="00685896"/>
    <w:rsid w:val="00687AE6"/>
    <w:rsid w:val="006A4DAB"/>
    <w:rsid w:val="006B3B37"/>
    <w:rsid w:val="006B4954"/>
    <w:rsid w:val="006B5BAA"/>
    <w:rsid w:val="006C3C29"/>
    <w:rsid w:val="006F4990"/>
    <w:rsid w:val="00700104"/>
    <w:rsid w:val="00700C00"/>
    <w:rsid w:val="0071248C"/>
    <w:rsid w:val="0072438F"/>
    <w:rsid w:val="007252C7"/>
    <w:rsid w:val="00725CEC"/>
    <w:rsid w:val="00731E3B"/>
    <w:rsid w:val="007474BA"/>
    <w:rsid w:val="00761A38"/>
    <w:rsid w:val="007661F6"/>
    <w:rsid w:val="0077622C"/>
    <w:rsid w:val="00777C90"/>
    <w:rsid w:val="00780468"/>
    <w:rsid w:val="00784338"/>
    <w:rsid w:val="00785A0D"/>
    <w:rsid w:val="00795BFF"/>
    <w:rsid w:val="00796B6D"/>
    <w:rsid w:val="007A1ABC"/>
    <w:rsid w:val="007A5C7A"/>
    <w:rsid w:val="007A66DC"/>
    <w:rsid w:val="007A742C"/>
    <w:rsid w:val="007A7C2A"/>
    <w:rsid w:val="007F60A8"/>
    <w:rsid w:val="007F7FBF"/>
    <w:rsid w:val="00800B65"/>
    <w:rsid w:val="008137B1"/>
    <w:rsid w:val="00813CAE"/>
    <w:rsid w:val="008145F0"/>
    <w:rsid w:val="00817C38"/>
    <w:rsid w:val="00820F26"/>
    <w:rsid w:val="00834218"/>
    <w:rsid w:val="008346AE"/>
    <w:rsid w:val="008362D7"/>
    <w:rsid w:val="00837FEF"/>
    <w:rsid w:val="00841584"/>
    <w:rsid w:val="00862A70"/>
    <w:rsid w:val="008911D3"/>
    <w:rsid w:val="00894185"/>
    <w:rsid w:val="00895271"/>
    <w:rsid w:val="008A3D85"/>
    <w:rsid w:val="008A713D"/>
    <w:rsid w:val="008C191D"/>
    <w:rsid w:val="008D0109"/>
    <w:rsid w:val="008D5DB4"/>
    <w:rsid w:val="008F6A04"/>
    <w:rsid w:val="0092042E"/>
    <w:rsid w:val="0092270A"/>
    <w:rsid w:val="009233F2"/>
    <w:rsid w:val="009347E0"/>
    <w:rsid w:val="009349BC"/>
    <w:rsid w:val="00942AA9"/>
    <w:rsid w:val="00964F2E"/>
    <w:rsid w:val="009666E4"/>
    <w:rsid w:val="00970E53"/>
    <w:rsid w:val="00977F6C"/>
    <w:rsid w:val="00985BC0"/>
    <w:rsid w:val="009A1F72"/>
    <w:rsid w:val="009A3E16"/>
    <w:rsid w:val="009A52FF"/>
    <w:rsid w:val="009D7043"/>
    <w:rsid w:val="009E4250"/>
    <w:rsid w:val="009E64B1"/>
    <w:rsid w:val="00A016CD"/>
    <w:rsid w:val="00A2582C"/>
    <w:rsid w:val="00A304BE"/>
    <w:rsid w:val="00A332E9"/>
    <w:rsid w:val="00A34D25"/>
    <w:rsid w:val="00A42280"/>
    <w:rsid w:val="00A56A0C"/>
    <w:rsid w:val="00A60BFC"/>
    <w:rsid w:val="00A61F35"/>
    <w:rsid w:val="00A651F3"/>
    <w:rsid w:val="00A65435"/>
    <w:rsid w:val="00A65486"/>
    <w:rsid w:val="00A75D31"/>
    <w:rsid w:val="00A76EC9"/>
    <w:rsid w:val="00A779D9"/>
    <w:rsid w:val="00A804C0"/>
    <w:rsid w:val="00A849FE"/>
    <w:rsid w:val="00A93828"/>
    <w:rsid w:val="00AA610C"/>
    <w:rsid w:val="00AA754C"/>
    <w:rsid w:val="00AC5B91"/>
    <w:rsid w:val="00AD1843"/>
    <w:rsid w:val="00AF6778"/>
    <w:rsid w:val="00AF6924"/>
    <w:rsid w:val="00B02661"/>
    <w:rsid w:val="00B30092"/>
    <w:rsid w:val="00B45EB2"/>
    <w:rsid w:val="00B476C5"/>
    <w:rsid w:val="00B516FB"/>
    <w:rsid w:val="00B53539"/>
    <w:rsid w:val="00B60BEF"/>
    <w:rsid w:val="00B60F0E"/>
    <w:rsid w:val="00B61E3C"/>
    <w:rsid w:val="00B65A62"/>
    <w:rsid w:val="00B90FFF"/>
    <w:rsid w:val="00B93818"/>
    <w:rsid w:val="00B94A16"/>
    <w:rsid w:val="00BA6F02"/>
    <w:rsid w:val="00BE425A"/>
    <w:rsid w:val="00BF19A0"/>
    <w:rsid w:val="00BF6017"/>
    <w:rsid w:val="00BF6D22"/>
    <w:rsid w:val="00C0158B"/>
    <w:rsid w:val="00C06BA0"/>
    <w:rsid w:val="00C0707D"/>
    <w:rsid w:val="00C2075E"/>
    <w:rsid w:val="00C31315"/>
    <w:rsid w:val="00C35709"/>
    <w:rsid w:val="00C37594"/>
    <w:rsid w:val="00C44E28"/>
    <w:rsid w:val="00C45E35"/>
    <w:rsid w:val="00C526E7"/>
    <w:rsid w:val="00C56774"/>
    <w:rsid w:val="00C60BFC"/>
    <w:rsid w:val="00C66221"/>
    <w:rsid w:val="00C72981"/>
    <w:rsid w:val="00C91B4B"/>
    <w:rsid w:val="00CA1FEC"/>
    <w:rsid w:val="00CA57F7"/>
    <w:rsid w:val="00CB0B49"/>
    <w:rsid w:val="00CB4321"/>
    <w:rsid w:val="00CC5700"/>
    <w:rsid w:val="00CF67B3"/>
    <w:rsid w:val="00D00C63"/>
    <w:rsid w:val="00D0324F"/>
    <w:rsid w:val="00D0486F"/>
    <w:rsid w:val="00D15347"/>
    <w:rsid w:val="00D30951"/>
    <w:rsid w:val="00D42BAA"/>
    <w:rsid w:val="00D54F7F"/>
    <w:rsid w:val="00D60F32"/>
    <w:rsid w:val="00D71D99"/>
    <w:rsid w:val="00D754F2"/>
    <w:rsid w:val="00D76A80"/>
    <w:rsid w:val="00D77BD1"/>
    <w:rsid w:val="00D8292E"/>
    <w:rsid w:val="00D945AF"/>
    <w:rsid w:val="00DA1610"/>
    <w:rsid w:val="00DA2ABC"/>
    <w:rsid w:val="00DB41C0"/>
    <w:rsid w:val="00DC4DB6"/>
    <w:rsid w:val="00DE39AA"/>
    <w:rsid w:val="00DE7E84"/>
    <w:rsid w:val="00DF59D3"/>
    <w:rsid w:val="00E02C20"/>
    <w:rsid w:val="00E05F2B"/>
    <w:rsid w:val="00E148F1"/>
    <w:rsid w:val="00E2417A"/>
    <w:rsid w:val="00E2444B"/>
    <w:rsid w:val="00E42C77"/>
    <w:rsid w:val="00E55200"/>
    <w:rsid w:val="00E83D7D"/>
    <w:rsid w:val="00EA6D36"/>
    <w:rsid w:val="00EC7EC6"/>
    <w:rsid w:val="00EE3C02"/>
    <w:rsid w:val="00EF57A3"/>
    <w:rsid w:val="00F02A33"/>
    <w:rsid w:val="00F106BE"/>
    <w:rsid w:val="00F13784"/>
    <w:rsid w:val="00F23C01"/>
    <w:rsid w:val="00F30397"/>
    <w:rsid w:val="00F31393"/>
    <w:rsid w:val="00F35F65"/>
    <w:rsid w:val="00F369E3"/>
    <w:rsid w:val="00F647EA"/>
    <w:rsid w:val="00F71FF5"/>
    <w:rsid w:val="00F739C2"/>
    <w:rsid w:val="00F83C29"/>
    <w:rsid w:val="00F9065E"/>
    <w:rsid w:val="00F93AB5"/>
    <w:rsid w:val="00FA29D6"/>
    <w:rsid w:val="00FB32E1"/>
    <w:rsid w:val="00FB427F"/>
    <w:rsid w:val="00FB4C55"/>
    <w:rsid w:val="00FD5BF4"/>
    <w:rsid w:val="00FE5406"/>
    <w:rsid w:val="00FF275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B41C0"/>
    <w:rPr>
      <w:sz w:val="22"/>
      <w:szCs w:val="24"/>
      <w:lang w:val="nl-NL" w:eastAsia="nl-NL"/>
    </w:rPr>
  </w:style>
  <w:style w:type="paragraph" w:styleId="Kop1">
    <w:name w:val="heading 1"/>
    <w:basedOn w:val="Standaard"/>
    <w:next w:val="Standaard"/>
    <w:qFormat/>
    <w:rsid w:val="00FD5BF4"/>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FD5BF4"/>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FD5BF4"/>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NotaKenmerk">
    <w:name w:val="NotaKenmerk"/>
    <w:basedOn w:val="Standaard"/>
    <w:next w:val="Standaard"/>
    <w:rsid w:val="00BE425A"/>
    <w:pPr>
      <w:tabs>
        <w:tab w:val="right" w:pos="2700"/>
        <w:tab w:val="left" w:pos="2880"/>
      </w:tabs>
    </w:pPr>
    <w:rPr>
      <w:i/>
      <w:lang w:val="nl-BE"/>
    </w:rPr>
  </w:style>
  <w:style w:type="paragraph" w:customStyle="1" w:styleId="NotaDirectie">
    <w:name w:val="NotaDirectie"/>
    <w:basedOn w:val="Standaard"/>
    <w:next w:val="Standaard"/>
    <w:rsid w:val="00BE425A"/>
    <w:rPr>
      <w:i/>
      <w:lang w:val="nl-BE"/>
    </w:rPr>
  </w:style>
  <w:style w:type="paragraph" w:customStyle="1" w:styleId="NotaAan">
    <w:name w:val="NotaAan"/>
    <w:basedOn w:val="Standaard"/>
    <w:next w:val="Standaard"/>
    <w:rsid w:val="00BE425A"/>
    <w:rPr>
      <w:b/>
      <w:lang w:val="nl-BE"/>
    </w:rPr>
  </w:style>
  <w:style w:type="paragraph" w:styleId="Voettekst">
    <w:name w:val="footer"/>
    <w:basedOn w:val="Standaard"/>
    <w:next w:val="Standaard"/>
    <w:rsid w:val="00FE5406"/>
    <w:pPr>
      <w:widowControl w:val="0"/>
      <w:tabs>
        <w:tab w:val="center" w:pos="4536"/>
        <w:tab w:val="right" w:pos="9072"/>
      </w:tabs>
      <w:suppressAutoHyphens/>
      <w:spacing w:after="120"/>
      <w:jc w:val="right"/>
    </w:pPr>
    <w:rPr>
      <w:snapToGrid w:val="0"/>
      <w:sz w:val="20"/>
      <w:szCs w:val="20"/>
      <w:lang w:val="en-US"/>
    </w:rPr>
  </w:style>
  <w:style w:type="paragraph" w:customStyle="1" w:styleId="AntwoordNaamMinister">
    <w:name w:val="AntwoordNaamMinister"/>
    <w:basedOn w:val="Standaard"/>
    <w:link w:val="AntwoordNaamMinisterChar"/>
    <w:rsid w:val="00DB41C0"/>
    <w:rPr>
      <w:b/>
      <w:smallCaps/>
      <w:lang w:val="nl-BE"/>
    </w:rPr>
  </w:style>
  <w:style w:type="paragraph" w:customStyle="1" w:styleId="A-TitelMinister">
    <w:name w:val="A-TitelMinister"/>
    <w:basedOn w:val="Standaard"/>
    <w:rsid w:val="00DB41C0"/>
    <w:rPr>
      <w:smallCaps/>
      <w:szCs w:val="22"/>
      <w:lang w:val="nl-BE"/>
    </w:rPr>
  </w:style>
  <w:style w:type="character" w:customStyle="1" w:styleId="A-Indiener">
    <w:name w:val="A-Indiener"/>
    <w:basedOn w:val="Standaardalinea-lettertype"/>
    <w:rsid w:val="0071248C"/>
    <w:rPr>
      <w:b/>
      <w:smallCaps/>
    </w:rPr>
  </w:style>
  <w:style w:type="paragraph" w:customStyle="1" w:styleId="Opmaakprofiel1">
    <w:name w:val="Opmaakprofiel1"/>
    <w:basedOn w:val="Standaard"/>
    <w:rsid w:val="00B45EB2"/>
    <w:pPr>
      <w:widowControl w:val="0"/>
      <w:jc w:val="both"/>
    </w:pPr>
    <w:rPr>
      <w:snapToGrid w:val="0"/>
      <w:szCs w:val="20"/>
    </w:rPr>
  </w:style>
  <w:style w:type="paragraph" w:customStyle="1" w:styleId="LijstItemLetter">
    <w:name w:val="LijstItemLetter"/>
    <w:basedOn w:val="Standaard"/>
    <w:rsid w:val="00B45EB2"/>
    <w:pPr>
      <w:widowControl w:val="0"/>
      <w:jc w:val="both"/>
    </w:pPr>
    <w:rPr>
      <w:snapToGrid w:val="0"/>
      <w:szCs w:val="20"/>
    </w:rPr>
  </w:style>
  <w:style w:type="paragraph" w:customStyle="1" w:styleId="AgendaSamenstelling">
    <w:name w:val="AgendaSamenstelling"/>
    <w:basedOn w:val="Standaard"/>
    <w:rsid w:val="00DC4DB6"/>
    <w:pPr>
      <w:keepNext/>
      <w:keepLines/>
      <w:ind w:left="3125" w:hanging="3125"/>
      <w:jc w:val="both"/>
    </w:pPr>
    <w:rPr>
      <w:i/>
      <w:snapToGrid w:val="0"/>
      <w:spacing w:val="-3"/>
      <w:sz w:val="16"/>
      <w:szCs w:val="20"/>
    </w:rPr>
  </w:style>
  <w:style w:type="paragraph" w:customStyle="1" w:styleId="AgendaSamenstellingLeden">
    <w:name w:val="AgendaSamenstellingLeden"/>
    <w:basedOn w:val="AgendaSamenstelling"/>
    <w:rsid w:val="00DC4DB6"/>
    <w:rPr>
      <w:i w:val="0"/>
    </w:rPr>
  </w:style>
  <w:style w:type="paragraph" w:customStyle="1" w:styleId="A-NaamMinister">
    <w:name w:val="A-NaamMinister"/>
    <w:basedOn w:val="Standaard"/>
    <w:link w:val="A-NaamMinisterChar"/>
    <w:rsid w:val="000976E9"/>
    <w:rPr>
      <w:b/>
      <w:smallCaps/>
      <w:lang w:val="nl-BE"/>
    </w:rPr>
  </w:style>
  <w:style w:type="paragraph" w:customStyle="1" w:styleId="A-Lijn">
    <w:name w:val="A-Lijn"/>
    <w:basedOn w:val="Standaard"/>
    <w:rsid w:val="000976E9"/>
    <w:pPr>
      <w:pBdr>
        <w:top w:val="single" w:sz="4" w:space="1" w:color="auto"/>
      </w:pBdr>
    </w:pPr>
    <w:rPr>
      <w:smallCaps/>
      <w:szCs w:val="22"/>
      <w:lang w:val="nl-BE"/>
    </w:rPr>
  </w:style>
  <w:style w:type="paragraph" w:customStyle="1" w:styleId="A-Type">
    <w:name w:val="A-Type"/>
    <w:link w:val="A-TypeChar"/>
    <w:rsid w:val="000976E9"/>
    <w:rPr>
      <w:b/>
      <w:smallCaps/>
      <w:sz w:val="22"/>
      <w:szCs w:val="22"/>
      <w:lang w:eastAsia="nl-NL"/>
    </w:rPr>
  </w:style>
  <w:style w:type="character" w:customStyle="1" w:styleId="A-NaamMinisterChar">
    <w:name w:val="A-NaamMinister Char"/>
    <w:basedOn w:val="Standaardalinea-lettertype"/>
    <w:link w:val="A-NaamMinister"/>
    <w:rsid w:val="000976E9"/>
    <w:rPr>
      <w:b/>
      <w:smallCaps/>
      <w:sz w:val="22"/>
      <w:szCs w:val="24"/>
      <w:lang w:val="nl-BE" w:eastAsia="nl-NL" w:bidi="ar-SA"/>
    </w:rPr>
  </w:style>
  <w:style w:type="paragraph" w:customStyle="1" w:styleId="A-Gewonetekst">
    <w:name w:val="A-Gewone tekst"/>
    <w:link w:val="A-GewonetekstChar"/>
    <w:rsid w:val="000976E9"/>
    <w:rPr>
      <w:sz w:val="22"/>
      <w:szCs w:val="24"/>
      <w:lang w:eastAsia="nl-NL"/>
    </w:rPr>
  </w:style>
  <w:style w:type="character" w:customStyle="1" w:styleId="A-GewonetekstChar">
    <w:name w:val="A-Gewone tekst Char"/>
    <w:basedOn w:val="Standaardalinea-lettertype"/>
    <w:link w:val="A-Gewonetekst"/>
    <w:rsid w:val="000976E9"/>
    <w:rPr>
      <w:sz w:val="22"/>
      <w:szCs w:val="24"/>
      <w:lang w:val="nl-BE" w:eastAsia="nl-NL" w:bidi="ar-SA"/>
    </w:rPr>
  </w:style>
  <w:style w:type="character" w:customStyle="1" w:styleId="A-TypeChar">
    <w:name w:val="A-Type Char"/>
    <w:basedOn w:val="Standaardalinea-lettertype"/>
    <w:link w:val="A-Type"/>
    <w:rsid w:val="000976E9"/>
    <w:rPr>
      <w:b/>
      <w:smallCaps/>
      <w:sz w:val="22"/>
      <w:szCs w:val="22"/>
      <w:lang w:val="nl-BE" w:eastAsia="nl-NL" w:bidi="ar-SA"/>
    </w:rPr>
  </w:style>
  <w:style w:type="character" w:customStyle="1" w:styleId="AntwoordNaamMinisterChar">
    <w:name w:val="AntwoordNaamMinister Char"/>
    <w:basedOn w:val="Standaardalinea-lettertype"/>
    <w:link w:val="AntwoordNaamMinister"/>
    <w:rsid w:val="00DB41C0"/>
    <w:rPr>
      <w:b/>
      <w:smallCaps/>
      <w:sz w:val="22"/>
      <w:szCs w:val="24"/>
      <w:lang w:val="nl-BE" w:eastAsia="nl-NL" w:bidi="ar-SA"/>
    </w:rPr>
  </w:style>
  <w:style w:type="paragraph" w:customStyle="1" w:styleId="StandaardSV">
    <w:name w:val="Standaard SV"/>
    <w:basedOn w:val="Standaard"/>
    <w:link w:val="StandaardSVChar"/>
    <w:rsid w:val="009233F2"/>
    <w:pPr>
      <w:jc w:val="both"/>
    </w:pPr>
    <w:rPr>
      <w:szCs w:val="20"/>
    </w:rPr>
  </w:style>
  <w:style w:type="paragraph" w:customStyle="1" w:styleId="SVTitel">
    <w:name w:val="SV Titel"/>
    <w:basedOn w:val="Standaard"/>
    <w:rsid w:val="004342D7"/>
    <w:pPr>
      <w:jc w:val="both"/>
    </w:pPr>
    <w:rPr>
      <w:i/>
      <w:szCs w:val="20"/>
    </w:rPr>
  </w:style>
  <w:style w:type="paragraph" w:styleId="Geenafstand">
    <w:name w:val="No Spacing"/>
    <w:basedOn w:val="Standaard"/>
    <w:link w:val="GeenafstandChar"/>
    <w:uiPriority w:val="1"/>
    <w:qFormat/>
    <w:rsid w:val="004342D7"/>
    <w:rPr>
      <w:rFonts w:ascii="Calibri" w:hAnsi="Calibri"/>
      <w:sz w:val="20"/>
      <w:szCs w:val="20"/>
      <w:lang w:val="nl-BE" w:eastAsia="en-US"/>
    </w:rPr>
  </w:style>
  <w:style w:type="character" w:customStyle="1" w:styleId="GeenafstandChar">
    <w:name w:val="Geen afstand Char"/>
    <w:basedOn w:val="Standaardalinea-lettertype"/>
    <w:link w:val="Geenafstand"/>
    <w:uiPriority w:val="1"/>
    <w:rsid w:val="004342D7"/>
    <w:rPr>
      <w:rFonts w:ascii="Calibri" w:hAnsi="Calibri"/>
      <w:lang w:eastAsia="en-US"/>
    </w:rPr>
  </w:style>
  <w:style w:type="paragraph" w:styleId="Lijstalinea">
    <w:name w:val="List Paragraph"/>
    <w:basedOn w:val="Standaard"/>
    <w:uiPriority w:val="34"/>
    <w:qFormat/>
    <w:rsid w:val="004342D7"/>
    <w:pPr>
      <w:spacing w:before="200" w:after="200" w:line="276" w:lineRule="auto"/>
      <w:ind w:left="720"/>
      <w:contextualSpacing/>
    </w:pPr>
    <w:rPr>
      <w:rFonts w:ascii="Calibri" w:hAnsi="Calibri"/>
      <w:sz w:val="20"/>
      <w:szCs w:val="20"/>
      <w:lang w:val="nl-BE" w:eastAsia="en-US" w:bidi="en-US"/>
    </w:rPr>
  </w:style>
  <w:style w:type="character" w:customStyle="1" w:styleId="st1">
    <w:name w:val="st1"/>
    <w:basedOn w:val="Standaardalinea-lettertype"/>
    <w:rsid w:val="00EC7EC6"/>
  </w:style>
  <w:style w:type="character" w:styleId="Hyperlink">
    <w:name w:val="Hyperlink"/>
    <w:basedOn w:val="Standaardalinea-lettertype"/>
    <w:uiPriority w:val="99"/>
    <w:rsid w:val="00D15347"/>
    <w:rPr>
      <w:color w:val="0000FF" w:themeColor="hyperlink"/>
      <w:u w:val="single"/>
    </w:rPr>
  </w:style>
  <w:style w:type="paragraph" w:customStyle="1" w:styleId="HuisvoorGezondheid">
    <w:name w:val="Huis voor Gezondheid"/>
    <w:basedOn w:val="Standaard"/>
    <w:link w:val="HuisvoorGezondheidChar"/>
    <w:qFormat/>
    <w:rsid w:val="009A52FF"/>
    <w:rPr>
      <w:sz w:val="24"/>
      <w:szCs w:val="20"/>
    </w:rPr>
  </w:style>
  <w:style w:type="character" w:customStyle="1" w:styleId="HuisvoorGezondheidChar">
    <w:name w:val="Huis voor Gezondheid Char"/>
    <w:basedOn w:val="Standaardalinea-lettertype"/>
    <w:link w:val="HuisvoorGezondheid"/>
    <w:rsid w:val="009A52FF"/>
    <w:rPr>
      <w:sz w:val="24"/>
      <w:lang w:val="nl-NL" w:eastAsia="nl-NL"/>
    </w:rPr>
  </w:style>
  <w:style w:type="table" w:customStyle="1" w:styleId="Lichtelijst-accent11">
    <w:name w:val="Lichte lijst - accent 11"/>
    <w:basedOn w:val="Standaardtabel"/>
    <w:uiPriority w:val="61"/>
    <w:rsid w:val="009A52FF"/>
    <w:rPr>
      <w:rFonts w:ascii="Calibri" w:hAnsi="Calibri"/>
      <w:lang w:eastAsia="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StandaardSVChar">
    <w:name w:val="Standaard SV Char"/>
    <w:basedOn w:val="Standaardalinea-lettertype"/>
    <w:link w:val="StandaardSV"/>
    <w:locked/>
    <w:rsid w:val="009A52FF"/>
    <w:rPr>
      <w:sz w:val="22"/>
      <w:lang w:val="nl-NL" w:eastAsia="nl-NL"/>
    </w:rPr>
  </w:style>
  <w:style w:type="paragraph" w:styleId="Ballontekst">
    <w:name w:val="Balloon Text"/>
    <w:basedOn w:val="Standaard"/>
    <w:link w:val="BallontekstChar"/>
    <w:rsid w:val="009A52FF"/>
    <w:rPr>
      <w:rFonts w:ascii="Tahoma" w:hAnsi="Tahoma" w:cs="Tahoma"/>
      <w:sz w:val="16"/>
      <w:szCs w:val="16"/>
    </w:rPr>
  </w:style>
  <w:style w:type="character" w:customStyle="1" w:styleId="BallontekstChar">
    <w:name w:val="Ballontekst Char"/>
    <w:basedOn w:val="Standaardalinea-lettertype"/>
    <w:link w:val="Ballontekst"/>
    <w:rsid w:val="009A52FF"/>
    <w:rPr>
      <w:rFonts w:ascii="Tahoma" w:hAnsi="Tahoma" w:cs="Tahoma"/>
      <w:sz w:val="16"/>
      <w:szCs w:val="16"/>
      <w:lang w:val="nl-NL" w:eastAsia="nl-NL"/>
    </w:rPr>
  </w:style>
  <w:style w:type="character" w:styleId="HTML-citaat">
    <w:name w:val="HTML Cite"/>
    <w:basedOn w:val="Standaardalinea-lettertype"/>
    <w:uiPriority w:val="99"/>
    <w:unhideWhenUsed/>
    <w:rsid w:val="008C191D"/>
    <w:rPr>
      <w:i w:val="0"/>
      <w:iCs w:val="0"/>
      <w:color w:val="009933"/>
    </w:rPr>
  </w:style>
  <w:style w:type="character" w:styleId="GevolgdeHyperlink">
    <w:name w:val="FollowedHyperlink"/>
    <w:basedOn w:val="Standaardalinea-lettertype"/>
    <w:rsid w:val="00F30397"/>
    <w:rPr>
      <w:color w:val="800080" w:themeColor="followedHyperlink"/>
      <w:u w:val="single"/>
    </w:rPr>
  </w:style>
  <w:style w:type="paragraph" w:customStyle="1" w:styleId="standaardsv0">
    <w:name w:val="standaardsv"/>
    <w:basedOn w:val="Standaard"/>
    <w:uiPriority w:val="99"/>
    <w:rsid w:val="00E42C77"/>
    <w:pPr>
      <w:jc w:val="both"/>
    </w:pPr>
    <w:rPr>
      <w:rFonts w:eastAsia="Calibri"/>
      <w:szCs w:val="22"/>
      <w:lang w:val="nl-BE" w:eastAsia="nl-BE"/>
    </w:rPr>
  </w:style>
  <w:style w:type="table" w:styleId="Tabelraster">
    <w:name w:val="Table Grid"/>
    <w:basedOn w:val="Standaardtabel"/>
    <w:rsid w:val="00CB0B4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breadcrumbs">
    <w:name w:val="breadcrumbs"/>
    <w:basedOn w:val="Standaard"/>
    <w:rsid w:val="00072DD9"/>
    <w:pPr>
      <w:spacing w:before="100" w:beforeAutospacing="1" w:after="100" w:afterAutospacing="1"/>
    </w:pPr>
    <w:rPr>
      <w:sz w:val="24"/>
      <w:lang w:val="nl-BE" w:eastAsia="nl-BE"/>
    </w:rPr>
  </w:style>
  <w:style w:type="character" w:styleId="Zwaar">
    <w:name w:val="Strong"/>
    <w:basedOn w:val="Standaardalinea-lettertype"/>
    <w:uiPriority w:val="22"/>
    <w:qFormat/>
    <w:rsid w:val="00072DD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357554">
      <w:bodyDiv w:val="1"/>
      <w:marLeft w:val="0"/>
      <w:marRight w:val="0"/>
      <w:marTop w:val="0"/>
      <w:marBottom w:val="0"/>
      <w:divBdr>
        <w:top w:val="none" w:sz="0" w:space="0" w:color="auto"/>
        <w:left w:val="none" w:sz="0" w:space="0" w:color="auto"/>
        <w:bottom w:val="none" w:sz="0" w:space="0" w:color="auto"/>
        <w:right w:val="none" w:sz="0" w:space="0" w:color="auto"/>
      </w:divBdr>
      <w:divsChild>
        <w:div w:id="61027549">
          <w:marLeft w:val="0"/>
          <w:marRight w:val="0"/>
          <w:marTop w:val="0"/>
          <w:marBottom w:val="0"/>
          <w:divBdr>
            <w:top w:val="none" w:sz="0" w:space="0" w:color="auto"/>
            <w:left w:val="none" w:sz="0" w:space="0" w:color="auto"/>
            <w:bottom w:val="none" w:sz="0" w:space="0" w:color="auto"/>
            <w:right w:val="none" w:sz="0" w:space="0" w:color="auto"/>
          </w:divBdr>
          <w:divsChild>
            <w:div w:id="1846676087">
              <w:marLeft w:val="0"/>
              <w:marRight w:val="0"/>
              <w:marTop w:val="0"/>
              <w:marBottom w:val="0"/>
              <w:divBdr>
                <w:top w:val="none" w:sz="0" w:space="0" w:color="auto"/>
                <w:left w:val="none" w:sz="0" w:space="0" w:color="auto"/>
                <w:bottom w:val="none" w:sz="0" w:space="0" w:color="auto"/>
                <w:right w:val="none" w:sz="0" w:space="0" w:color="auto"/>
              </w:divBdr>
              <w:divsChild>
                <w:div w:id="1827436038">
                  <w:marLeft w:val="0"/>
                  <w:marRight w:val="0"/>
                  <w:marTop w:val="0"/>
                  <w:marBottom w:val="0"/>
                  <w:divBdr>
                    <w:top w:val="none" w:sz="0" w:space="0" w:color="auto"/>
                    <w:left w:val="none" w:sz="0" w:space="0" w:color="auto"/>
                    <w:bottom w:val="none" w:sz="0" w:space="0" w:color="auto"/>
                    <w:right w:val="none" w:sz="0" w:space="0" w:color="auto"/>
                  </w:divBdr>
                  <w:divsChild>
                    <w:div w:id="70125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8532474">
      <w:bodyDiv w:val="1"/>
      <w:marLeft w:val="0"/>
      <w:marRight w:val="0"/>
      <w:marTop w:val="0"/>
      <w:marBottom w:val="0"/>
      <w:divBdr>
        <w:top w:val="none" w:sz="0" w:space="0" w:color="auto"/>
        <w:left w:val="none" w:sz="0" w:space="0" w:color="auto"/>
        <w:bottom w:val="none" w:sz="0" w:space="0" w:color="auto"/>
        <w:right w:val="none" w:sz="0" w:space="0" w:color="auto"/>
      </w:divBdr>
    </w:div>
    <w:div w:id="1709380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be\Local%20Settings\Temp\SchrVr-antwoord8.dot"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SchrVr-antwoord8</Template>
  <TotalTime>5</TotalTime>
  <Pages>4</Pages>
  <Words>1729</Words>
  <Characters>10031</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Antwoord op Schriftelijke Vraag</vt:lpstr>
    </vt:vector>
  </TitlesOfParts>
  <Company>Vlaamse Overheid</Company>
  <LinksUpToDate>false</LinksUpToDate>
  <CharactersWithSpaces>11737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op Schriftelijke Vraag</dc:title>
  <dc:subject>Antwoord op Schriftelijke Vraag</dc:subject>
  <dc:creator>Marc Beckers</dc:creator>
  <cp:lastModifiedBy>Nathalie De Keyzer</cp:lastModifiedBy>
  <cp:revision>3</cp:revision>
  <cp:lastPrinted>2012-06-13T13:24:00Z</cp:lastPrinted>
  <dcterms:created xsi:type="dcterms:W3CDTF">2012-06-26T13:27:00Z</dcterms:created>
  <dcterms:modified xsi:type="dcterms:W3CDTF">2012-06-29T11:21:00Z</dcterms:modified>
</cp:coreProperties>
</file>