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36" w:rsidRPr="00F45B3E" w:rsidRDefault="00467936" w:rsidP="000B2D2A">
      <w:pPr>
        <w:pStyle w:val="Title"/>
        <w:jc w:val="both"/>
        <w:outlineLvl w:val="0"/>
        <w:rPr>
          <w:rFonts w:ascii="Times New Roman Vet" w:hAnsi="Times New Roman Vet"/>
          <w:smallCaps/>
          <w:spacing w:val="-3"/>
          <w:sz w:val="22"/>
        </w:rPr>
      </w:pPr>
      <w:bookmarkStart w:id="0" w:name="OLE_LINK1"/>
      <w:bookmarkStart w:id="1" w:name="OLE_LINK2"/>
      <w:r w:rsidRPr="00F45B3E">
        <w:rPr>
          <w:rFonts w:ascii="Times New Roman Vet" w:hAnsi="Times New Roman Vet"/>
          <w:smallCaps/>
          <w:spacing w:val="-3"/>
          <w:sz w:val="22"/>
        </w:rPr>
        <w:t>joke schauvliege</w:t>
      </w:r>
    </w:p>
    <w:p w:rsidR="00467936" w:rsidRDefault="00467936" w:rsidP="000B2D2A">
      <w:pPr>
        <w:pStyle w:val="Title"/>
        <w:jc w:val="both"/>
        <w:outlineLvl w:val="0"/>
        <w:rPr>
          <w:b w:val="0"/>
          <w:smallCaps/>
          <w:spacing w:val="-3"/>
          <w:sz w:val="22"/>
        </w:rPr>
      </w:pPr>
      <w:r>
        <w:rPr>
          <w:b w:val="0"/>
          <w:smallCaps/>
          <w:spacing w:val="-3"/>
          <w:sz w:val="22"/>
        </w:rPr>
        <w:t>vlaams minister van leefmilieu, natuur en cultuur</w:t>
      </w:r>
    </w:p>
    <w:p w:rsidR="00467936" w:rsidRDefault="00467936" w:rsidP="0098038A">
      <w:pPr>
        <w:pStyle w:val="StandaardSV"/>
        <w:pBdr>
          <w:bottom w:val="single" w:sz="4" w:space="1" w:color="000000"/>
        </w:pBdr>
        <w:rPr>
          <w:smallCaps/>
        </w:rPr>
      </w:pPr>
    </w:p>
    <w:p w:rsidR="00467936" w:rsidRDefault="00467936" w:rsidP="000B2D2A">
      <w:pPr>
        <w:pStyle w:val="Title"/>
        <w:jc w:val="both"/>
        <w:outlineLvl w:val="0"/>
        <w:rPr>
          <w:rFonts w:ascii="Times New Roman Vet" w:hAnsi="Times New Roman Vet"/>
          <w:smallCaps/>
          <w:spacing w:val="-3"/>
          <w:sz w:val="22"/>
        </w:rPr>
      </w:pPr>
    </w:p>
    <w:p w:rsidR="00467936" w:rsidRPr="00F45B3E" w:rsidRDefault="00467936" w:rsidP="000B2D2A">
      <w:pPr>
        <w:pStyle w:val="Title"/>
        <w:jc w:val="both"/>
        <w:outlineLvl w:val="0"/>
        <w:rPr>
          <w:rFonts w:ascii="Times New Roman Vet" w:hAnsi="Times New Roman Vet"/>
          <w:smallCaps/>
          <w:spacing w:val="-3"/>
          <w:sz w:val="22"/>
        </w:rPr>
      </w:pPr>
      <w:r>
        <w:rPr>
          <w:rFonts w:ascii="Times New Roman Vet" w:hAnsi="Times New Roman Vet"/>
          <w:smallCaps/>
          <w:spacing w:val="-3"/>
          <w:sz w:val="22"/>
        </w:rPr>
        <w:t xml:space="preserve">gecoördineerd </w:t>
      </w:r>
      <w:r w:rsidRPr="00F45B3E">
        <w:rPr>
          <w:rFonts w:ascii="Times New Roman Vet" w:hAnsi="Times New Roman Vet"/>
          <w:smallCaps/>
          <w:spacing w:val="-3"/>
          <w:sz w:val="22"/>
        </w:rPr>
        <w:t xml:space="preserve">antwoord </w:t>
      </w:r>
    </w:p>
    <w:p w:rsidR="00467936" w:rsidRDefault="00467936" w:rsidP="000B2D2A">
      <w:pPr>
        <w:pStyle w:val="Title"/>
        <w:jc w:val="both"/>
        <w:rPr>
          <w:b w:val="0"/>
          <w:spacing w:val="-3"/>
          <w:sz w:val="22"/>
        </w:rPr>
      </w:pPr>
      <w:r>
        <w:rPr>
          <w:b w:val="0"/>
          <w:spacing w:val="-3"/>
          <w:sz w:val="22"/>
        </w:rPr>
        <w:t>op vraag nr. 453 van 11 april 2012</w:t>
      </w:r>
    </w:p>
    <w:p w:rsidR="00467936" w:rsidRDefault="00467936" w:rsidP="000B2D2A">
      <w:pPr>
        <w:pStyle w:val="Title"/>
        <w:jc w:val="both"/>
        <w:rPr>
          <w:smallCaps/>
          <w:spacing w:val="-3"/>
          <w:sz w:val="22"/>
        </w:rPr>
      </w:pPr>
      <w:r>
        <w:rPr>
          <w:b w:val="0"/>
          <w:spacing w:val="-3"/>
          <w:sz w:val="22"/>
        </w:rPr>
        <w:t xml:space="preserve">van </w:t>
      </w:r>
      <w:r>
        <w:rPr>
          <w:rFonts w:ascii="Times New Roman Vet" w:hAnsi="Times New Roman Vet"/>
          <w:smallCaps/>
          <w:spacing w:val="-3"/>
          <w:sz w:val="22"/>
        </w:rPr>
        <w:t>t</w:t>
      </w:r>
      <w:r w:rsidRPr="00EA5B8A">
        <w:rPr>
          <w:rFonts w:ascii="Times New Roman Vet" w:hAnsi="Times New Roman Vet"/>
          <w:smallCaps/>
          <w:spacing w:val="-3"/>
          <w:sz w:val="22"/>
        </w:rPr>
        <w:t xml:space="preserve">ine </w:t>
      </w:r>
      <w:r>
        <w:rPr>
          <w:rFonts w:ascii="Times New Roman Vet" w:hAnsi="Times New Roman Vet"/>
          <w:smallCaps/>
          <w:spacing w:val="-3"/>
          <w:sz w:val="22"/>
        </w:rPr>
        <w:t>e</w:t>
      </w:r>
      <w:r w:rsidRPr="00EA5B8A">
        <w:rPr>
          <w:rFonts w:ascii="Times New Roman Vet" w:hAnsi="Times New Roman Vet"/>
          <w:smallCaps/>
          <w:spacing w:val="-3"/>
          <w:sz w:val="22"/>
        </w:rPr>
        <w:t>erlingen</w:t>
      </w:r>
    </w:p>
    <w:p w:rsidR="00467936" w:rsidRDefault="00467936" w:rsidP="0098038A">
      <w:pPr>
        <w:pStyle w:val="Title"/>
        <w:pBdr>
          <w:bottom w:val="single" w:sz="4" w:space="1" w:color="000000"/>
        </w:pBdr>
        <w:jc w:val="both"/>
        <w:rPr>
          <w:b w:val="0"/>
          <w:spacing w:val="-3"/>
          <w:sz w:val="22"/>
        </w:rPr>
      </w:pPr>
    </w:p>
    <w:p w:rsidR="00467936" w:rsidRDefault="00467936" w:rsidP="000B2D2A">
      <w:pPr>
        <w:jc w:val="both"/>
        <w:rPr>
          <w:rFonts w:ascii="Times New Roman" w:hAnsi="Times New Roman"/>
          <w:sz w:val="22"/>
        </w:rPr>
      </w:pPr>
    </w:p>
    <w:bookmarkEnd w:id="0"/>
    <w:bookmarkEnd w:id="1"/>
    <w:p w:rsidR="00467936" w:rsidRPr="00EA5B8A" w:rsidRDefault="00467936" w:rsidP="000B2D2A">
      <w:pPr>
        <w:tabs>
          <w:tab w:val="clear" w:pos="284"/>
          <w:tab w:val="clear" w:pos="567"/>
          <w:tab w:val="clear" w:pos="851"/>
          <w:tab w:val="clear" w:pos="1134"/>
          <w:tab w:val="clear" w:pos="4253"/>
          <w:tab w:val="clear" w:pos="8278"/>
        </w:tabs>
        <w:suppressAutoHyphens w:val="0"/>
        <w:jc w:val="both"/>
        <w:rPr>
          <w:rFonts w:ascii="Times New Roman" w:hAnsi="Times New Roman"/>
          <w:i/>
          <w:sz w:val="22"/>
          <w:lang w:eastAsia="nl-NL"/>
        </w:rPr>
      </w:pPr>
    </w:p>
    <w:p w:rsidR="00467936" w:rsidRPr="00EA5B8A" w:rsidRDefault="00467936" w:rsidP="000B2D2A">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Alle rioolbeheerders kunnen op elk moment van het jaar een subsidie-aanvraag indienen. Per kwartaal worden de aanvragen binnen de Vlaamse Milieumaatschappij beoordeeld en afgetoetst met het oog op het al dan niet subsidieerbaar stellen van de genoemde rioleringswerken. Voor elke aanvraag wordt een schriftelijke terugkoppeling aan de rioolbeheerder overgemaakt. Hierin wordt aangegeven of het project een prioritaire sanering betreft en bijgevolg op relatief korte termijn mogelijks kan gesubsidieerd worden.</w:t>
      </w:r>
    </w:p>
    <w:p w:rsidR="00467936" w:rsidRPr="00EA5B8A" w:rsidRDefault="00467936" w:rsidP="0098038A">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eastAsia="nl-NL"/>
        </w:rPr>
      </w:pPr>
      <w:r w:rsidRPr="00EA5B8A">
        <w:rPr>
          <w:rFonts w:ascii="Times New Roman" w:hAnsi="Times New Roman"/>
          <w:sz w:val="22"/>
          <w:lang w:eastAsia="nl-NL"/>
        </w:rPr>
        <w:t>Bij de opmaak van de deelprogramma’s worden alle, in aanmerking komende aanvragen, in beschouwing genomen. Binnen de beschikbare budgetten worden categorieën van ecologisch noodzakelijke projecten geprioriteerd. Zodra een project op een definitief goedgekeurd kwartaalprogramma is opgenomen kan de subsidieprocedure worden gestart door de indiening van het voorontwerpdossier.</w:t>
      </w:r>
    </w:p>
    <w:p w:rsidR="00467936" w:rsidRPr="00EA5B8A" w:rsidRDefault="00467936" w:rsidP="000B2D2A">
      <w:pPr>
        <w:tabs>
          <w:tab w:val="clear" w:pos="284"/>
          <w:tab w:val="clear" w:pos="567"/>
          <w:tab w:val="clear" w:pos="851"/>
          <w:tab w:val="clear" w:pos="1134"/>
          <w:tab w:val="clear" w:pos="4253"/>
          <w:tab w:val="clear" w:pos="8278"/>
        </w:tabs>
        <w:suppressAutoHyphens w:val="0"/>
        <w:ind w:left="720"/>
        <w:jc w:val="both"/>
        <w:rPr>
          <w:rFonts w:ascii="Times New Roman" w:hAnsi="Times New Roman"/>
          <w:sz w:val="22"/>
          <w:lang w:eastAsia="nl-NL"/>
        </w:rPr>
      </w:pPr>
    </w:p>
    <w:p w:rsidR="00467936" w:rsidRPr="00EA5B8A" w:rsidRDefault="00467936" w:rsidP="0098038A">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In de onderstaande tabel wordt voor de jaren 2009, 2010 en 2011 aangegeven voor hoeveel projecten een vastlegging en een betaling werd doorgevoerd.</w:t>
      </w:r>
    </w:p>
    <w:p w:rsidR="00467936" w:rsidRPr="00EA5B8A" w:rsidRDefault="00467936" w:rsidP="000B2D2A">
      <w:pPr>
        <w:tabs>
          <w:tab w:val="clear" w:pos="284"/>
          <w:tab w:val="clear" w:pos="567"/>
          <w:tab w:val="clear" w:pos="851"/>
          <w:tab w:val="clear" w:pos="1134"/>
          <w:tab w:val="clear" w:pos="4253"/>
          <w:tab w:val="clear" w:pos="8278"/>
        </w:tabs>
        <w:suppressAutoHyphens w:val="0"/>
        <w:ind w:left="720"/>
        <w:jc w:val="both"/>
        <w:rPr>
          <w:rFonts w:ascii="Times New Roman" w:hAnsi="Times New Roman"/>
          <w:sz w:val="22"/>
          <w:lang w:eastAsia="nl-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747"/>
        <w:gridCol w:w="1708"/>
        <w:gridCol w:w="1744"/>
        <w:gridCol w:w="1701"/>
      </w:tblGrid>
      <w:tr w:rsidR="00467936" w:rsidRPr="00EA5B8A" w:rsidTr="00D84F99">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Jaar</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Aantal vastgelegd</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Totaal bedrag (mio euro)</w:t>
            </w:r>
          </w:p>
        </w:tc>
        <w:tc>
          <w:tcPr>
            <w:tcW w:w="184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Aantal uitbetaald</w:t>
            </w:r>
          </w:p>
        </w:tc>
        <w:tc>
          <w:tcPr>
            <w:tcW w:w="184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Totaal bedrag (mio euro)</w:t>
            </w:r>
          </w:p>
        </w:tc>
      </w:tr>
      <w:tr w:rsidR="00467936" w:rsidRPr="00EA5B8A" w:rsidTr="00D84F99">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2009</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ind w:left="447"/>
              <w:jc w:val="both"/>
              <w:rPr>
                <w:rFonts w:ascii="Times New Roman" w:hAnsi="Times New Roman"/>
                <w:sz w:val="22"/>
                <w:lang w:eastAsia="nl-NL"/>
              </w:rPr>
            </w:pPr>
            <w:r w:rsidRPr="00EA5B8A">
              <w:rPr>
                <w:rFonts w:ascii="Times New Roman" w:hAnsi="Times New Roman"/>
                <w:sz w:val="22"/>
                <w:lang w:eastAsia="nl-NL"/>
              </w:rPr>
              <w:t>164</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110,737</w:t>
            </w:r>
          </w:p>
        </w:tc>
        <w:tc>
          <w:tcPr>
            <w:tcW w:w="1843" w:type="dxa"/>
          </w:tcPr>
          <w:p w:rsidR="00467936" w:rsidRPr="00EA5B8A" w:rsidRDefault="00467936" w:rsidP="00D84F99">
            <w:pPr>
              <w:tabs>
                <w:tab w:val="clear" w:pos="284"/>
                <w:tab w:val="clear" w:pos="567"/>
                <w:tab w:val="clear" w:pos="851"/>
                <w:tab w:val="clear" w:pos="1134"/>
                <w:tab w:val="clear" w:pos="4253"/>
                <w:tab w:val="clear" w:pos="8278"/>
              </w:tabs>
              <w:suppressAutoHyphens w:val="0"/>
              <w:ind w:left="394"/>
              <w:jc w:val="both"/>
              <w:rPr>
                <w:rFonts w:ascii="Times New Roman" w:hAnsi="Times New Roman"/>
                <w:sz w:val="22"/>
                <w:lang w:eastAsia="nl-NL"/>
              </w:rPr>
            </w:pPr>
            <w:r w:rsidRPr="00EA5B8A">
              <w:rPr>
                <w:rFonts w:ascii="Times New Roman" w:hAnsi="Times New Roman"/>
                <w:sz w:val="22"/>
                <w:lang w:eastAsia="nl-NL"/>
              </w:rPr>
              <w:t>173</w:t>
            </w:r>
          </w:p>
        </w:tc>
        <w:tc>
          <w:tcPr>
            <w:tcW w:w="184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36,05</w:t>
            </w:r>
          </w:p>
        </w:tc>
      </w:tr>
      <w:tr w:rsidR="00467936" w:rsidRPr="00EA5B8A" w:rsidTr="00D84F99">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2010</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ind w:left="447"/>
              <w:jc w:val="both"/>
              <w:rPr>
                <w:rFonts w:ascii="Times New Roman" w:hAnsi="Times New Roman"/>
                <w:sz w:val="22"/>
                <w:lang w:eastAsia="nl-NL"/>
              </w:rPr>
            </w:pPr>
            <w:r w:rsidRPr="00EA5B8A">
              <w:rPr>
                <w:rFonts w:ascii="Times New Roman" w:hAnsi="Times New Roman"/>
                <w:sz w:val="22"/>
                <w:lang w:eastAsia="nl-NL"/>
              </w:rPr>
              <w:t>178</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112,133</w:t>
            </w:r>
          </w:p>
        </w:tc>
        <w:tc>
          <w:tcPr>
            <w:tcW w:w="1843" w:type="dxa"/>
          </w:tcPr>
          <w:p w:rsidR="00467936" w:rsidRPr="00EA5B8A" w:rsidRDefault="00467936" w:rsidP="00D84F99">
            <w:pPr>
              <w:tabs>
                <w:tab w:val="clear" w:pos="284"/>
                <w:tab w:val="clear" w:pos="567"/>
                <w:tab w:val="clear" w:pos="851"/>
                <w:tab w:val="clear" w:pos="1134"/>
                <w:tab w:val="clear" w:pos="4253"/>
                <w:tab w:val="clear" w:pos="8278"/>
              </w:tabs>
              <w:suppressAutoHyphens w:val="0"/>
              <w:ind w:left="394"/>
              <w:jc w:val="both"/>
              <w:rPr>
                <w:rFonts w:ascii="Times New Roman" w:hAnsi="Times New Roman"/>
                <w:sz w:val="22"/>
                <w:lang w:eastAsia="nl-NL"/>
              </w:rPr>
            </w:pPr>
            <w:r w:rsidRPr="00EA5B8A">
              <w:rPr>
                <w:rFonts w:ascii="Times New Roman" w:hAnsi="Times New Roman"/>
                <w:sz w:val="22"/>
                <w:lang w:eastAsia="nl-NL"/>
              </w:rPr>
              <w:t>209</w:t>
            </w:r>
          </w:p>
        </w:tc>
        <w:tc>
          <w:tcPr>
            <w:tcW w:w="184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46,62</w:t>
            </w:r>
          </w:p>
        </w:tc>
      </w:tr>
      <w:tr w:rsidR="00467936" w:rsidRPr="00EA5B8A" w:rsidTr="00D84F99">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2011</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ind w:left="447"/>
              <w:jc w:val="both"/>
              <w:rPr>
                <w:rFonts w:ascii="Times New Roman" w:hAnsi="Times New Roman"/>
                <w:sz w:val="22"/>
                <w:lang w:eastAsia="nl-NL"/>
              </w:rPr>
            </w:pPr>
            <w:r w:rsidRPr="00EA5B8A">
              <w:rPr>
                <w:rFonts w:ascii="Times New Roman" w:hAnsi="Times New Roman"/>
                <w:sz w:val="22"/>
                <w:lang w:eastAsia="nl-NL"/>
              </w:rPr>
              <w:t>178</w:t>
            </w:r>
          </w:p>
        </w:tc>
        <w:tc>
          <w:tcPr>
            <w:tcW w:w="184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111,142</w:t>
            </w:r>
          </w:p>
        </w:tc>
        <w:tc>
          <w:tcPr>
            <w:tcW w:w="1843" w:type="dxa"/>
          </w:tcPr>
          <w:p w:rsidR="00467936" w:rsidRPr="00EA5B8A" w:rsidRDefault="00467936" w:rsidP="00D84F99">
            <w:pPr>
              <w:tabs>
                <w:tab w:val="clear" w:pos="284"/>
                <w:tab w:val="clear" w:pos="567"/>
                <w:tab w:val="clear" w:pos="851"/>
                <w:tab w:val="clear" w:pos="1134"/>
                <w:tab w:val="clear" w:pos="4253"/>
                <w:tab w:val="clear" w:pos="8278"/>
                <w:tab w:val="left" w:pos="1215"/>
              </w:tabs>
              <w:suppressAutoHyphens w:val="0"/>
              <w:ind w:left="394"/>
              <w:jc w:val="both"/>
              <w:rPr>
                <w:rFonts w:ascii="Times New Roman" w:hAnsi="Times New Roman"/>
                <w:sz w:val="22"/>
                <w:lang w:eastAsia="nl-NL"/>
              </w:rPr>
            </w:pPr>
            <w:r w:rsidRPr="00EA5B8A">
              <w:rPr>
                <w:rFonts w:ascii="Times New Roman" w:hAnsi="Times New Roman"/>
                <w:sz w:val="22"/>
                <w:lang w:eastAsia="nl-NL"/>
              </w:rPr>
              <w:t>309</w:t>
            </w:r>
          </w:p>
        </w:tc>
        <w:tc>
          <w:tcPr>
            <w:tcW w:w="184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90,68</w:t>
            </w:r>
          </w:p>
        </w:tc>
      </w:tr>
    </w:tbl>
    <w:p w:rsidR="00467936" w:rsidRPr="00EA5B8A" w:rsidRDefault="00467936" w:rsidP="000B2D2A">
      <w:pPr>
        <w:tabs>
          <w:tab w:val="clear" w:pos="284"/>
          <w:tab w:val="clear" w:pos="567"/>
          <w:tab w:val="clear" w:pos="851"/>
          <w:tab w:val="clear" w:pos="1134"/>
          <w:tab w:val="clear" w:pos="4253"/>
          <w:tab w:val="clear" w:pos="8278"/>
        </w:tabs>
        <w:suppressAutoHyphens w:val="0"/>
        <w:ind w:left="720"/>
        <w:jc w:val="both"/>
        <w:rPr>
          <w:rFonts w:ascii="Times New Roman" w:hAnsi="Times New Roman"/>
          <w:sz w:val="22"/>
          <w:lang w:eastAsia="nl-NL"/>
        </w:rPr>
      </w:pPr>
    </w:p>
    <w:p w:rsidR="00467936" w:rsidRPr="00EA5B8A" w:rsidRDefault="00467936" w:rsidP="000B2D2A">
      <w:pPr>
        <w:tabs>
          <w:tab w:val="clear" w:pos="284"/>
          <w:tab w:val="clear" w:pos="567"/>
          <w:tab w:val="clear" w:pos="851"/>
          <w:tab w:val="clear" w:pos="1134"/>
          <w:tab w:val="clear" w:pos="4253"/>
          <w:tab w:val="clear" w:pos="8278"/>
        </w:tabs>
        <w:suppressAutoHyphens w:val="0"/>
        <w:ind w:left="720"/>
        <w:jc w:val="both"/>
        <w:rPr>
          <w:rFonts w:ascii="Times New Roman" w:hAnsi="Times New Roman"/>
          <w:sz w:val="22"/>
          <w:lang w:eastAsia="nl-NL"/>
        </w:rPr>
      </w:pPr>
    </w:p>
    <w:p w:rsidR="00467936" w:rsidRPr="00CA7585" w:rsidRDefault="00467936" w:rsidP="00CA7585">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CA7585">
        <w:rPr>
          <w:rFonts w:ascii="Times New Roman" w:hAnsi="Times New Roman"/>
          <w:sz w:val="22"/>
          <w:lang w:eastAsia="nl-NL"/>
        </w:rPr>
        <w:t>Vooreerst wil ik erop wijzen dat in de Vlaamse Begroting geen apart fonds voor de rioleringen</w:t>
      </w:r>
      <w:r>
        <w:rPr>
          <w:rFonts w:ascii="Times New Roman" w:hAnsi="Times New Roman"/>
          <w:sz w:val="22"/>
          <w:lang w:eastAsia="nl-NL"/>
        </w:rPr>
        <w:t>,</w:t>
      </w:r>
      <w:r w:rsidRPr="00CA7585">
        <w:rPr>
          <w:rFonts w:ascii="Times New Roman" w:hAnsi="Times New Roman"/>
          <w:sz w:val="22"/>
          <w:lang w:eastAsia="nl-NL"/>
        </w:rPr>
        <w:t xml:space="preserve"> of ‘Rio-fonds’ zoals u het in uw vraagstelling benoemt, bestaat. De middelen voor het subsidie</w:t>
      </w:r>
      <w:r>
        <w:rPr>
          <w:rFonts w:ascii="Times New Roman" w:hAnsi="Times New Roman"/>
          <w:sz w:val="22"/>
          <w:lang w:eastAsia="nl-NL"/>
        </w:rPr>
        <w:softHyphen/>
      </w:r>
      <w:r w:rsidRPr="00CA7585">
        <w:rPr>
          <w:rFonts w:ascii="Times New Roman" w:hAnsi="Times New Roman"/>
          <w:sz w:val="22"/>
          <w:lang w:eastAsia="nl-NL"/>
        </w:rPr>
        <w:t>programma voor de gemeentelijke rioleringen worden via het MINA-fonds begroot en uitgegeven.</w:t>
      </w:r>
    </w:p>
    <w:p w:rsidR="00467936" w:rsidRPr="00EA5B8A" w:rsidRDefault="00467936" w:rsidP="0098038A">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eastAsia="nl-NL"/>
        </w:rPr>
      </w:pPr>
      <w:r w:rsidRPr="00EA5B8A">
        <w:rPr>
          <w:rFonts w:ascii="Times New Roman" w:hAnsi="Times New Roman"/>
          <w:sz w:val="22"/>
          <w:lang w:eastAsia="nl-NL"/>
        </w:rPr>
        <w:t xml:space="preserve">In </w:t>
      </w:r>
      <w:r>
        <w:rPr>
          <w:rFonts w:ascii="Times New Roman" w:hAnsi="Times New Roman"/>
          <w:sz w:val="22"/>
          <w:lang w:eastAsia="nl-NL"/>
        </w:rPr>
        <w:t xml:space="preserve">de </w:t>
      </w:r>
      <w:r w:rsidRPr="00EA5B8A">
        <w:rPr>
          <w:rFonts w:ascii="Times New Roman" w:hAnsi="Times New Roman"/>
          <w:sz w:val="22"/>
          <w:lang w:eastAsia="nl-NL"/>
        </w:rPr>
        <w:t>onderstaande tabel wordt zowel voor het vastleggingskrediet (VK) als voor het betalingskrediet (OK) weergegeven welke bedragen werden voorzien (in mio euro), welke bedragen effectief werden besteed en wat de bestedingspercentages zijn.</w:t>
      </w:r>
    </w:p>
    <w:p w:rsidR="00467936" w:rsidRPr="00EA5B8A" w:rsidRDefault="00467936" w:rsidP="000B2D2A">
      <w:pPr>
        <w:tabs>
          <w:tab w:val="clear" w:pos="284"/>
          <w:tab w:val="clear" w:pos="567"/>
          <w:tab w:val="clear" w:pos="851"/>
          <w:tab w:val="clear" w:pos="1134"/>
          <w:tab w:val="clear" w:pos="4253"/>
          <w:tab w:val="clear" w:pos="8278"/>
        </w:tabs>
        <w:suppressAutoHyphens w:val="0"/>
        <w:ind w:left="720"/>
        <w:jc w:val="both"/>
        <w:rPr>
          <w:rFonts w:ascii="Times New Roman" w:hAnsi="Times New Roman"/>
          <w:sz w:val="22"/>
          <w:lang w:eastAsia="nl-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7"/>
        <w:gridCol w:w="1400"/>
        <w:gridCol w:w="1203"/>
        <w:gridCol w:w="781"/>
        <w:gridCol w:w="1422"/>
        <w:gridCol w:w="1203"/>
        <w:gridCol w:w="919"/>
      </w:tblGrid>
      <w:tr w:rsidR="00467936" w:rsidRPr="00EA5B8A" w:rsidTr="00D84F99">
        <w:tc>
          <w:tcPr>
            <w:tcW w:w="1107"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Jaar</w:t>
            </w:r>
          </w:p>
        </w:tc>
        <w:tc>
          <w:tcPr>
            <w:tcW w:w="1400"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BeschikbaarVK</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Besteed VK</w:t>
            </w:r>
          </w:p>
        </w:tc>
        <w:tc>
          <w:tcPr>
            <w:tcW w:w="781"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w:t>
            </w:r>
          </w:p>
        </w:tc>
        <w:tc>
          <w:tcPr>
            <w:tcW w:w="142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Beschikbaar OK</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Besteed OK</w:t>
            </w:r>
          </w:p>
        </w:tc>
        <w:tc>
          <w:tcPr>
            <w:tcW w:w="919"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b/>
                <w:sz w:val="22"/>
                <w:lang w:eastAsia="nl-NL"/>
              </w:rPr>
            </w:pPr>
            <w:r w:rsidRPr="00EA5B8A">
              <w:rPr>
                <w:rFonts w:ascii="Times New Roman" w:hAnsi="Times New Roman"/>
                <w:b/>
                <w:sz w:val="22"/>
                <w:lang w:eastAsia="nl-NL"/>
              </w:rPr>
              <w:t>%</w:t>
            </w:r>
          </w:p>
        </w:tc>
      </w:tr>
      <w:tr w:rsidR="00467936" w:rsidRPr="00EA5B8A" w:rsidTr="00D84F99">
        <w:tc>
          <w:tcPr>
            <w:tcW w:w="1107"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2009</w:t>
            </w:r>
          </w:p>
        </w:tc>
        <w:tc>
          <w:tcPr>
            <w:tcW w:w="1400"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110.737</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110,737</w:t>
            </w:r>
          </w:p>
        </w:tc>
        <w:tc>
          <w:tcPr>
            <w:tcW w:w="781"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100%</w:t>
            </w:r>
          </w:p>
        </w:tc>
        <w:tc>
          <w:tcPr>
            <w:tcW w:w="142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43,04</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36,05</w:t>
            </w:r>
          </w:p>
        </w:tc>
        <w:tc>
          <w:tcPr>
            <w:tcW w:w="919"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83,76%</w:t>
            </w:r>
          </w:p>
        </w:tc>
      </w:tr>
      <w:tr w:rsidR="00467936" w:rsidRPr="00EA5B8A" w:rsidTr="00D84F99">
        <w:tc>
          <w:tcPr>
            <w:tcW w:w="1107"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2010</w:t>
            </w:r>
          </w:p>
        </w:tc>
        <w:tc>
          <w:tcPr>
            <w:tcW w:w="1400"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112,133</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112,133</w:t>
            </w:r>
          </w:p>
        </w:tc>
        <w:tc>
          <w:tcPr>
            <w:tcW w:w="781"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100%</w:t>
            </w:r>
          </w:p>
        </w:tc>
        <w:tc>
          <w:tcPr>
            <w:tcW w:w="142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46,92</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46,62</w:t>
            </w:r>
          </w:p>
        </w:tc>
        <w:tc>
          <w:tcPr>
            <w:tcW w:w="919"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99,37%</w:t>
            </w:r>
          </w:p>
        </w:tc>
      </w:tr>
      <w:tr w:rsidR="00467936" w:rsidRPr="00EA5B8A" w:rsidTr="00D84F99">
        <w:tc>
          <w:tcPr>
            <w:tcW w:w="1107"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2011</w:t>
            </w:r>
          </w:p>
        </w:tc>
        <w:tc>
          <w:tcPr>
            <w:tcW w:w="1400"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111,148</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111,142</w:t>
            </w:r>
          </w:p>
        </w:tc>
        <w:tc>
          <w:tcPr>
            <w:tcW w:w="781"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100%</w:t>
            </w:r>
          </w:p>
        </w:tc>
        <w:tc>
          <w:tcPr>
            <w:tcW w:w="1422"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91,74</w:t>
            </w:r>
          </w:p>
        </w:tc>
        <w:tc>
          <w:tcPr>
            <w:tcW w:w="1203"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90,68</w:t>
            </w:r>
          </w:p>
        </w:tc>
        <w:tc>
          <w:tcPr>
            <w:tcW w:w="919" w:type="dxa"/>
          </w:tcPr>
          <w:p w:rsidR="00467936" w:rsidRPr="00EA5B8A" w:rsidRDefault="00467936" w:rsidP="00D84F99">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98,85%</w:t>
            </w:r>
          </w:p>
        </w:tc>
      </w:tr>
    </w:tbl>
    <w:p w:rsidR="00467936" w:rsidRPr="00EA5B8A" w:rsidRDefault="00467936" w:rsidP="000B2D2A">
      <w:pPr>
        <w:tabs>
          <w:tab w:val="clear" w:pos="284"/>
          <w:tab w:val="clear" w:pos="567"/>
          <w:tab w:val="clear" w:pos="851"/>
          <w:tab w:val="clear" w:pos="1134"/>
          <w:tab w:val="clear" w:pos="4253"/>
          <w:tab w:val="clear" w:pos="8278"/>
        </w:tabs>
        <w:suppressAutoHyphens w:val="0"/>
        <w:ind w:left="720"/>
        <w:jc w:val="both"/>
        <w:rPr>
          <w:rFonts w:ascii="Times New Roman" w:hAnsi="Times New Roman"/>
          <w:sz w:val="22"/>
          <w:lang w:eastAsia="nl-NL"/>
        </w:rPr>
      </w:pPr>
    </w:p>
    <w:p w:rsidR="00467936" w:rsidRPr="00EA5B8A" w:rsidRDefault="00467936" w:rsidP="000B2D2A">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De doorlooptijd voor het toekennen van de subsidie is van verschillende factoren afhankelijk. Vooreerst dient, binnen de budgettaire beperkingen, een selectie gemaakt te worden uit de ingediende projectvoorstellen met het oog op de opmaak van een kwartaalsubsidiërings</w:t>
      </w:r>
      <w:r>
        <w:rPr>
          <w:rFonts w:ascii="Times New Roman" w:hAnsi="Times New Roman"/>
          <w:sz w:val="22"/>
          <w:lang w:eastAsia="nl-NL"/>
        </w:rPr>
        <w:softHyphen/>
      </w:r>
      <w:r w:rsidRPr="00EA5B8A">
        <w:rPr>
          <w:rFonts w:ascii="Times New Roman" w:hAnsi="Times New Roman"/>
          <w:sz w:val="22"/>
          <w:lang w:eastAsia="nl-NL"/>
        </w:rPr>
        <w:t xml:space="preserve">programma. Zodra een project op een kwartaalprogramma is opgenomen moet de rioolbeheerder binnen een termijn van 9 maanden een voorontwerpdossier indienen. Dit dossier </w:t>
      </w:r>
      <w:r>
        <w:rPr>
          <w:rFonts w:ascii="Times New Roman" w:hAnsi="Times New Roman"/>
          <w:sz w:val="22"/>
          <w:lang w:eastAsia="nl-NL"/>
        </w:rPr>
        <w:t>wordt</w:t>
      </w:r>
      <w:r w:rsidRPr="00EA5B8A">
        <w:rPr>
          <w:rFonts w:ascii="Times New Roman" w:hAnsi="Times New Roman"/>
          <w:sz w:val="22"/>
          <w:lang w:eastAsia="nl-NL"/>
        </w:rPr>
        <w:t xml:space="preserve"> binnen de 3 maanden besproken door de ambtelijke commissie. </w:t>
      </w:r>
      <w:r>
        <w:rPr>
          <w:rFonts w:ascii="Times New Roman" w:hAnsi="Times New Roman"/>
          <w:sz w:val="22"/>
          <w:lang w:eastAsia="nl-NL"/>
        </w:rPr>
        <w:t xml:space="preserve">Op basis van de eventuele opmerkingen van de ambtelijke commissie kan </w:t>
      </w:r>
      <w:r w:rsidRPr="00EA5B8A">
        <w:rPr>
          <w:rFonts w:ascii="Times New Roman" w:hAnsi="Times New Roman"/>
          <w:sz w:val="22"/>
          <w:lang w:eastAsia="nl-NL"/>
        </w:rPr>
        <w:t xml:space="preserve">de rioolbeheerder </w:t>
      </w:r>
      <w:r>
        <w:rPr>
          <w:rFonts w:ascii="Times New Roman" w:hAnsi="Times New Roman"/>
          <w:sz w:val="22"/>
          <w:lang w:eastAsia="nl-NL"/>
        </w:rPr>
        <w:t xml:space="preserve">gevraagd worden </w:t>
      </w:r>
      <w:r w:rsidRPr="00EA5B8A">
        <w:rPr>
          <w:rFonts w:ascii="Times New Roman" w:hAnsi="Times New Roman"/>
          <w:sz w:val="22"/>
          <w:lang w:eastAsia="nl-NL"/>
        </w:rPr>
        <w:t>een aanpassing door te voeren en het gewijzigde dossier opnieuw voor te leggen aan de ambtelijke commissie</w:t>
      </w:r>
      <w:r>
        <w:rPr>
          <w:rFonts w:ascii="Times New Roman" w:hAnsi="Times New Roman"/>
          <w:sz w:val="22"/>
          <w:lang w:eastAsia="nl-NL"/>
        </w:rPr>
        <w:t xml:space="preserve"> voor goedkeuring</w:t>
      </w:r>
      <w:r w:rsidRPr="00EA5B8A">
        <w:rPr>
          <w:rFonts w:ascii="Times New Roman" w:hAnsi="Times New Roman"/>
          <w:sz w:val="22"/>
          <w:lang w:eastAsia="nl-NL"/>
        </w:rPr>
        <w:t xml:space="preserve">. Wordt het dossier goedgekeurd dan kan de vastleggingsprocedure worden ingezet en kan de rioolbeheerder aanvang maken voor de samenstelling van het ontwerpdossier. </w:t>
      </w:r>
    </w:p>
    <w:p w:rsidR="00467936" w:rsidRPr="00EA5B8A" w:rsidRDefault="00467936" w:rsidP="0098038A">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eastAsia="nl-NL"/>
        </w:rPr>
      </w:pPr>
      <w:r w:rsidRPr="00EA5B8A">
        <w:rPr>
          <w:rFonts w:ascii="Times New Roman" w:hAnsi="Times New Roman"/>
          <w:sz w:val="22"/>
          <w:lang w:eastAsia="nl-NL"/>
        </w:rPr>
        <w:t xml:space="preserve">De doorlooptijd voor het </w:t>
      </w:r>
      <w:r>
        <w:rPr>
          <w:rFonts w:ascii="Times New Roman" w:hAnsi="Times New Roman"/>
          <w:sz w:val="22"/>
          <w:lang w:eastAsia="nl-NL"/>
        </w:rPr>
        <w:t xml:space="preserve">verkrijgen </w:t>
      </w:r>
      <w:r w:rsidRPr="00EA5B8A">
        <w:rPr>
          <w:rFonts w:ascii="Times New Roman" w:hAnsi="Times New Roman"/>
          <w:sz w:val="22"/>
          <w:lang w:eastAsia="nl-NL"/>
        </w:rPr>
        <w:t>van de subsidie wordt bijgevolg enerzijds bepaald door de termijnen die door de rioolbeheerders worden gebruikt voor de opmaak van de dossiers en anderzijds door de termijn noodzakelijk voor de afhandeling van het dossier door de diensten van de Vlaamse overheid. De beschreven termijnen zijn maximale termijnen en worden niet steeds ten volle benut.</w:t>
      </w:r>
    </w:p>
    <w:p w:rsidR="00467936" w:rsidRPr="00EA5B8A" w:rsidRDefault="00467936" w:rsidP="0098038A">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eastAsia="nl-NL"/>
        </w:rPr>
      </w:pPr>
      <w:r w:rsidRPr="00EA5B8A">
        <w:rPr>
          <w:rFonts w:ascii="Times New Roman" w:hAnsi="Times New Roman"/>
          <w:sz w:val="22"/>
          <w:lang w:eastAsia="nl-NL"/>
        </w:rPr>
        <w:t xml:space="preserve">Om te kunnen overgaan naar uitvoering van de werken is </w:t>
      </w:r>
      <w:r>
        <w:rPr>
          <w:rFonts w:ascii="Times New Roman" w:hAnsi="Times New Roman"/>
          <w:sz w:val="22"/>
          <w:lang w:eastAsia="nl-NL"/>
        </w:rPr>
        <w:t xml:space="preserve">in </w:t>
      </w:r>
      <w:r w:rsidRPr="00EA5B8A">
        <w:rPr>
          <w:rFonts w:ascii="Times New Roman" w:hAnsi="Times New Roman"/>
          <w:sz w:val="22"/>
          <w:lang w:eastAsia="nl-NL"/>
        </w:rPr>
        <w:t xml:space="preserve">de procedure voorzien dat een controle moet gebeuren door de gouverneur van het ingediende ontwerpdossier. Deze controle bestaat er vooral </w:t>
      </w:r>
      <w:r>
        <w:rPr>
          <w:rFonts w:ascii="Times New Roman" w:hAnsi="Times New Roman"/>
          <w:sz w:val="22"/>
          <w:lang w:eastAsia="nl-NL"/>
        </w:rPr>
        <w:t xml:space="preserve">in </w:t>
      </w:r>
      <w:r w:rsidRPr="00EA5B8A">
        <w:rPr>
          <w:rFonts w:ascii="Times New Roman" w:hAnsi="Times New Roman"/>
          <w:sz w:val="22"/>
          <w:lang w:eastAsia="nl-NL"/>
        </w:rPr>
        <w:t xml:space="preserve">na te gaan of het ontwerpdossier overeenstemt met het, door de ambtelijke commissie, goedgekeurde voorontwerpdossier. Zodra het ontwerpdossier is goedgekeurd kan de rioolbeheerder overgaan tot aanbesteding, toewijzing en uitvoering van de werken. De vertraging, </w:t>
      </w:r>
      <w:r>
        <w:rPr>
          <w:rFonts w:ascii="Times New Roman" w:hAnsi="Times New Roman"/>
          <w:sz w:val="22"/>
          <w:lang w:eastAsia="nl-NL"/>
        </w:rPr>
        <w:t xml:space="preserve">die </w:t>
      </w:r>
      <w:r w:rsidRPr="00EA5B8A">
        <w:rPr>
          <w:rFonts w:ascii="Times New Roman" w:hAnsi="Times New Roman"/>
          <w:sz w:val="22"/>
          <w:lang w:eastAsia="nl-NL"/>
        </w:rPr>
        <w:t>de dossiers, in de fases van aanbesteding, gunning en uitvoering oplopen zijn niet gerelateerd aan de subsidieprocedure, maar het gevolg van andere wetgeving. De problematieken van onteigeningen, bouwvergunningen en dergelijke meer kunnen een invloed hebben op de termijnen van uitvoering van de dossiers.</w:t>
      </w:r>
    </w:p>
    <w:p w:rsidR="00467936" w:rsidRPr="00EA5B8A" w:rsidRDefault="00467936" w:rsidP="000B2D2A">
      <w:pPr>
        <w:tabs>
          <w:tab w:val="clear" w:pos="284"/>
          <w:tab w:val="clear" w:pos="567"/>
          <w:tab w:val="clear" w:pos="851"/>
          <w:tab w:val="clear" w:pos="1134"/>
          <w:tab w:val="clear" w:pos="4253"/>
          <w:tab w:val="clear" w:pos="8278"/>
        </w:tabs>
        <w:suppressAutoHyphens w:val="0"/>
        <w:ind w:left="720"/>
        <w:jc w:val="both"/>
        <w:rPr>
          <w:rFonts w:ascii="Times New Roman" w:hAnsi="Times New Roman"/>
          <w:sz w:val="22"/>
          <w:lang w:eastAsia="nl-NL"/>
        </w:rPr>
      </w:pPr>
    </w:p>
    <w:p w:rsidR="00467936" w:rsidRPr="00EA5B8A" w:rsidRDefault="00467936" w:rsidP="000B2D2A">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EA5B8A">
        <w:rPr>
          <w:rFonts w:ascii="Times New Roman" w:hAnsi="Times New Roman"/>
          <w:sz w:val="22"/>
          <w:lang w:eastAsia="nl-NL"/>
        </w:rPr>
        <w:t xml:space="preserve">Sinds 2005 werd in het subsidiebesluit voorzien dat door de rioolbeheerder een afwijking op artikel 20 kan worden aangevraagd. Deze afwijking bestaat erin dat de rioolbeheerder de werken mag aanbesteden, gunnen en uitvoeren vóór de gouverneur zijn/haar effectieve goedkeuring voor het ontwerpdossier heeft gegeven. </w:t>
      </w:r>
      <w:r>
        <w:rPr>
          <w:rFonts w:ascii="Times New Roman" w:hAnsi="Times New Roman"/>
          <w:sz w:val="22"/>
          <w:lang w:eastAsia="nl-NL"/>
        </w:rPr>
        <w:t>D</w:t>
      </w:r>
      <w:r w:rsidRPr="00EA5B8A">
        <w:rPr>
          <w:rFonts w:ascii="Times New Roman" w:hAnsi="Times New Roman"/>
          <w:sz w:val="22"/>
          <w:lang w:eastAsia="nl-NL"/>
        </w:rPr>
        <w:t>e rioolbeheerders</w:t>
      </w:r>
      <w:r>
        <w:rPr>
          <w:rFonts w:ascii="Times New Roman" w:hAnsi="Times New Roman"/>
          <w:sz w:val="22"/>
          <w:lang w:eastAsia="nl-NL"/>
        </w:rPr>
        <w:t xml:space="preserve"> kunnen</w:t>
      </w:r>
      <w:r w:rsidRPr="00EA5B8A">
        <w:rPr>
          <w:rFonts w:ascii="Times New Roman" w:hAnsi="Times New Roman"/>
          <w:sz w:val="22"/>
          <w:lang w:eastAsia="nl-NL"/>
        </w:rPr>
        <w:t>, mits het aanvragen van een afwijking op artikel 20 de dossiers reeds administratief verder afhandelen. Mocht deze afwijking op artikel 20 er niet zijn dan zouden de rioolbeheerders moeten wachten met de indiening van het ontwerpdossier tot na de vastlegging van de subsidie, wat in een aantal gevallen een vertraging van een jaar zou betekenen. Door het toekennen van deze afwijking op artikel 20 kunnen de dossiers worden verder gezet en wordt de vertraging beperkt.</w:t>
      </w:r>
    </w:p>
    <w:sectPr w:rsidR="00467936" w:rsidRPr="00EA5B8A" w:rsidSect="00A35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97A"/>
    <w:multiLevelType w:val="hybridMultilevel"/>
    <w:tmpl w:val="7B32CCE6"/>
    <w:lvl w:ilvl="0" w:tplc="0413000F">
      <w:start w:val="1"/>
      <w:numFmt w:val="decimal"/>
      <w:lvlText w:val="%1."/>
      <w:lvlJc w:val="left"/>
      <w:pPr>
        <w:tabs>
          <w:tab w:val="num" w:pos="1440"/>
        </w:tabs>
        <w:ind w:left="1440" w:hanging="360"/>
      </w:pPr>
      <w:rPr>
        <w:rFonts w:cs="Times New Roman"/>
      </w:rPr>
    </w:lvl>
    <w:lvl w:ilvl="1" w:tplc="04130019" w:tentative="1">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1">
    <w:nsid w:val="133D4E14"/>
    <w:multiLevelType w:val="hybridMultilevel"/>
    <w:tmpl w:val="CDC22974"/>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21377FC6"/>
    <w:multiLevelType w:val="hybridMultilevel"/>
    <w:tmpl w:val="264A600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7C477229"/>
    <w:multiLevelType w:val="multilevel"/>
    <w:tmpl w:val="264A6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D2A"/>
    <w:rsid w:val="000B2D2A"/>
    <w:rsid w:val="003B5AA4"/>
    <w:rsid w:val="003F3BD3"/>
    <w:rsid w:val="00467936"/>
    <w:rsid w:val="00483902"/>
    <w:rsid w:val="0098038A"/>
    <w:rsid w:val="009F1A87"/>
    <w:rsid w:val="00A12A81"/>
    <w:rsid w:val="00A359D1"/>
    <w:rsid w:val="00CA7585"/>
    <w:rsid w:val="00CB04F4"/>
    <w:rsid w:val="00CF1FD6"/>
    <w:rsid w:val="00D84F99"/>
    <w:rsid w:val="00E436EE"/>
    <w:rsid w:val="00EA5B8A"/>
    <w:rsid w:val="00F45B3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2A"/>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B2D2A"/>
    <w:pPr>
      <w:jc w:val="center"/>
    </w:pPr>
    <w:rPr>
      <w:rFonts w:ascii="Times New Roman" w:hAnsi="Times New Roman"/>
      <w:b/>
    </w:rPr>
  </w:style>
  <w:style w:type="character" w:customStyle="1" w:styleId="TitleChar">
    <w:name w:val="Title Char"/>
    <w:basedOn w:val="DefaultParagraphFont"/>
    <w:link w:val="Title"/>
    <w:uiPriority w:val="99"/>
    <w:locked/>
    <w:rsid w:val="000B2D2A"/>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0B2D2A"/>
    <w:pPr>
      <w:jc w:val="both"/>
    </w:pPr>
    <w:rPr>
      <w:rFonts w:ascii="Times New Roman" w:hAnsi="Times New Roman"/>
      <w:sz w:val="22"/>
    </w:rPr>
  </w:style>
  <w:style w:type="paragraph" w:styleId="Subtitle">
    <w:name w:val="Subtitle"/>
    <w:basedOn w:val="Normal"/>
    <w:next w:val="Normal"/>
    <w:link w:val="SubtitleChar"/>
    <w:uiPriority w:val="99"/>
    <w:qFormat/>
    <w:rsid w:val="000B2D2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B2D2A"/>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762</Words>
  <Characters>4195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3</cp:revision>
  <cp:lastPrinted>2012-04-30T09:54:00Z</cp:lastPrinted>
  <dcterms:created xsi:type="dcterms:W3CDTF">2012-05-14T10:20:00Z</dcterms:created>
  <dcterms:modified xsi:type="dcterms:W3CDTF">2012-05-14T13:00:00Z</dcterms:modified>
</cp:coreProperties>
</file>