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9E0F05" w:rsidRPr="00DD4121" w:rsidRDefault="009E0F05"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p</w:t>
      </w:r>
      <w:r>
        <w:rPr>
          <w:noProof/>
          <w:szCs w:val="22"/>
        </w:rPr>
        <w:t>ascal smet</w:t>
      </w:r>
      <w:r>
        <w:rPr>
          <w:szCs w:val="22"/>
        </w:rPr>
        <w:fldChar w:fldCharType="end"/>
      </w:r>
      <w:bookmarkEnd w:id="0"/>
    </w:p>
    <w:bookmarkStart w:id="1" w:name="Text2"/>
    <w:p w:rsidR="009E0F05" w:rsidRPr="00015BF7" w:rsidRDefault="009E0F05"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onderwijs, jeugd, gelijke  kansen en brussel</w:t>
      </w:r>
      <w:r>
        <w:fldChar w:fldCharType="end"/>
      </w:r>
      <w:bookmarkEnd w:id="1"/>
    </w:p>
    <w:p w:rsidR="009E0F05" w:rsidRPr="00015BF7" w:rsidRDefault="009E0F05" w:rsidP="000976E9">
      <w:pPr>
        <w:rPr>
          <w:szCs w:val="22"/>
        </w:rPr>
      </w:pPr>
    </w:p>
    <w:p w:rsidR="009E0F05" w:rsidRPr="00DB41C0" w:rsidRDefault="009E0F05" w:rsidP="000976E9">
      <w:pPr>
        <w:pStyle w:val="A-Lijn"/>
      </w:pPr>
    </w:p>
    <w:p w:rsidR="009E0F05" w:rsidRDefault="009E0F05" w:rsidP="000976E9">
      <w:pPr>
        <w:pStyle w:val="A-Type"/>
        <w:sectPr w:rsidR="009E0F05">
          <w:pgSz w:w="11906" w:h="16838"/>
          <w:pgMar w:top="1417" w:right="1417" w:bottom="1417" w:left="1417" w:header="708" w:footer="708" w:gutter="0"/>
          <w:cols w:space="708"/>
          <w:rtlGutter/>
          <w:docGrid w:linePitch="360"/>
        </w:sectPr>
      </w:pPr>
    </w:p>
    <w:p w:rsidR="009E0F05" w:rsidRDefault="009E0F05" w:rsidP="003E507B">
      <w:pPr>
        <w:pStyle w:val="A-Type"/>
        <w:outlineLvl w:val="0"/>
        <w:sectPr w:rsidR="009E0F05" w:rsidSect="000976E9">
          <w:type w:val="continuous"/>
          <w:pgSz w:w="11906" w:h="16838"/>
          <w:pgMar w:top="1417" w:right="1417" w:bottom="1417" w:left="1417" w:header="708" w:footer="708" w:gutter="0"/>
          <w:cols w:space="708"/>
          <w:formProt w:val="0"/>
          <w:docGrid w:linePitch="360"/>
        </w:sectPr>
      </w:pPr>
      <w:r>
        <w:t>a</w:t>
      </w:r>
      <w:r w:rsidRPr="00E31F4D">
        <w:t>ntwoord</w:t>
      </w:r>
      <w:r>
        <w:t xml:space="preserve"> </w:t>
      </w:r>
    </w:p>
    <w:p w:rsidR="009E0F05" w:rsidRPr="00326A58" w:rsidRDefault="009E0F05" w:rsidP="000976E9">
      <w:pPr>
        <w:pStyle w:val="A-Type"/>
        <w:rPr>
          <w:b w:val="0"/>
        </w:rPr>
      </w:pPr>
      <w:r w:rsidRPr="00326A58">
        <w:rPr>
          <w:b w:val="0"/>
          <w:smallCaps w:val="0"/>
        </w:rPr>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noProof/>
        </w:rPr>
        <w:t>396</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noProof/>
        </w:rPr>
        <w:t>6</w:t>
      </w:r>
      <w:r>
        <w:rPr>
          <w:b w:val="0"/>
        </w:rPr>
        <w:fldChar w:fldCharType="end"/>
      </w:r>
      <w:bookmarkEnd w:id="3"/>
      <w:r w:rsidRPr="00326A58">
        <w:rPr>
          <w:b w:val="0"/>
        </w:rPr>
        <w:t xml:space="preserve"> </w:t>
      </w:r>
      <w:bookmarkStart w:id="4" w:name="Dropdown2"/>
      <w:r>
        <w:rPr>
          <w:b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End w:id="4"/>
      <w:r w:rsidRPr="00326A58">
        <w:rPr>
          <w:b w:val="0"/>
        </w:rPr>
        <w:t xml:space="preserve"> </w:t>
      </w:r>
      <w:bookmarkStart w:id="5" w:name="Dropdown3"/>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9E0F05" w:rsidRDefault="009E0F05"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willy segers</w:t>
      </w:r>
      <w:r w:rsidRPr="009D7043">
        <w:rPr>
          <w:rStyle w:val="AntwoordNaamMinisterChar"/>
          <w:sz w:val="22"/>
        </w:rPr>
        <w:fldChar w:fldCharType="end"/>
      </w:r>
    </w:p>
    <w:p w:rsidR="009E0F05" w:rsidRPr="00015BF7" w:rsidRDefault="009E0F05" w:rsidP="000976E9">
      <w:pPr>
        <w:rPr>
          <w:szCs w:val="22"/>
        </w:rPr>
      </w:pPr>
    </w:p>
    <w:p w:rsidR="009E0F05" w:rsidRPr="00DB41C0" w:rsidRDefault="009E0F05" w:rsidP="000976E9">
      <w:pPr>
        <w:pStyle w:val="A-Lijn"/>
      </w:pPr>
    </w:p>
    <w:p w:rsidR="009E0F05" w:rsidRPr="00DB41C0" w:rsidRDefault="009E0F05" w:rsidP="000976E9">
      <w:pPr>
        <w:pStyle w:val="A-Lijn"/>
      </w:pPr>
    </w:p>
    <w:p w:rsidR="009E0F05" w:rsidRDefault="009E0F05" w:rsidP="00DB41C0">
      <w:pPr>
        <w:sectPr w:rsidR="009E0F05" w:rsidSect="000976E9">
          <w:type w:val="continuous"/>
          <w:pgSz w:w="11906" w:h="16838"/>
          <w:pgMar w:top="1417" w:right="1417" w:bottom="1417" w:left="1417" w:header="708" w:footer="708" w:gutter="0"/>
          <w:cols w:space="708"/>
          <w:rtlGutter/>
          <w:docGrid w:linePitch="360"/>
        </w:sectPr>
      </w:pPr>
    </w:p>
    <w:p w:rsidR="009E0F05" w:rsidRDefault="009E0F05" w:rsidP="00550108">
      <w:pPr>
        <w:numPr>
          <w:ilvl w:val="0"/>
          <w:numId w:val="10"/>
        </w:numPr>
        <w:jc w:val="both"/>
      </w:pPr>
      <w:r>
        <w:t xml:space="preserve">De selectie is gebeurd in overleg met de VGC waarbij is gekeken naar timing, financiering en financiële randvoorwaarden. De meest realistische projecten werden geselecteerd. </w:t>
      </w:r>
    </w:p>
    <w:p w:rsidR="009E0F05" w:rsidRDefault="009E0F05" w:rsidP="00162F3F">
      <w:pPr>
        <w:jc w:val="both"/>
      </w:pPr>
    </w:p>
    <w:p w:rsidR="009E0F05" w:rsidRDefault="009E0F05" w:rsidP="00550108">
      <w:pPr>
        <w:numPr>
          <w:ilvl w:val="0"/>
          <w:numId w:val="10"/>
        </w:numPr>
        <w:jc w:val="both"/>
      </w:pPr>
      <w:r>
        <w:t>Niet alle 23 ingediende dossiers staan tussen de 70 Brusselse dossiers op de wachtlijst van AGIOn. De dossiers van het GO! worden immers niet gesubsidieerd via AGIOn. Het GO! beschikt over een eigen dienst Infrastructuur. Van de dossiers van het vrij en officieel gesubsidieerd onderwijs staan er 17 scholen op de wachtlijst. Deze dossiers zijn oorspronkelijk ingediend als renovatie- of nieuwbouwdossiers, maar kennen sindsdien ook een element capaciteitsuitbreiding.</w:t>
      </w:r>
      <w:r>
        <w:br/>
        <w:t>Aan twee van deze dossiers (Brussel/Fontainasplein en Ukkel) kon toen nog geen inrichtende macht worden gekoppeld zodat die toen niet als een realistisch dossier konden worden gezien en ze evenmin bij AGIOn konden worden ingediend.</w:t>
      </w:r>
    </w:p>
    <w:p w:rsidR="009E0F05" w:rsidRDefault="009E0F05" w:rsidP="00162F3F">
      <w:pPr>
        <w:jc w:val="both"/>
      </w:pPr>
    </w:p>
    <w:p w:rsidR="009E0F05" w:rsidRDefault="009E0F05" w:rsidP="00550108">
      <w:pPr>
        <w:ind w:firstLine="360"/>
        <w:jc w:val="both"/>
      </w:pPr>
      <w:r>
        <w:t>Staan niet op de wachtlijst:</w:t>
      </w:r>
    </w:p>
    <w:p w:rsidR="009E0F05" w:rsidRDefault="009E0F05" w:rsidP="00162F3F">
      <w:pPr>
        <w:jc w:val="both"/>
      </w:pPr>
    </w:p>
    <w:p w:rsidR="009E0F05" w:rsidRDefault="009E0F05" w:rsidP="00162F3F">
      <w:pPr>
        <w:numPr>
          <w:ilvl w:val="0"/>
          <w:numId w:val="5"/>
        </w:numPr>
        <w:jc w:val="both"/>
      </w:pPr>
      <w:r>
        <w:t>OGO Brussel (Klavertje Vier)</w:t>
      </w:r>
    </w:p>
    <w:p w:rsidR="009E0F05" w:rsidRDefault="009E0F05" w:rsidP="00162F3F">
      <w:pPr>
        <w:numPr>
          <w:ilvl w:val="0"/>
          <w:numId w:val="5"/>
        </w:numPr>
        <w:jc w:val="both"/>
      </w:pPr>
      <w:r>
        <w:t>OGO Brussel (Fontainasplein)</w:t>
      </w:r>
    </w:p>
    <w:p w:rsidR="009E0F05" w:rsidRDefault="009E0F05" w:rsidP="00162F3F">
      <w:pPr>
        <w:numPr>
          <w:ilvl w:val="0"/>
          <w:numId w:val="5"/>
        </w:numPr>
        <w:jc w:val="both"/>
      </w:pPr>
      <w:r>
        <w:t>OGO Sint-Joost-ten-Node (Sint-Joost-aan-Zee)</w:t>
      </w:r>
    </w:p>
    <w:p w:rsidR="009E0F05" w:rsidRDefault="009E0F05" w:rsidP="00162F3F">
      <w:pPr>
        <w:numPr>
          <w:ilvl w:val="0"/>
          <w:numId w:val="5"/>
        </w:numPr>
        <w:jc w:val="both"/>
      </w:pPr>
      <w:r>
        <w:t>OGO Ukkel (nieuwe gemeenteschool)</w:t>
      </w:r>
    </w:p>
    <w:p w:rsidR="009E0F05" w:rsidRPr="004569DB" w:rsidRDefault="009E0F05" w:rsidP="00162F3F">
      <w:pPr>
        <w:numPr>
          <w:ilvl w:val="0"/>
          <w:numId w:val="5"/>
        </w:numPr>
        <w:jc w:val="both"/>
        <w:rPr>
          <w:lang w:val="en-US"/>
        </w:rPr>
      </w:pPr>
      <w:r w:rsidRPr="004569DB">
        <w:rPr>
          <w:lang w:val="en-US"/>
        </w:rPr>
        <w:t xml:space="preserve">VGO </w:t>
      </w:r>
      <w:smartTag w:uri="urn:schemas-microsoft-com:office:smarttags" w:element="place">
        <w:r w:rsidRPr="004569DB">
          <w:rPr>
            <w:lang w:val="en-US"/>
          </w:rPr>
          <w:t>Anderlecht</w:t>
        </w:r>
      </w:smartTag>
      <w:r w:rsidRPr="004569DB">
        <w:rPr>
          <w:lang w:val="en-US"/>
        </w:rPr>
        <w:t xml:space="preserve"> (St-Guido/St-Pieter)</w:t>
      </w:r>
    </w:p>
    <w:p w:rsidR="009E0F05" w:rsidRDefault="009E0F05" w:rsidP="00162F3F">
      <w:pPr>
        <w:numPr>
          <w:ilvl w:val="0"/>
          <w:numId w:val="5"/>
        </w:numPr>
        <w:jc w:val="both"/>
      </w:pPr>
      <w:r>
        <w:t>VGO Anderlecht (Sint-Niklaasinstituut)</w:t>
      </w:r>
    </w:p>
    <w:p w:rsidR="009E0F05" w:rsidRPr="004569DB" w:rsidRDefault="009E0F05" w:rsidP="00162F3F">
      <w:pPr>
        <w:jc w:val="both"/>
        <w:rPr>
          <w:lang w:val="en-US"/>
        </w:rPr>
      </w:pPr>
    </w:p>
    <w:p w:rsidR="009E0F05" w:rsidRDefault="009E0F05" w:rsidP="00550108">
      <w:pPr>
        <w:numPr>
          <w:ilvl w:val="0"/>
          <w:numId w:val="10"/>
        </w:numPr>
        <w:jc w:val="both"/>
      </w:pPr>
      <w:r>
        <w:t xml:space="preserve">Het overleg met de Franse Gemeenschap is een belangrijke component van de aanpak van de capaciteitsproblematiek in het Brussels Hoofdstedelijk Gewest. Een overzicht van alle initiatieven over beide gemeenschappen heen is er helaas nog niet. </w:t>
      </w:r>
    </w:p>
    <w:p w:rsidR="009E0F05" w:rsidRDefault="009E0F05" w:rsidP="00162F3F">
      <w:pPr>
        <w:jc w:val="both"/>
      </w:pPr>
    </w:p>
    <w:p w:rsidR="009E0F05" w:rsidRDefault="009E0F05" w:rsidP="00550108">
      <w:pPr>
        <w:ind w:left="360"/>
        <w:jc w:val="both"/>
      </w:pPr>
      <w:r>
        <w:t>Wat betreft de definitie van Nederlandstaligen verwijs ik naar de bepalingen die via Onderwijsdecreet XX zijn ingevoerd in het decreet basisonderwijs en de codex secundair onderwijs. Bij de inschrijvingen moet aangetoond worden dat de thuistaal het Nederlands is. Daarbij is gekozen voor de piste van het diploma/getuigschrift/bewijs van kennis van het Nederlands in hoofde van één van de ouders. De ouder dient op één van volgende wijzen aan dat hij het Nederlands in voldoende mate machtig is:</w:t>
      </w:r>
    </w:p>
    <w:p w:rsidR="009E0F05" w:rsidRDefault="009E0F05" w:rsidP="00162F3F">
      <w:pPr>
        <w:jc w:val="both"/>
      </w:pPr>
    </w:p>
    <w:p w:rsidR="009E0F05" w:rsidRDefault="009E0F05" w:rsidP="00550108">
      <w:pPr>
        <w:ind w:left="360"/>
        <w:jc w:val="both"/>
      </w:pPr>
      <w:r>
        <w:t>1° door het voorleggen van minstens het Nederlandstalig diploma van secundair onderwijs of daarmee gelijkwaardig Nederlandstalig studiebewijs;</w:t>
      </w:r>
    </w:p>
    <w:p w:rsidR="009E0F05" w:rsidRDefault="009E0F05" w:rsidP="00550108">
      <w:pPr>
        <w:ind w:left="360"/>
        <w:jc w:val="both"/>
      </w:pPr>
      <w:r>
        <w:t>2° door het voorleggen van het Nederlandstalig studiegetuigschrift van het tweede leerjaar van de derde graad van het secundair onderwijs of daarmee gelijkwaardig Nederlandstalig studiebewijs;</w:t>
      </w:r>
    </w:p>
    <w:p w:rsidR="009E0F05" w:rsidRDefault="009E0F05" w:rsidP="00550108">
      <w:pPr>
        <w:ind w:left="360"/>
        <w:jc w:val="both"/>
      </w:pPr>
      <w:r>
        <w:t>3° door het voorleggen van het bewijs dat hij het Nederlands beheerst minstens op niveau B1 van het Gemeenschappelijk Europees Referentiekader voor Talen. Dit gebeurt op basis van één van volgende stukken :</w:t>
      </w:r>
    </w:p>
    <w:p w:rsidR="009E0F05" w:rsidRDefault="009E0F05" w:rsidP="00550108">
      <w:pPr>
        <w:numPr>
          <w:ilvl w:val="0"/>
          <w:numId w:val="9"/>
        </w:numPr>
        <w:ind w:left="1428"/>
        <w:jc w:val="both"/>
      </w:pPr>
      <w:r>
        <w:t>een studiebewijs van door de Gemeenschap erkend, gefinancierd of gesubsidieerd onderwijs of een daarmee gelijkwaardig Nederlandstalig studie-bewijs, dat het vereiste niveau van kennis van het Nederlands aantoont;</w:t>
      </w:r>
    </w:p>
    <w:p w:rsidR="009E0F05" w:rsidRDefault="009E0F05" w:rsidP="00550108">
      <w:pPr>
        <w:numPr>
          <w:ilvl w:val="0"/>
          <w:numId w:val="9"/>
        </w:numPr>
        <w:ind w:left="1440"/>
        <w:jc w:val="both"/>
      </w:pPr>
      <w:r>
        <w:t>een attest van niveaubepaling uitgevoerd door een Huis van het Nederlands dat het vereiste niveau van kennis van het Nederlands aantoont;</w:t>
      </w:r>
    </w:p>
    <w:p w:rsidR="009E0F05" w:rsidRDefault="009E0F05" w:rsidP="00550108">
      <w:pPr>
        <w:ind w:left="360"/>
        <w:jc w:val="both"/>
      </w:pPr>
      <w:r>
        <w:t>4° door het voorleggen van het bewijs van voldoende kennis van het Nederlands na het afleggen van een taalexamen bij het Selectiebureau van de Federale Overheid;</w:t>
      </w:r>
    </w:p>
    <w:p w:rsidR="009E0F05" w:rsidRDefault="009E0F05" w:rsidP="00550108">
      <w:pPr>
        <w:ind w:left="360"/>
        <w:jc w:val="both"/>
      </w:pPr>
      <w:r>
        <w:t>5° door het voorleggen van het bewijs dat hij 9 jaar als regelmatige leerling onderwijs heeft gevolgd in het Nederlandstalige lager én secundair onderwijs. Dit gebeurt op basis van attesten daartoe uitgereikt door de betrokken schoolbesturen.</w:t>
      </w:r>
    </w:p>
    <w:p w:rsidR="009E0F05" w:rsidRDefault="009E0F05" w:rsidP="00162F3F">
      <w:pPr>
        <w:jc w:val="both"/>
      </w:pPr>
    </w:p>
    <w:p w:rsidR="009E0F05" w:rsidRDefault="009E0F05" w:rsidP="00550108">
      <w:pPr>
        <w:ind w:left="360"/>
        <w:jc w:val="both"/>
      </w:pPr>
      <w:r>
        <w:t xml:space="preserve">Uiteraard zullen we via deze bepaling enkel beschikken over een kennis van het aantal Nederlandstaligen die zich inschrijven in een school, wat niet hetzelfde is als kennis van het aantal Nederlandstaligen die in de buurt wonen. </w:t>
      </w:r>
    </w:p>
    <w:p w:rsidR="009E0F05" w:rsidRDefault="009E0F05" w:rsidP="00162F3F">
      <w:pPr>
        <w:jc w:val="both"/>
      </w:pPr>
      <w:r>
        <w:t xml:space="preserve"> </w:t>
      </w:r>
    </w:p>
    <w:p w:rsidR="009E0F05" w:rsidRDefault="009E0F05" w:rsidP="00550108">
      <w:pPr>
        <w:numPr>
          <w:ilvl w:val="0"/>
          <w:numId w:val="10"/>
        </w:numPr>
        <w:jc w:val="both"/>
      </w:pPr>
      <w:r>
        <w:t xml:space="preserve">De volledige tekst op de website gaat als volgt: </w:t>
      </w:r>
    </w:p>
    <w:p w:rsidR="009E0F05" w:rsidRDefault="009E0F05" w:rsidP="00162F3F">
      <w:pPr>
        <w:jc w:val="both"/>
      </w:pPr>
    </w:p>
    <w:p w:rsidR="009E0F05" w:rsidRPr="004569DB" w:rsidRDefault="009E0F05" w:rsidP="00550108">
      <w:pPr>
        <w:ind w:left="360"/>
        <w:jc w:val="both"/>
        <w:rPr>
          <w:i/>
        </w:rPr>
      </w:pPr>
      <w:r w:rsidRPr="004569DB">
        <w:rPr>
          <w:i/>
        </w:rPr>
        <w:t xml:space="preserve">“In september 2011 leverden deze projecten al bijna 400 plaatsen op in het Nederlandstalig basisonderwijs. Eens in volle ontplooiing zouden de 10 projecten nog eens 1.410 extra plaatsen moeten creëren, wat neerkomt op een totaal van meer dan 2.000 extra plaatsen. Vanuit de Vlaamse regering werd 18 miljoen euro vrijgemaakt voor de capaciteitsaanpak in Brussel: 8 miljoen euro voor de projecten in het basisonderwijs en 10 miljoen euro voor een nijverheidstechnische school in Anderlecht.” </w:t>
      </w:r>
    </w:p>
    <w:p w:rsidR="009E0F05" w:rsidRDefault="009E0F05" w:rsidP="00550108">
      <w:pPr>
        <w:jc w:val="both"/>
      </w:pPr>
    </w:p>
    <w:p w:rsidR="009E0F05" w:rsidRDefault="009E0F05" w:rsidP="00550108">
      <w:pPr>
        <w:ind w:left="360"/>
        <w:jc w:val="both"/>
      </w:pPr>
      <w:r>
        <w:t xml:space="preserve">Het verschil tussen het aantal bijkomende plaatsen (2000 tegenover 1800), is te verklaren doordat het dossier van de nijverheidstechnische secundaire school Nellie Melba in Anderlecht opgenomen is voor subsidiëring na de selectie van en de communicatie over de 9 projecten in mei 2011. </w:t>
      </w:r>
      <w:bookmarkStart w:id="6" w:name="_GoBack"/>
      <w:bookmarkEnd w:id="6"/>
    </w:p>
    <w:p w:rsidR="009E0F05" w:rsidRDefault="009E0F05" w:rsidP="00162F3F">
      <w:pPr>
        <w:jc w:val="both"/>
      </w:pPr>
    </w:p>
    <w:p w:rsidR="009E0F05" w:rsidRDefault="009E0F05" w:rsidP="00550108">
      <w:pPr>
        <w:numPr>
          <w:ilvl w:val="0"/>
          <w:numId w:val="10"/>
        </w:numPr>
        <w:jc w:val="both"/>
      </w:pPr>
      <w:r>
        <w:t xml:space="preserve">Voor informatie over deze projecten kan best contact opgenomen worden met de VGC. Onderstaande informatie is dan ook bij hen opgevraagd. </w:t>
      </w:r>
    </w:p>
    <w:p w:rsidR="009E0F05" w:rsidRDefault="009E0F05" w:rsidP="00162F3F">
      <w:pPr>
        <w:jc w:val="both"/>
      </w:pPr>
    </w:p>
    <w:p w:rsidR="009E0F05" w:rsidRDefault="009E0F05" w:rsidP="00550108">
      <w:pPr>
        <w:ind w:left="360"/>
        <w:jc w:val="both"/>
      </w:pPr>
      <w:r>
        <w:t>Het Brussels Hoofdstedelijk Gewest heeft een oproep gelanceerd (mei 2011) voor een éénmalige subsidiëring van scholen voor capaciteitsuitbreiding tegen 1 september 2012. Hier nam de VGC de regierol op voor de selectie en de opvolging van de projecten. Het Gewest en de VGC hebben zeven projecten geselecteerd (november 2011) uit het Nederlandstalig basisonderwijs. Deze projecten zullen resulteren in 951 extra plaatsen, waarvan 270 op 1 september 2012. De dossiers staan allemaal op de lijst van 23 scholen die overgemaakt is aan de Vlaamse Gemeenschap. De stand van zaken van deze dossiers is als volgt:</w:t>
      </w:r>
    </w:p>
    <w:p w:rsidR="009E0F05" w:rsidRDefault="009E0F05" w:rsidP="00550108">
      <w:pPr>
        <w:jc w:val="both"/>
      </w:pPr>
    </w:p>
    <w:p w:rsidR="009E0F05" w:rsidRDefault="009E0F05" w:rsidP="00550108">
      <w:pPr>
        <w:numPr>
          <w:ilvl w:val="0"/>
          <w:numId w:val="6"/>
        </w:numPr>
        <w:ind w:left="720"/>
        <w:jc w:val="both"/>
      </w:pPr>
      <w:r>
        <w:t xml:space="preserve">Op de Heilig-Hartschool in Jette zijn de tijdelijke modulaire klasjes al in gebruik. </w:t>
      </w:r>
    </w:p>
    <w:p w:rsidR="009E0F05" w:rsidRDefault="009E0F05" w:rsidP="00550108">
      <w:pPr>
        <w:numPr>
          <w:ilvl w:val="0"/>
          <w:numId w:val="6"/>
        </w:numPr>
        <w:ind w:left="720"/>
        <w:jc w:val="both"/>
      </w:pPr>
      <w:r>
        <w:t xml:space="preserve">In de Sint-Jozefsschool in Watermaal-Bosvoorde zijn de renovatiewerken aan de gang. </w:t>
      </w:r>
    </w:p>
    <w:p w:rsidR="009E0F05" w:rsidRDefault="009E0F05" w:rsidP="00550108">
      <w:pPr>
        <w:numPr>
          <w:ilvl w:val="0"/>
          <w:numId w:val="6"/>
        </w:numPr>
        <w:ind w:left="720"/>
        <w:jc w:val="both"/>
      </w:pPr>
      <w:r>
        <w:t>Bij de overige scholen (Kleine Geuzen in Jette, ’t Klavertjevier in Brussel, St-Lukas in Schaarbeek, St-Niklaasinstituut in Anderlecht en Kristus-Koning Assumpta in Neder-Over-Heembeek) gaat het om grotere verbouw- of nieuwbouwdossiers. Hier lopen de aanbestedingsprocedures. Er is regelmatig overleg van de VGC met de diensten van het Brussels Hoofdstedelijk Gewest om de dossiers op te volgen en om te proberen mogelijke problemen (met attesten brandweer, stedenbouwkundige vergunningen …) te op te lossen.</w:t>
      </w:r>
    </w:p>
    <w:p w:rsidR="009E0F05" w:rsidRDefault="009E0F05" w:rsidP="00550108">
      <w:pPr>
        <w:ind w:left="360"/>
        <w:jc w:val="both"/>
      </w:pPr>
      <w:r>
        <w:t>De timing voor de realisatie van deze dossiers is krap, maar wordt door de administratie van de VGC van zeer kortbij opgevolgd. Desondanks blijft 1 september 2012 het streefdoel voor de realisatie van alle dossiers.</w:t>
      </w:r>
    </w:p>
    <w:sectPr w:rsidR="009E0F05"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F40AE"/>
    <w:multiLevelType w:val="hybridMultilevel"/>
    <w:tmpl w:val="197C1E9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3DEB2781"/>
    <w:multiLevelType w:val="hybridMultilevel"/>
    <w:tmpl w:val="551A1D52"/>
    <w:lvl w:ilvl="0" w:tplc="04130019">
      <w:start w:val="1"/>
      <w:numFmt w:val="lowerLetter"/>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46D80E85"/>
    <w:multiLevelType w:val="hybridMultilevel"/>
    <w:tmpl w:val="7D72F6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4156265"/>
    <w:multiLevelType w:val="hybridMultilevel"/>
    <w:tmpl w:val="D1B22598"/>
    <w:lvl w:ilvl="0" w:tplc="AB124DD0">
      <w:numFmt w:val="bullet"/>
      <w:lvlText w:val="-"/>
      <w:lvlJc w:val="left"/>
      <w:pPr>
        <w:ind w:left="720" w:hanging="360"/>
      </w:pPr>
      <w:rPr>
        <w:rFonts w:ascii="Times New Roman" w:eastAsia="Times New Roman" w:hAnsi="Times New Roman" w:hint="default"/>
      </w:rPr>
    </w:lvl>
    <w:lvl w:ilvl="1" w:tplc="0413000F">
      <w:start w:val="1"/>
      <w:numFmt w:val="decimal"/>
      <w:lvlText w:val="%2."/>
      <w:lvlJc w:val="left"/>
      <w:pPr>
        <w:tabs>
          <w:tab w:val="num" w:pos="1440"/>
        </w:tabs>
        <w:ind w:left="1440" w:hanging="360"/>
      </w:pPr>
      <w:rPr>
        <w:rFonts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4836CD2"/>
    <w:multiLevelType w:val="hybridMultilevel"/>
    <w:tmpl w:val="1966AEA2"/>
    <w:lvl w:ilvl="0" w:tplc="0813001B">
      <w:start w:val="1"/>
      <w:numFmt w:val="lowerRoman"/>
      <w:lvlText w:val="%1."/>
      <w:lvlJc w:val="right"/>
      <w:pPr>
        <w:ind w:left="1776" w:hanging="360"/>
      </w:pPr>
      <w:rPr>
        <w:rFonts w:cs="Times New Roman" w:hint="default"/>
      </w:rPr>
    </w:lvl>
    <w:lvl w:ilvl="1" w:tplc="08130003" w:tentative="1">
      <w:start w:val="1"/>
      <w:numFmt w:val="bullet"/>
      <w:lvlText w:val="o"/>
      <w:lvlJc w:val="left"/>
      <w:pPr>
        <w:ind w:left="2496" w:hanging="360"/>
      </w:pPr>
      <w:rPr>
        <w:rFonts w:ascii="Courier New" w:hAnsi="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nsid w:val="5EEE0BFF"/>
    <w:multiLevelType w:val="hybridMultilevel"/>
    <w:tmpl w:val="B72CC5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7">
    <w:nsid w:val="68ED07B3"/>
    <w:multiLevelType w:val="hybridMultilevel"/>
    <w:tmpl w:val="377C0AF4"/>
    <w:lvl w:ilvl="0" w:tplc="AB124DD0">
      <w:numFmt w:val="bullet"/>
      <w:lvlText w:val="-"/>
      <w:lvlJc w:val="left"/>
      <w:pPr>
        <w:ind w:left="1065" w:hanging="360"/>
      </w:pPr>
      <w:rPr>
        <w:rFonts w:ascii="Times New Roman" w:eastAsia="Times New Roman" w:hAnsi="Times New Roman" w:hint="default"/>
      </w:rPr>
    </w:lvl>
    <w:lvl w:ilvl="1" w:tplc="08130003" w:tentative="1">
      <w:start w:val="1"/>
      <w:numFmt w:val="bullet"/>
      <w:lvlText w:val="o"/>
      <w:lvlJc w:val="left"/>
      <w:pPr>
        <w:ind w:left="1785" w:hanging="360"/>
      </w:pPr>
      <w:rPr>
        <w:rFonts w:ascii="Courier New" w:hAnsi="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8">
    <w:nsid w:val="6BD92589"/>
    <w:multiLevelType w:val="hybridMultilevel"/>
    <w:tmpl w:val="621E8E36"/>
    <w:lvl w:ilvl="0" w:tplc="AB124DD0">
      <w:numFmt w:val="bullet"/>
      <w:lvlText w:val="-"/>
      <w:lvlJc w:val="left"/>
      <w:pPr>
        <w:ind w:left="2856" w:hanging="360"/>
      </w:pPr>
      <w:rPr>
        <w:rFonts w:ascii="Times New Roman" w:eastAsia="Times New Roman" w:hAnsi="Times New Roman" w:hint="default"/>
      </w:rPr>
    </w:lvl>
    <w:lvl w:ilvl="1" w:tplc="08130003" w:tentative="1">
      <w:start w:val="1"/>
      <w:numFmt w:val="bullet"/>
      <w:lvlText w:val="o"/>
      <w:lvlJc w:val="left"/>
      <w:pPr>
        <w:ind w:left="3576" w:hanging="360"/>
      </w:pPr>
      <w:rPr>
        <w:rFonts w:ascii="Courier New" w:hAnsi="Courier New" w:hint="default"/>
      </w:rPr>
    </w:lvl>
    <w:lvl w:ilvl="2" w:tplc="08130005" w:tentative="1">
      <w:start w:val="1"/>
      <w:numFmt w:val="bullet"/>
      <w:lvlText w:val=""/>
      <w:lvlJc w:val="left"/>
      <w:pPr>
        <w:ind w:left="4296" w:hanging="360"/>
      </w:pPr>
      <w:rPr>
        <w:rFonts w:ascii="Wingdings" w:hAnsi="Wingdings" w:hint="default"/>
      </w:rPr>
    </w:lvl>
    <w:lvl w:ilvl="3" w:tplc="08130001" w:tentative="1">
      <w:start w:val="1"/>
      <w:numFmt w:val="bullet"/>
      <w:lvlText w:val=""/>
      <w:lvlJc w:val="left"/>
      <w:pPr>
        <w:ind w:left="5016" w:hanging="360"/>
      </w:pPr>
      <w:rPr>
        <w:rFonts w:ascii="Symbol" w:hAnsi="Symbol" w:hint="default"/>
      </w:rPr>
    </w:lvl>
    <w:lvl w:ilvl="4" w:tplc="08130003" w:tentative="1">
      <w:start w:val="1"/>
      <w:numFmt w:val="bullet"/>
      <w:lvlText w:val="o"/>
      <w:lvlJc w:val="left"/>
      <w:pPr>
        <w:ind w:left="5736" w:hanging="360"/>
      </w:pPr>
      <w:rPr>
        <w:rFonts w:ascii="Courier New" w:hAnsi="Courier New" w:hint="default"/>
      </w:rPr>
    </w:lvl>
    <w:lvl w:ilvl="5" w:tplc="08130005" w:tentative="1">
      <w:start w:val="1"/>
      <w:numFmt w:val="bullet"/>
      <w:lvlText w:val=""/>
      <w:lvlJc w:val="left"/>
      <w:pPr>
        <w:ind w:left="6456" w:hanging="360"/>
      </w:pPr>
      <w:rPr>
        <w:rFonts w:ascii="Wingdings" w:hAnsi="Wingdings" w:hint="default"/>
      </w:rPr>
    </w:lvl>
    <w:lvl w:ilvl="6" w:tplc="08130001" w:tentative="1">
      <w:start w:val="1"/>
      <w:numFmt w:val="bullet"/>
      <w:lvlText w:val=""/>
      <w:lvlJc w:val="left"/>
      <w:pPr>
        <w:ind w:left="7176" w:hanging="360"/>
      </w:pPr>
      <w:rPr>
        <w:rFonts w:ascii="Symbol" w:hAnsi="Symbol" w:hint="default"/>
      </w:rPr>
    </w:lvl>
    <w:lvl w:ilvl="7" w:tplc="08130003" w:tentative="1">
      <w:start w:val="1"/>
      <w:numFmt w:val="bullet"/>
      <w:lvlText w:val="o"/>
      <w:lvlJc w:val="left"/>
      <w:pPr>
        <w:ind w:left="7896" w:hanging="360"/>
      </w:pPr>
      <w:rPr>
        <w:rFonts w:ascii="Courier New" w:hAnsi="Courier New" w:hint="default"/>
      </w:rPr>
    </w:lvl>
    <w:lvl w:ilvl="8" w:tplc="08130005" w:tentative="1">
      <w:start w:val="1"/>
      <w:numFmt w:val="bullet"/>
      <w:lvlText w:val=""/>
      <w:lvlJc w:val="left"/>
      <w:pPr>
        <w:ind w:left="8616" w:hanging="360"/>
      </w:pPr>
      <w:rPr>
        <w:rFonts w:ascii="Wingdings" w:hAnsi="Wingdings" w:hint="default"/>
      </w:rPr>
    </w:lvl>
  </w:abstractNum>
  <w:abstractNum w:abstractNumId="9">
    <w:nsid w:val="717B518D"/>
    <w:multiLevelType w:val="hybridMultilevel"/>
    <w:tmpl w:val="53C65FF2"/>
    <w:lvl w:ilvl="0" w:tplc="47E6B410">
      <w:start w:val="1"/>
      <w:numFmt w:val="lowerRoman"/>
      <w:lvlText w:val="%1."/>
      <w:lvlJc w:val="left"/>
      <w:pPr>
        <w:ind w:left="2136" w:hanging="720"/>
      </w:pPr>
      <w:rPr>
        <w:rFonts w:cs="Times New Roman" w:hint="default"/>
      </w:rPr>
    </w:lvl>
    <w:lvl w:ilvl="1" w:tplc="08130019" w:tentative="1">
      <w:start w:val="1"/>
      <w:numFmt w:val="lowerLetter"/>
      <w:lvlText w:val="%2."/>
      <w:lvlJc w:val="left"/>
      <w:pPr>
        <w:ind w:left="2496" w:hanging="360"/>
      </w:pPr>
      <w:rPr>
        <w:rFonts w:cs="Times New Roman"/>
      </w:rPr>
    </w:lvl>
    <w:lvl w:ilvl="2" w:tplc="0813001B" w:tentative="1">
      <w:start w:val="1"/>
      <w:numFmt w:val="lowerRoman"/>
      <w:lvlText w:val="%3."/>
      <w:lvlJc w:val="right"/>
      <w:pPr>
        <w:ind w:left="3216" w:hanging="180"/>
      </w:pPr>
      <w:rPr>
        <w:rFonts w:cs="Times New Roman"/>
      </w:rPr>
    </w:lvl>
    <w:lvl w:ilvl="3" w:tplc="0813000F" w:tentative="1">
      <w:start w:val="1"/>
      <w:numFmt w:val="decimal"/>
      <w:lvlText w:val="%4."/>
      <w:lvlJc w:val="left"/>
      <w:pPr>
        <w:ind w:left="3936" w:hanging="360"/>
      </w:pPr>
      <w:rPr>
        <w:rFonts w:cs="Times New Roman"/>
      </w:rPr>
    </w:lvl>
    <w:lvl w:ilvl="4" w:tplc="08130019" w:tentative="1">
      <w:start w:val="1"/>
      <w:numFmt w:val="lowerLetter"/>
      <w:lvlText w:val="%5."/>
      <w:lvlJc w:val="left"/>
      <w:pPr>
        <w:ind w:left="4656" w:hanging="360"/>
      </w:pPr>
      <w:rPr>
        <w:rFonts w:cs="Times New Roman"/>
      </w:rPr>
    </w:lvl>
    <w:lvl w:ilvl="5" w:tplc="0813001B" w:tentative="1">
      <w:start w:val="1"/>
      <w:numFmt w:val="lowerRoman"/>
      <w:lvlText w:val="%6."/>
      <w:lvlJc w:val="right"/>
      <w:pPr>
        <w:ind w:left="5376" w:hanging="180"/>
      </w:pPr>
      <w:rPr>
        <w:rFonts w:cs="Times New Roman"/>
      </w:rPr>
    </w:lvl>
    <w:lvl w:ilvl="6" w:tplc="0813000F" w:tentative="1">
      <w:start w:val="1"/>
      <w:numFmt w:val="decimal"/>
      <w:lvlText w:val="%7."/>
      <w:lvlJc w:val="left"/>
      <w:pPr>
        <w:ind w:left="6096" w:hanging="360"/>
      </w:pPr>
      <w:rPr>
        <w:rFonts w:cs="Times New Roman"/>
      </w:rPr>
    </w:lvl>
    <w:lvl w:ilvl="7" w:tplc="08130019" w:tentative="1">
      <w:start w:val="1"/>
      <w:numFmt w:val="lowerLetter"/>
      <w:lvlText w:val="%8."/>
      <w:lvlJc w:val="left"/>
      <w:pPr>
        <w:ind w:left="6816" w:hanging="360"/>
      </w:pPr>
      <w:rPr>
        <w:rFonts w:cs="Times New Roman"/>
      </w:rPr>
    </w:lvl>
    <w:lvl w:ilvl="8" w:tplc="0813001B" w:tentative="1">
      <w:start w:val="1"/>
      <w:numFmt w:val="lowerRoman"/>
      <w:lvlText w:val="%9."/>
      <w:lvlJc w:val="right"/>
      <w:pPr>
        <w:ind w:left="7536" w:hanging="180"/>
      </w:pPr>
      <w:rPr>
        <w:rFonts w:cs="Times New Roman"/>
      </w:rPr>
    </w:lvl>
  </w:abstractNum>
  <w:num w:numId="1">
    <w:abstractNumId w:val="6"/>
  </w:num>
  <w:num w:numId="2">
    <w:abstractNumId w:val="6"/>
  </w:num>
  <w:num w:numId="3">
    <w:abstractNumId w:val="2"/>
  </w:num>
  <w:num w:numId="4">
    <w:abstractNumId w:val="5"/>
  </w:num>
  <w:num w:numId="5">
    <w:abstractNumId w:val="3"/>
  </w:num>
  <w:num w:numId="6">
    <w:abstractNumId w:val="7"/>
  </w:num>
  <w:num w:numId="7">
    <w:abstractNumId w:val="9"/>
  </w:num>
  <w:num w:numId="8">
    <w:abstractNumId w:val="8"/>
  </w:num>
  <w:num w:numId="9">
    <w:abstractNumId w:val="4"/>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15BF7"/>
    <w:rsid w:val="000430D1"/>
    <w:rsid w:val="000976E9"/>
    <w:rsid w:val="000C4E8C"/>
    <w:rsid w:val="000F3532"/>
    <w:rsid w:val="00162F3F"/>
    <w:rsid w:val="001D2C12"/>
    <w:rsid w:val="00210C07"/>
    <w:rsid w:val="00307F45"/>
    <w:rsid w:val="00326A58"/>
    <w:rsid w:val="003E507B"/>
    <w:rsid w:val="004569DB"/>
    <w:rsid w:val="004D0C49"/>
    <w:rsid w:val="00550108"/>
    <w:rsid w:val="005E38CA"/>
    <w:rsid w:val="00626447"/>
    <w:rsid w:val="006563FB"/>
    <w:rsid w:val="006A3C87"/>
    <w:rsid w:val="0071248C"/>
    <w:rsid w:val="007252C7"/>
    <w:rsid w:val="00860AC8"/>
    <w:rsid w:val="008D1BFB"/>
    <w:rsid w:val="008D5DB4"/>
    <w:rsid w:val="009347E0"/>
    <w:rsid w:val="0093558D"/>
    <w:rsid w:val="009D7043"/>
    <w:rsid w:val="009E0F05"/>
    <w:rsid w:val="00B21B45"/>
    <w:rsid w:val="00B45EB2"/>
    <w:rsid w:val="00BE425A"/>
    <w:rsid w:val="00C74D96"/>
    <w:rsid w:val="00C91441"/>
    <w:rsid w:val="00D16917"/>
    <w:rsid w:val="00D71D99"/>
    <w:rsid w:val="00D754F2"/>
    <w:rsid w:val="00DB41C0"/>
    <w:rsid w:val="00DC4DB6"/>
    <w:rsid w:val="00DD4121"/>
    <w:rsid w:val="00E0587A"/>
    <w:rsid w:val="00E16126"/>
    <w:rsid w:val="00E31F4D"/>
    <w:rsid w:val="00E55200"/>
    <w:rsid w:val="00E85C8D"/>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BA6"/>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742BA6"/>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742BA6"/>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E50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42BA6"/>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742BA6"/>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2</Pages>
  <Words>939</Words>
  <Characters>5167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2012-03-30T14:44:00Z</cp:lastPrinted>
  <dcterms:created xsi:type="dcterms:W3CDTF">2012-04-06T13:07:00Z</dcterms:created>
  <dcterms:modified xsi:type="dcterms:W3CDTF">2012-04-06T13:09:00Z</dcterms:modified>
</cp:coreProperties>
</file>