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3A" w:rsidRDefault="00D5583A" w:rsidP="0094211D">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philippe muyters</w:t>
      </w:r>
      <w:r>
        <w:rPr>
          <w:rFonts w:ascii="Times New Roman Vet" w:hAnsi="Times New Roman Vet"/>
          <w:smallCaps/>
          <w:sz w:val="22"/>
          <w:szCs w:val="22"/>
          <w:lang w:val="nl-BE"/>
        </w:rPr>
        <w:t xml:space="preserve"> </w:t>
      </w:r>
    </w:p>
    <w:p w:rsidR="00D5583A" w:rsidRDefault="00D5583A" w:rsidP="0094211D">
      <w:pPr>
        <w:jc w:val="both"/>
        <w:outlineLvl w:val="0"/>
        <w:rPr>
          <w:b/>
          <w:smallCaps/>
          <w:sz w:val="22"/>
          <w:szCs w:val="22"/>
          <w:lang w:val="nl-BE"/>
        </w:rPr>
      </w:pPr>
      <w:r>
        <w:rPr>
          <w:smallCaps/>
          <w:sz w:val="22"/>
          <w:szCs w:val="22"/>
          <w:lang w:val="nl-BE"/>
        </w:rPr>
        <w:t>vlaams minister van financiën, begroting, werk, ruimtelijke ordening en sport</w:t>
      </w:r>
      <w:r>
        <w:rPr>
          <w:b/>
          <w:smallCaps/>
          <w:sz w:val="22"/>
          <w:szCs w:val="22"/>
          <w:lang w:val="nl-BE"/>
        </w:rPr>
        <w:t xml:space="preserve"> </w:t>
      </w:r>
    </w:p>
    <w:p w:rsidR="00D5583A" w:rsidRPr="00D53E28" w:rsidRDefault="00D5583A" w:rsidP="0094211D">
      <w:pPr>
        <w:pStyle w:val="StandaardSV"/>
        <w:pBdr>
          <w:bottom w:val="single" w:sz="4" w:space="1" w:color="auto"/>
        </w:pBdr>
        <w:rPr>
          <w:rFonts w:ascii="Times New Roman" w:hAnsi="Times New Roman"/>
          <w:szCs w:val="20"/>
          <w:lang w:val="nl-BE"/>
        </w:rPr>
      </w:pPr>
    </w:p>
    <w:p w:rsidR="00D5583A" w:rsidRDefault="00D5583A" w:rsidP="0094211D">
      <w:pPr>
        <w:jc w:val="both"/>
        <w:rPr>
          <w:sz w:val="22"/>
        </w:rPr>
      </w:pPr>
    </w:p>
    <w:p w:rsidR="00D5583A" w:rsidRPr="00D53E28" w:rsidRDefault="00D5583A" w:rsidP="0094211D">
      <w:pPr>
        <w:jc w:val="both"/>
        <w:outlineLvl w:val="0"/>
        <w:rPr>
          <w:rFonts w:ascii="Times New Roman Vet" w:hAnsi="Times New Roman Vet"/>
          <w:b/>
          <w:smallCaps/>
          <w:sz w:val="22"/>
        </w:rPr>
      </w:pPr>
      <w:r>
        <w:rPr>
          <w:rFonts w:ascii="Times New Roman Vet" w:hAnsi="Times New Roman Vet"/>
          <w:b/>
          <w:smallCaps/>
          <w:sz w:val="22"/>
        </w:rPr>
        <w:t>antwoord</w:t>
      </w:r>
    </w:p>
    <w:p w:rsidR="00D5583A" w:rsidRDefault="00D5583A" w:rsidP="00D53E28">
      <w:pPr>
        <w:jc w:val="both"/>
        <w:outlineLvl w:val="0"/>
        <w:rPr>
          <w:sz w:val="22"/>
        </w:rPr>
      </w:pPr>
      <w:r>
        <w:rPr>
          <w:sz w:val="22"/>
        </w:rPr>
        <w:t>op vraag nr. 277 van 12 januari 2012</w:t>
      </w:r>
    </w:p>
    <w:p w:rsidR="00D5583A" w:rsidRDefault="00D5583A" w:rsidP="0094211D">
      <w:pPr>
        <w:jc w:val="both"/>
        <w:rPr>
          <w:b/>
          <w:sz w:val="22"/>
        </w:rPr>
      </w:pPr>
      <w:r>
        <w:rPr>
          <w:sz w:val="22"/>
        </w:rPr>
        <w:t xml:space="preserve">van </w:t>
      </w:r>
      <w:r>
        <w:rPr>
          <w:b/>
          <w:smallCaps/>
          <w:sz w:val="22"/>
        </w:rPr>
        <w:t>willy segers</w:t>
      </w:r>
    </w:p>
    <w:p w:rsidR="00D5583A" w:rsidRDefault="00D5583A" w:rsidP="0094211D">
      <w:pPr>
        <w:pBdr>
          <w:bottom w:val="single" w:sz="4" w:space="1" w:color="auto"/>
        </w:pBdr>
        <w:jc w:val="both"/>
        <w:rPr>
          <w:sz w:val="22"/>
        </w:rPr>
      </w:pPr>
    </w:p>
    <w:p w:rsidR="00D5583A" w:rsidRPr="00D53E28" w:rsidRDefault="00D5583A" w:rsidP="0094211D">
      <w:pPr>
        <w:pStyle w:val="StandaardSV"/>
        <w:rPr>
          <w:rFonts w:ascii="Times New Roman" w:hAnsi="Times New Roman"/>
        </w:rPr>
      </w:pPr>
    </w:p>
    <w:p w:rsidR="00D5583A" w:rsidRDefault="00D5583A" w:rsidP="0094211D">
      <w:pPr>
        <w:pStyle w:val="SVTitel"/>
      </w:pPr>
    </w:p>
    <w:p w:rsidR="00D5583A" w:rsidRDefault="00D5583A" w:rsidP="00D53E28">
      <w:pPr>
        <w:pStyle w:val="ListNumber"/>
        <w:numPr>
          <w:ilvl w:val="0"/>
          <w:numId w:val="5"/>
        </w:numPr>
        <w:tabs>
          <w:tab w:val="left" w:pos="360"/>
        </w:tabs>
        <w:jc w:val="both"/>
      </w:pPr>
      <w:r>
        <w:t>Wat controles van de Vlaamse Gemeenschap op Brusselse sporters betreft dient vooraf het volgende te worden vermeld:</w:t>
      </w:r>
    </w:p>
    <w:p w:rsidR="00D5583A" w:rsidRDefault="00D5583A" w:rsidP="00D53E28">
      <w:pPr>
        <w:pStyle w:val="ListNumber"/>
        <w:numPr>
          <w:ilvl w:val="1"/>
          <w:numId w:val="5"/>
        </w:numPr>
        <w:tabs>
          <w:tab w:val="left" w:pos="708"/>
        </w:tabs>
        <w:ind w:left="720"/>
        <w:jc w:val="both"/>
      </w:pPr>
      <w:r>
        <w:t>Onder “Brusselse sporters” worden sporters met woonplaats in het Brussels Hoofdstedelijk Gewest bedoeld.</w:t>
      </w:r>
    </w:p>
    <w:p w:rsidR="00D5583A" w:rsidRDefault="00D5583A" w:rsidP="00D53E28">
      <w:pPr>
        <w:pStyle w:val="ListNumber"/>
        <w:numPr>
          <w:ilvl w:val="1"/>
          <w:numId w:val="5"/>
        </w:numPr>
        <w:tabs>
          <w:tab w:val="left" w:pos="708"/>
        </w:tabs>
        <w:ind w:left="720"/>
        <w:jc w:val="both"/>
      </w:pPr>
      <w:r>
        <w:t>Deze sporters kunnen zowel gecontroleerd zijn in het Vlaamse Gewest, als tijdens sportmanifestaties van Vlaamse verenigingen in het Brussels Hoofdstedelijk Gewest.</w:t>
      </w:r>
    </w:p>
    <w:p w:rsidR="00D5583A" w:rsidRDefault="00D5583A" w:rsidP="00D53E28">
      <w:pPr>
        <w:pStyle w:val="ListNumber"/>
        <w:numPr>
          <w:ilvl w:val="1"/>
          <w:numId w:val="5"/>
        </w:numPr>
        <w:tabs>
          <w:tab w:val="left" w:pos="708"/>
        </w:tabs>
        <w:ind w:left="720"/>
        <w:jc w:val="both"/>
      </w:pPr>
      <w:r>
        <w:t>De term “positief” wordt niet meer gebruikt sinds de WADA Code in werking trad. Als na analyse verboden stoffen worden aangetroffen in het monster van een sporter, wordt nu gesproken over een “afwijkend analyseresultaat”.</w:t>
      </w:r>
    </w:p>
    <w:p w:rsidR="00D5583A" w:rsidRDefault="00D5583A" w:rsidP="004945E4">
      <w:pPr>
        <w:pStyle w:val="ListNumber"/>
        <w:numPr>
          <w:ilvl w:val="0"/>
          <w:numId w:val="0"/>
        </w:numPr>
        <w:tabs>
          <w:tab w:val="left" w:pos="708"/>
        </w:tabs>
        <w:ind w:left="357" w:hanging="357"/>
      </w:pPr>
    </w:p>
    <w:p w:rsidR="00D5583A" w:rsidRDefault="00D5583A" w:rsidP="00D53E28">
      <w:pPr>
        <w:pStyle w:val="ListNumber"/>
        <w:numPr>
          <w:ilvl w:val="0"/>
          <w:numId w:val="0"/>
        </w:numPr>
        <w:tabs>
          <w:tab w:val="left" w:pos="360"/>
        </w:tabs>
        <w:ind w:left="360"/>
      </w:pPr>
      <w:r>
        <w:t>Gecontroleerde Brusselse sporters:</w:t>
      </w:r>
    </w:p>
    <w:p w:rsidR="00D5583A" w:rsidRDefault="00D5583A" w:rsidP="004945E4">
      <w:pPr>
        <w:pStyle w:val="ListNumber"/>
        <w:numPr>
          <w:ilvl w:val="0"/>
          <w:numId w:val="0"/>
        </w:numPr>
        <w:tabs>
          <w:tab w:val="left" w:pos="708"/>
        </w:tabs>
        <w:ind w:left="357" w:hanging="357"/>
      </w:pPr>
    </w:p>
    <w:tbl>
      <w:tblPr>
        <w:tblW w:w="7879" w:type="dxa"/>
        <w:tblInd w:w="1195" w:type="dxa"/>
        <w:tblCellMar>
          <w:left w:w="70" w:type="dxa"/>
          <w:right w:w="70" w:type="dxa"/>
        </w:tblCellMar>
        <w:tblLook w:val="00A0"/>
      </w:tblPr>
      <w:tblGrid>
        <w:gridCol w:w="767"/>
        <w:gridCol w:w="780"/>
        <w:gridCol w:w="1167"/>
        <w:gridCol w:w="4995"/>
        <w:gridCol w:w="215"/>
      </w:tblGrid>
      <w:tr w:rsidR="00D5583A" w:rsidRPr="004945E4" w:rsidTr="004945E4">
        <w:trPr>
          <w:trHeight w:val="305"/>
        </w:trPr>
        <w:tc>
          <w:tcPr>
            <w:tcW w:w="767" w:type="dxa"/>
            <w:tcBorders>
              <w:top w:val="single" w:sz="4" w:space="0" w:color="auto"/>
              <w:left w:val="single" w:sz="4" w:space="0" w:color="auto"/>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 </w:t>
            </w:r>
          </w:p>
        </w:tc>
        <w:tc>
          <w:tcPr>
            <w:tcW w:w="767" w:type="dxa"/>
            <w:tcBorders>
              <w:top w:val="single" w:sz="4" w:space="0" w:color="auto"/>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Aantal</w:t>
            </w:r>
          </w:p>
        </w:tc>
        <w:tc>
          <w:tcPr>
            <w:tcW w:w="1135" w:type="dxa"/>
            <w:tcBorders>
              <w:top w:val="single" w:sz="4" w:space="0" w:color="auto"/>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Afwijkend</w:t>
            </w:r>
          </w:p>
        </w:tc>
        <w:tc>
          <w:tcPr>
            <w:tcW w:w="4995" w:type="dxa"/>
            <w:tcBorders>
              <w:top w:val="single" w:sz="4" w:space="0" w:color="auto"/>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Sporttak</w:t>
            </w:r>
          </w:p>
        </w:tc>
        <w:tc>
          <w:tcPr>
            <w:tcW w:w="215" w:type="dxa"/>
            <w:noWrap/>
            <w:vAlign w:val="bottom"/>
          </w:tcPr>
          <w:p w:rsidR="00D5583A" w:rsidRPr="004945E4" w:rsidRDefault="00D5583A">
            <w:pPr>
              <w:rPr>
                <w:sz w:val="20"/>
                <w:lang w:val="nl-BE" w:eastAsia="nl-BE"/>
              </w:rPr>
            </w:pPr>
          </w:p>
        </w:tc>
      </w:tr>
      <w:tr w:rsidR="00D5583A" w:rsidRPr="004945E4" w:rsidTr="004945E4">
        <w:trPr>
          <w:trHeight w:val="305"/>
        </w:trPr>
        <w:tc>
          <w:tcPr>
            <w:tcW w:w="767" w:type="dxa"/>
            <w:tcBorders>
              <w:top w:val="nil"/>
              <w:left w:val="single" w:sz="4" w:space="0" w:color="auto"/>
              <w:bottom w:val="single" w:sz="4" w:space="0" w:color="auto"/>
              <w:right w:val="single" w:sz="4" w:space="0" w:color="auto"/>
            </w:tcBorders>
            <w:noWrap/>
            <w:vAlign w:val="bottom"/>
          </w:tcPr>
          <w:p w:rsidR="00D5583A" w:rsidRPr="004945E4" w:rsidRDefault="00D5583A">
            <w:pPr>
              <w:rPr>
                <w:b/>
                <w:bCs/>
                <w:color w:val="000000"/>
                <w:szCs w:val="22"/>
                <w:lang w:val="nl-BE" w:eastAsia="nl-BE"/>
              </w:rPr>
            </w:pPr>
            <w:r w:rsidRPr="004945E4">
              <w:rPr>
                <w:b/>
                <w:bCs/>
                <w:color w:val="000000"/>
                <w:szCs w:val="22"/>
                <w:lang w:val="nl-BE" w:eastAsia="nl-BE"/>
              </w:rPr>
              <w:t>2011</w:t>
            </w:r>
          </w:p>
        </w:tc>
        <w:tc>
          <w:tcPr>
            <w:tcW w:w="767"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70</w:t>
            </w:r>
          </w:p>
        </w:tc>
        <w:tc>
          <w:tcPr>
            <w:tcW w:w="113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5</w:t>
            </w:r>
          </w:p>
        </w:tc>
        <w:tc>
          <w:tcPr>
            <w:tcW w:w="499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ju-jitsu, boksen, Amerikaans voetbal, kickboksen, bodybuilding</w:t>
            </w:r>
          </w:p>
        </w:tc>
        <w:tc>
          <w:tcPr>
            <w:tcW w:w="215" w:type="dxa"/>
            <w:noWrap/>
            <w:vAlign w:val="bottom"/>
          </w:tcPr>
          <w:p w:rsidR="00D5583A" w:rsidRPr="004945E4" w:rsidRDefault="00D5583A">
            <w:pPr>
              <w:rPr>
                <w:sz w:val="20"/>
                <w:lang w:val="nl-BE" w:eastAsia="nl-BE"/>
              </w:rPr>
            </w:pPr>
          </w:p>
        </w:tc>
      </w:tr>
      <w:tr w:rsidR="00D5583A" w:rsidRPr="004945E4" w:rsidTr="004945E4">
        <w:trPr>
          <w:trHeight w:val="305"/>
        </w:trPr>
        <w:tc>
          <w:tcPr>
            <w:tcW w:w="767" w:type="dxa"/>
            <w:tcBorders>
              <w:top w:val="nil"/>
              <w:left w:val="single" w:sz="4" w:space="0" w:color="auto"/>
              <w:bottom w:val="single" w:sz="4" w:space="0" w:color="auto"/>
              <w:right w:val="single" w:sz="4" w:space="0" w:color="auto"/>
            </w:tcBorders>
            <w:noWrap/>
            <w:vAlign w:val="bottom"/>
          </w:tcPr>
          <w:p w:rsidR="00D5583A" w:rsidRPr="004945E4" w:rsidRDefault="00D5583A">
            <w:pPr>
              <w:rPr>
                <w:b/>
                <w:bCs/>
                <w:color w:val="000000"/>
                <w:szCs w:val="22"/>
                <w:lang w:val="nl-BE" w:eastAsia="nl-BE"/>
              </w:rPr>
            </w:pPr>
            <w:r w:rsidRPr="004945E4">
              <w:rPr>
                <w:b/>
                <w:bCs/>
                <w:color w:val="000000"/>
                <w:szCs w:val="22"/>
                <w:lang w:val="nl-BE" w:eastAsia="nl-BE"/>
              </w:rPr>
              <w:t>2010</w:t>
            </w:r>
          </w:p>
        </w:tc>
        <w:tc>
          <w:tcPr>
            <w:tcW w:w="767"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48</w:t>
            </w:r>
          </w:p>
        </w:tc>
        <w:tc>
          <w:tcPr>
            <w:tcW w:w="113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3</w:t>
            </w:r>
          </w:p>
        </w:tc>
        <w:tc>
          <w:tcPr>
            <w:tcW w:w="499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Boksen, judo, zaalvoetbal </w:t>
            </w:r>
          </w:p>
        </w:tc>
        <w:tc>
          <w:tcPr>
            <w:tcW w:w="215" w:type="dxa"/>
            <w:noWrap/>
            <w:vAlign w:val="bottom"/>
          </w:tcPr>
          <w:p w:rsidR="00D5583A" w:rsidRPr="004945E4" w:rsidRDefault="00D5583A">
            <w:pPr>
              <w:rPr>
                <w:sz w:val="20"/>
                <w:lang w:val="nl-BE" w:eastAsia="nl-BE"/>
              </w:rPr>
            </w:pPr>
          </w:p>
        </w:tc>
      </w:tr>
      <w:tr w:rsidR="00D5583A" w:rsidRPr="004945E4" w:rsidTr="004945E4">
        <w:trPr>
          <w:trHeight w:val="305"/>
        </w:trPr>
        <w:tc>
          <w:tcPr>
            <w:tcW w:w="767" w:type="dxa"/>
            <w:tcBorders>
              <w:top w:val="nil"/>
              <w:left w:val="single" w:sz="4" w:space="0" w:color="auto"/>
              <w:bottom w:val="single" w:sz="4" w:space="0" w:color="auto"/>
              <w:right w:val="single" w:sz="4" w:space="0" w:color="auto"/>
            </w:tcBorders>
            <w:noWrap/>
            <w:vAlign w:val="bottom"/>
          </w:tcPr>
          <w:p w:rsidR="00D5583A" w:rsidRPr="004945E4" w:rsidRDefault="00D5583A">
            <w:pPr>
              <w:rPr>
                <w:b/>
                <w:bCs/>
                <w:color w:val="000000"/>
                <w:szCs w:val="22"/>
                <w:lang w:val="nl-BE" w:eastAsia="nl-BE"/>
              </w:rPr>
            </w:pPr>
            <w:r w:rsidRPr="004945E4">
              <w:rPr>
                <w:b/>
                <w:bCs/>
                <w:color w:val="000000"/>
                <w:szCs w:val="22"/>
                <w:lang w:val="nl-BE" w:eastAsia="nl-BE"/>
              </w:rPr>
              <w:t>2009</w:t>
            </w:r>
          </w:p>
        </w:tc>
        <w:tc>
          <w:tcPr>
            <w:tcW w:w="767"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38</w:t>
            </w:r>
          </w:p>
        </w:tc>
        <w:tc>
          <w:tcPr>
            <w:tcW w:w="113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4</w:t>
            </w:r>
          </w:p>
        </w:tc>
        <w:tc>
          <w:tcPr>
            <w:tcW w:w="499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Bodybuilding (3), floorball</w:t>
            </w:r>
          </w:p>
        </w:tc>
        <w:tc>
          <w:tcPr>
            <w:tcW w:w="215" w:type="dxa"/>
            <w:noWrap/>
            <w:vAlign w:val="bottom"/>
          </w:tcPr>
          <w:p w:rsidR="00D5583A" w:rsidRPr="004945E4" w:rsidRDefault="00D5583A">
            <w:pPr>
              <w:rPr>
                <w:sz w:val="20"/>
                <w:lang w:val="nl-BE" w:eastAsia="nl-BE"/>
              </w:rPr>
            </w:pPr>
          </w:p>
        </w:tc>
      </w:tr>
      <w:tr w:rsidR="00D5583A" w:rsidRPr="004945E4" w:rsidTr="004945E4">
        <w:trPr>
          <w:trHeight w:val="305"/>
        </w:trPr>
        <w:tc>
          <w:tcPr>
            <w:tcW w:w="767" w:type="dxa"/>
            <w:tcBorders>
              <w:top w:val="nil"/>
              <w:left w:val="single" w:sz="4" w:space="0" w:color="auto"/>
              <w:bottom w:val="single" w:sz="4" w:space="0" w:color="auto"/>
              <w:right w:val="single" w:sz="4" w:space="0" w:color="auto"/>
            </w:tcBorders>
            <w:noWrap/>
            <w:vAlign w:val="bottom"/>
          </w:tcPr>
          <w:p w:rsidR="00D5583A" w:rsidRPr="004945E4" w:rsidRDefault="00D5583A">
            <w:pPr>
              <w:rPr>
                <w:b/>
                <w:bCs/>
                <w:color w:val="000000"/>
                <w:szCs w:val="22"/>
                <w:lang w:val="nl-BE" w:eastAsia="nl-BE"/>
              </w:rPr>
            </w:pPr>
            <w:r w:rsidRPr="004945E4">
              <w:rPr>
                <w:b/>
                <w:bCs/>
                <w:color w:val="000000"/>
                <w:szCs w:val="22"/>
                <w:lang w:val="nl-BE" w:eastAsia="nl-BE"/>
              </w:rPr>
              <w:t>2008</w:t>
            </w:r>
          </w:p>
        </w:tc>
        <w:tc>
          <w:tcPr>
            <w:tcW w:w="767"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58</w:t>
            </w:r>
          </w:p>
        </w:tc>
        <w:tc>
          <w:tcPr>
            <w:tcW w:w="113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5</w:t>
            </w:r>
          </w:p>
        </w:tc>
        <w:tc>
          <w:tcPr>
            <w:tcW w:w="499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Bodybuilding (2), baseball (3)</w:t>
            </w:r>
          </w:p>
        </w:tc>
        <w:tc>
          <w:tcPr>
            <w:tcW w:w="215" w:type="dxa"/>
            <w:noWrap/>
            <w:vAlign w:val="bottom"/>
          </w:tcPr>
          <w:p w:rsidR="00D5583A" w:rsidRPr="004945E4" w:rsidRDefault="00D5583A">
            <w:pPr>
              <w:rPr>
                <w:sz w:val="20"/>
                <w:lang w:val="nl-BE" w:eastAsia="nl-BE"/>
              </w:rPr>
            </w:pPr>
          </w:p>
        </w:tc>
      </w:tr>
      <w:tr w:rsidR="00D5583A" w:rsidRPr="004945E4" w:rsidTr="004945E4">
        <w:trPr>
          <w:trHeight w:val="305"/>
        </w:trPr>
        <w:tc>
          <w:tcPr>
            <w:tcW w:w="767" w:type="dxa"/>
            <w:tcBorders>
              <w:top w:val="nil"/>
              <w:left w:val="single" w:sz="4" w:space="0" w:color="auto"/>
              <w:bottom w:val="single" w:sz="4" w:space="0" w:color="auto"/>
              <w:right w:val="single" w:sz="4" w:space="0" w:color="auto"/>
            </w:tcBorders>
            <w:noWrap/>
            <w:vAlign w:val="bottom"/>
          </w:tcPr>
          <w:p w:rsidR="00D5583A" w:rsidRPr="004945E4" w:rsidRDefault="00D5583A">
            <w:pPr>
              <w:rPr>
                <w:b/>
                <w:bCs/>
                <w:color w:val="000000"/>
                <w:szCs w:val="22"/>
                <w:lang w:val="nl-BE" w:eastAsia="nl-BE"/>
              </w:rPr>
            </w:pPr>
            <w:r w:rsidRPr="004945E4">
              <w:rPr>
                <w:b/>
                <w:bCs/>
                <w:color w:val="000000"/>
                <w:szCs w:val="22"/>
                <w:lang w:val="nl-BE" w:eastAsia="nl-BE"/>
              </w:rPr>
              <w:t>2007</w:t>
            </w:r>
          </w:p>
        </w:tc>
        <w:tc>
          <w:tcPr>
            <w:tcW w:w="767"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63</w:t>
            </w:r>
          </w:p>
        </w:tc>
        <w:tc>
          <w:tcPr>
            <w:tcW w:w="113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3</w:t>
            </w:r>
          </w:p>
        </w:tc>
        <w:tc>
          <w:tcPr>
            <w:tcW w:w="4995" w:type="dxa"/>
            <w:tcBorders>
              <w:top w:val="nil"/>
              <w:left w:val="nil"/>
              <w:bottom w:val="single" w:sz="4" w:space="0" w:color="auto"/>
              <w:right w:val="single" w:sz="4" w:space="0" w:color="auto"/>
            </w:tcBorders>
            <w:noWrap/>
            <w:vAlign w:val="bottom"/>
          </w:tcPr>
          <w:p w:rsidR="00D5583A" w:rsidRPr="004945E4" w:rsidRDefault="00D5583A">
            <w:pPr>
              <w:rPr>
                <w:color w:val="000000"/>
                <w:szCs w:val="22"/>
                <w:lang w:val="nl-BE" w:eastAsia="nl-BE"/>
              </w:rPr>
            </w:pPr>
            <w:r w:rsidRPr="004945E4">
              <w:rPr>
                <w:color w:val="000000"/>
                <w:szCs w:val="22"/>
                <w:lang w:val="nl-BE" w:eastAsia="nl-BE"/>
              </w:rPr>
              <w:t>Atletiek, boksen, kickboksen</w:t>
            </w:r>
          </w:p>
        </w:tc>
        <w:tc>
          <w:tcPr>
            <w:tcW w:w="215" w:type="dxa"/>
            <w:noWrap/>
            <w:vAlign w:val="bottom"/>
          </w:tcPr>
          <w:p w:rsidR="00D5583A" w:rsidRPr="004945E4" w:rsidRDefault="00D5583A">
            <w:pPr>
              <w:rPr>
                <w:sz w:val="20"/>
                <w:lang w:val="nl-BE" w:eastAsia="nl-BE"/>
              </w:rPr>
            </w:pPr>
          </w:p>
        </w:tc>
      </w:tr>
    </w:tbl>
    <w:p w:rsidR="00D5583A" w:rsidRDefault="00D5583A" w:rsidP="004945E4">
      <w:pPr>
        <w:pStyle w:val="ListNumber"/>
        <w:numPr>
          <w:ilvl w:val="0"/>
          <w:numId w:val="0"/>
        </w:numPr>
        <w:tabs>
          <w:tab w:val="left" w:pos="708"/>
        </w:tabs>
        <w:ind w:left="717"/>
        <w:rPr>
          <w:lang w:val="nl-BE"/>
        </w:rPr>
      </w:pPr>
    </w:p>
    <w:p w:rsidR="00D5583A" w:rsidRDefault="00D5583A" w:rsidP="00D53E28">
      <w:pPr>
        <w:pStyle w:val="ListNumber"/>
        <w:numPr>
          <w:ilvl w:val="0"/>
          <w:numId w:val="5"/>
        </w:numPr>
        <w:tabs>
          <w:tab w:val="left" w:pos="360"/>
        </w:tabs>
        <w:jc w:val="both"/>
      </w:pPr>
      <w:r>
        <w:t>De antidopingregels van de Gemeenschappelijke Gemeenschapscommissie verschillen van die van de Vlaamse Gemeenschap vandaag op een aantal essentiële punten, met name:</w:t>
      </w:r>
    </w:p>
    <w:p w:rsidR="00D5583A" w:rsidRDefault="00D5583A" w:rsidP="00D53E28">
      <w:pPr>
        <w:pStyle w:val="ListNumber"/>
        <w:numPr>
          <w:ilvl w:val="1"/>
          <w:numId w:val="6"/>
        </w:numPr>
        <w:tabs>
          <w:tab w:val="left" w:pos="708"/>
        </w:tabs>
        <w:ind w:left="720"/>
        <w:jc w:val="both"/>
      </w:pPr>
      <w:r>
        <w:t>De antidopingregels van de Gemeenschappelijke Gemeenschapscommissie uit 2007 waren nooit van toepassing, terwijl in de Vlaamse Gemeenschap al sinds 1991 een eigen antidopingregelgeving van toepassing is;</w:t>
      </w:r>
    </w:p>
    <w:p w:rsidR="00D5583A" w:rsidRDefault="00D5583A" w:rsidP="00D53E28">
      <w:pPr>
        <w:pStyle w:val="ListNumber"/>
        <w:numPr>
          <w:ilvl w:val="1"/>
          <w:numId w:val="6"/>
        </w:numPr>
        <w:tabs>
          <w:tab w:val="left" w:pos="708"/>
        </w:tabs>
        <w:ind w:left="720"/>
        <w:jc w:val="both"/>
      </w:pPr>
      <w:r>
        <w:t>Er ligt een nieuwe ontwerp ordonnantie klaar, maar die is nog niet WADA conform verklaard, in tegenstelling tot de Vlaamse antidopingregels;</w:t>
      </w:r>
    </w:p>
    <w:p w:rsidR="00D5583A" w:rsidRDefault="00D5583A" w:rsidP="00D53E28">
      <w:pPr>
        <w:pStyle w:val="ListNumber"/>
        <w:numPr>
          <w:ilvl w:val="1"/>
          <w:numId w:val="6"/>
        </w:numPr>
        <w:tabs>
          <w:tab w:val="left" w:pos="708"/>
        </w:tabs>
        <w:ind w:left="720"/>
        <w:jc w:val="both"/>
      </w:pPr>
      <w:r>
        <w:t>In de ontwerp ordonnantie wordt de bestraffing van dopingpraktijken van breedtesporters overgelaten aan de sportvereniging waarvan de breedtesporter lid is, terwijl de Vlaamse Gemeenschap zelf zorgt voor de bestraffing van breedtesporters;</w:t>
      </w:r>
    </w:p>
    <w:p w:rsidR="00D5583A" w:rsidRDefault="00D5583A" w:rsidP="00D53E28">
      <w:pPr>
        <w:pStyle w:val="ListNumber"/>
        <w:numPr>
          <w:ilvl w:val="1"/>
          <w:numId w:val="6"/>
        </w:numPr>
        <w:tabs>
          <w:tab w:val="left" w:pos="708"/>
        </w:tabs>
        <w:ind w:left="720"/>
        <w:jc w:val="both"/>
      </w:pPr>
      <w:r>
        <w:t>Voor het gebruik van verboden stoffen door breedtesporters volstaat volgens de ontwerp ordonnantie een attest van eender welke arts, terwijl de Vlaamse Gemeenschap het gebruik van verboden stoffen door volwassen breedtesporters slechts toelaat mits een toestemming wegens therapeutische noodzaak, afgeleverd door een commissie van drie onafhankelijke artsen.</w:t>
      </w:r>
    </w:p>
    <w:p w:rsidR="00D5583A" w:rsidRDefault="00D5583A" w:rsidP="00D53E28">
      <w:pPr>
        <w:pStyle w:val="ListNumber"/>
        <w:numPr>
          <w:ilvl w:val="1"/>
          <w:numId w:val="6"/>
        </w:numPr>
        <w:tabs>
          <w:tab w:val="left" w:pos="708"/>
        </w:tabs>
        <w:ind w:left="720"/>
        <w:jc w:val="both"/>
      </w:pPr>
      <w:r>
        <w:t>Als na een controle in opdracht van de GGC niet-specifieke stoffen (=zware dopingprodukten zoals amfetamines of anabole steroïden) worden aangetroffen in het lichaam van de sporter, wordt de sporter niet voorlopig geschorst van deelname aan wedstrijden, in afwachting van de definitieve behandeling van zijn zaak. Bij controles in opdracht van de Vlaamse Gemeenschap is dit wel het geval.</w:t>
      </w:r>
    </w:p>
    <w:p w:rsidR="00D5583A" w:rsidRDefault="00D5583A" w:rsidP="004945E4">
      <w:pPr>
        <w:pStyle w:val="ListNumber"/>
        <w:numPr>
          <w:ilvl w:val="0"/>
          <w:numId w:val="0"/>
        </w:numPr>
        <w:tabs>
          <w:tab w:val="left" w:pos="708"/>
        </w:tabs>
        <w:ind w:left="357" w:hanging="357"/>
      </w:pPr>
    </w:p>
    <w:p w:rsidR="00D5583A" w:rsidRDefault="00D5583A" w:rsidP="00D53E28">
      <w:pPr>
        <w:pStyle w:val="ListNumber"/>
        <w:numPr>
          <w:ilvl w:val="0"/>
          <w:numId w:val="0"/>
        </w:numPr>
        <w:tabs>
          <w:tab w:val="left" w:pos="360"/>
        </w:tabs>
        <w:ind w:left="360"/>
        <w:jc w:val="both"/>
      </w:pPr>
      <w:r>
        <w:t>De Vlaamse Gemeenschap zal de GGC helpen om WADA conform te worden en blijft haar expertise inzake dopingbestrijding ter beschikking stellen.  In 2008 werd er tussen de GGC en de VG reeds een bilateraal samenwerkingsakkoord gesloten, op grond waarvan de GGC tegen vergoeding gebruik kan maken van ervaren Vlaamse controleartsen om dopingcontroles uit te voeren.</w:t>
      </w:r>
    </w:p>
    <w:p w:rsidR="00D5583A" w:rsidRDefault="00D5583A" w:rsidP="004945E4">
      <w:pPr>
        <w:pStyle w:val="ListNumber"/>
        <w:numPr>
          <w:ilvl w:val="0"/>
          <w:numId w:val="0"/>
        </w:numPr>
        <w:tabs>
          <w:tab w:val="left" w:pos="708"/>
        </w:tabs>
        <w:ind w:left="708"/>
      </w:pPr>
    </w:p>
    <w:p w:rsidR="00D5583A" w:rsidRDefault="00D5583A" w:rsidP="00D53E28">
      <w:pPr>
        <w:pStyle w:val="ListNumber"/>
        <w:numPr>
          <w:ilvl w:val="0"/>
          <w:numId w:val="0"/>
        </w:numPr>
        <w:tabs>
          <w:tab w:val="left" w:pos="708"/>
        </w:tabs>
        <w:ind w:left="360"/>
        <w:jc w:val="both"/>
      </w:pPr>
      <w:r>
        <w:t>Wat vervolging en bestraffing van breedtesporters betreft, heeft de GGC er echter duidelijk voor geopteerd om het model van de Franse Gemeenschap te volgen, waarbij de opvolging en bestraffing van dopingpraktijken overgelaten wordt aan de federatie of club, en niet aan de overheid.</w:t>
      </w:r>
    </w:p>
    <w:p w:rsidR="00D5583A" w:rsidRDefault="00D5583A" w:rsidP="00D53E28">
      <w:pPr>
        <w:pStyle w:val="ListNumber"/>
        <w:numPr>
          <w:ilvl w:val="0"/>
          <w:numId w:val="0"/>
        </w:numPr>
        <w:tabs>
          <w:tab w:val="left" w:pos="708"/>
        </w:tabs>
        <w:ind w:left="360"/>
        <w:jc w:val="both"/>
      </w:pPr>
      <w:r>
        <w:t>Een volledige harmonisatie van de Vlaamse en GGC regels zit er om die reden niet in.</w:t>
      </w:r>
    </w:p>
    <w:p w:rsidR="00D5583A" w:rsidRDefault="00D5583A" w:rsidP="00D53E28">
      <w:pPr>
        <w:pStyle w:val="ListNumber"/>
        <w:numPr>
          <w:ilvl w:val="0"/>
          <w:numId w:val="0"/>
        </w:numPr>
        <w:tabs>
          <w:tab w:val="left" w:pos="708"/>
        </w:tabs>
        <w:ind w:left="360"/>
        <w:jc w:val="both"/>
      </w:pPr>
    </w:p>
    <w:p w:rsidR="00D5583A" w:rsidRDefault="00D5583A" w:rsidP="00D53E28">
      <w:pPr>
        <w:pStyle w:val="ListNumber"/>
        <w:numPr>
          <w:ilvl w:val="0"/>
          <w:numId w:val="0"/>
        </w:numPr>
        <w:tabs>
          <w:tab w:val="left" w:pos="708"/>
        </w:tabs>
        <w:ind w:left="360"/>
        <w:jc w:val="both"/>
      </w:pPr>
      <w:r>
        <w:t>Wat elitesporters betreft, zullen de regels wel zo goed als geharmoniseerd zijn, dankzij het recente samenwerkingsakkoord van 9 december 2011.</w:t>
      </w:r>
    </w:p>
    <w:p w:rsidR="00D5583A" w:rsidRDefault="00D5583A" w:rsidP="004945E4">
      <w:pPr>
        <w:pStyle w:val="ListNumber"/>
        <w:numPr>
          <w:ilvl w:val="0"/>
          <w:numId w:val="0"/>
        </w:numPr>
        <w:tabs>
          <w:tab w:val="left" w:pos="708"/>
        </w:tabs>
        <w:ind w:left="357"/>
      </w:pPr>
    </w:p>
    <w:p w:rsidR="00D5583A" w:rsidRDefault="00D5583A" w:rsidP="00D53E28">
      <w:pPr>
        <w:pStyle w:val="ListNumber"/>
        <w:numPr>
          <w:ilvl w:val="0"/>
          <w:numId w:val="5"/>
        </w:numPr>
        <w:tabs>
          <w:tab w:val="left" w:pos="360"/>
        </w:tabs>
        <w:jc w:val="both"/>
      </w:pPr>
      <w:r>
        <w:t>De Vlaamse Gemeenschap kan Brusselse elitesporters enkel verplichten hun whereabouts op te geven indien ze behoren tot een Vlaamse sportfederatie. Dit sluit bijvoorbeeld alle topvoetballers uit die in Brussel wonen.</w:t>
      </w:r>
    </w:p>
    <w:p w:rsidR="00D5583A" w:rsidRDefault="00D5583A" w:rsidP="004945E4">
      <w:pPr>
        <w:pStyle w:val="ListNumber"/>
        <w:numPr>
          <w:ilvl w:val="0"/>
          <w:numId w:val="0"/>
        </w:numPr>
        <w:tabs>
          <w:tab w:val="left" w:pos="708"/>
        </w:tabs>
        <w:ind w:left="720"/>
      </w:pPr>
    </w:p>
    <w:p w:rsidR="00D5583A" w:rsidRDefault="00D5583A" w:rsidP="00D53E28">
      <w:pPr>
        <w:pStyle w:val="ListNumber"/>
        <w:numPr>
          <w:ilvl w:val="0"/>
          <w:numId w:val="0"/>
        </w:numPr>
        <w:tabs>
          <w:tab w:val="left" w:pos="360"/>
        </w:tabs>
        <w:ind w:left="360"/>
        <w:jc w:val="both"/>
      </w:pPr>
      <w:r>
        <w:t>Momenteel zijn er vier Brusselse elitesporters die hun whereabouts moeten opgeven aan de Vlaamse Gemeenschap. Het gaat om twee basketters, één gymnast en één volleybalspeler.</w:t>
      </w:r>
    </w:p>
    <w:p w:rsidR="00D5583A" w:rsidRDefault="00D5583A" w:rsidP="00D53E28">
      <w:pPr>
        <w:pStyle w:val="ListNumber"/>
        <w:numPr>
          <w:ilvl w:val="0"/>
          <w:numId w:val="0"/>
        </w:numPr>
        <w:tabs>
          <w:tab w:val="left" w:pos="360"/>
        </w:tabs>
        <w:ind w:left="360"/>
        <w:jc w:val="both"/>
      </w:pPr>
    </w:p>
    <w:p w:rsidR="00D5583A" w:rsidRPr="004945E4" w:rsidRDefault="00D5583A" w:rsidP="00D53E28">
      <w:pPr>
        <w:tabs>
          <w:tab w:val="left" w:pos="360"/>
        </w:tabs>
        <w:ind w:left="360"/>
        <w:jc w:val="both"/>
        <w:rPr>
          <w:color w:val="000000"/>
          <w:sz w:val="22"/>
          <w:szCs w:val="22"/>
        </w:rPr>
      </w:pPr>
      <w:r w:rsidRPr="004945E4">
        <w:rPr>
          <w:color w:val="000000"/>
          <w:sz w:val="22"/>
          <w:szCs w:val="22"/>
        </w:rPr>
        <w:t>Sinds de invoering van de WADA Code en de whereaboutsverplichtingen in Vlaanderen is het aantal Vlaams-Brusselse elitesporters die hun whereabouts moeten opgeven zo</w:t>
      </w:r>
      <w:r>
        <w:rPr>
          <w:color w:val="000000"/>
          <w:sz w:val="22"/>
          <w:szCs w:val="22"/>
        </w:rPr>
        <w:t xml:space="preserve"> </w:t>
      </w:r>
      <w:r w:rsidRPr="004945E4">
        <w:rPr>
          <w:color w:val="000000"/>
          <w:sz w:val="22"/>
          <w:szCs w:val="22"/>
        </w:rPr>
        <w:t>goed als hetzelfde gebleven.</w:t>
      </w:r>
    </w:p>
    <w:p w:rsidR="00D5583A" w:rsidRPr="004945E4" w:rsidRDefault="00D5583A" w:rsidP="00D53E28">
      <w:pPr>
        <w:tabs>
          <w:tab w:val="left" w:pos="360"/>
        </w:tabs>
        <w:ind w:left="360" w:firstLine="708"/>
        <w:jc w:val="both"/>
        <w:rPr>
          <w:color w:val="000000"/>
          <w:sz w:val="22"/>
          <w:szCs w:val="22"/>
        </w:rPr>
      </w:pPr>
    </w:p>
    <w:p w:rsidR="00D5583A" w:rsidRPr="004945E4" w:rsidRDefault="00D5583A" w:rsidP="00D53E28">
      <w:pPr>
        <w:tabs>
          <w:tab w:val="left" w:pos="360"/>
        </w:tabs>
        <w:ind w:left="360"/>
        <w:jc w:val="both"/>
        <w:rPr>
          <w:color w:val="000000"/>
          <w:sz w:val="22"/>
          <w:szCs w:val="22"/>
          <w:lang w:val="en-US"/>
        </w:rPr>
      </w:pPr>
      <w:r w:rsidRPr="004945E4">
        <w:rPr>
          <w:color w:val="000000"/>
          <w:sz w:val="22"/>
          <w:szCs w:val="22"/>
          <w:lang w:val="en-US"/>
        </w:rPr>
        <w:t>2008: 4 (1 atleet, 1 paralympiër, 1 basketter, 1 volleyballer)</w:t>
      </w:r>
    </w:p>
    <w:p w:rsidR="00D5583A" w:rsidRPr="004945E4" w:rsidRDefault="00D5583A" w:rsidP="00D53E28">
      <w:pPr>
        <w:tabs>
          <w:tab w:val="left" w:pos="360"/>
        </w:tabs>
        <w:ind w:left="360"/>
        <w:jc w:val="both"/>
        <w:rPr>
          <w:color w:val="000000"/>
          <w:sz w:val="22"/>
          <w:szCs w:val="22"/>
          <w:lang w:val="en-US"/>
        </w:rPr>
      </w:pPr>
      <w:r w:rsidRPr="004945E4">
        <w:rPr>
          <w:color w:val="000000"/>
          <w:sz w:val="22"/>
          <w:szCs w:val="22"/>
          <w:lang w:val="en-US"/>
        </w:rPr>
        <w:t>2009: 3 (1 atleet, 1 paralympiër, 1 taekwondo)  </w:t>
      </w:r>
    </w:p>
    <w:p w:rsidR="00D5583A" w:rsidRPr="004945E4" w:rsidRDefault="00D5583A" w:rsidP="00D53E28">
      <w:pPr>
        <w:tabs>
          <w:tab w:val="left" w:pos="360"/>
        </w:tabs>
        <w:ind w:left="360"/>
        <w:jc w:val="both"/>
        <w:rPr>
          <w:color w:val="000000"/>
          <w:sz w:val="22"/>
          <w:szCs w:val="22"/>
        </w:rPr>
      </w:pPr>
      <w:r w:rsidRPr="004945E4">
        <w:rPr>
          <w:color w:val="000000"/>
          <w:sz w:val="22"/>
          <w:szCs w:val="22"/>
        </w:rPr>
        <w:t>2010: 4 (1 atleet, 1 gymnast, 1 taekwondo, 1 basketter)</w:t>
      </w:r>
    </w:p>
    <w:p w:rsidR="00D5583A" w:rsidRPr="004945E4" w:rsidRDefault="00D5583A" w:rsidP="00D53E28">
      <w:pPr>
        <w:tabs>
          <w:tab w:val="left" w:pos="360"/>
        </w:tabs>
        <w:ind w:left="360"/>
        <w:jc w:val="both"/>
        <w:rPr>
          <w:color w:val="000000"/>
          <w:sz w:val="22"/>
          <w:szCs w:val="22"/>
        </w:rPr>
      </w:pPr>
      <w:r w:rsidRPr="004945E4">
        <w:rPr>
          <w:color w:val="000000"/>
          <w:sz w:val="22"/>
          <w:szCs w:val="22"/>
        </w:rPr>
        <w:t>2011: 4 (1 gymnast, 2 basketters, 1 volleyballer)</w:t>
      </w:r>
    </w:p>
    <w:p w:rsidR="00D5583A" w:rsidRPr="004945E4" w:rsidRDefault="00D5583A" w:rsidP="00D53E28">
      <w:pPr>
        <w:tabs>
          <w:tab w:val="left" w:pos="360"/>
        </w:tabs>
        <w:ind w:left="360"/>
        <w:jc w:val="both"/>
        <w:rPr>
          <w:color w:val="000000"/>
          <w:sz w:val="22"/>
          <w:szCs w:val="22"/>
        </w:rPr>
      </w:pPr>
    </w:p>
    <w:p w:rsidR="00D5583A" w:rsidRPr="004945E4" w:rsidRDefault="00D5583A" w:rsidP="00D53E28">
      <w:pPr>
        <w:pStyle w:val="ListNumber"/>
        <w:numPr>
          <w:ilvl w:val="0"/>
          <w:numId w:val="0"/>
        </w:numPr>
        <w:tabs>
          <w:tab w:val="left" w:pos="360"/>
        </w:tabs>
        <w:ind w:left="360"/>
        <w:jc w:val="both"/>
        <w:rPr>
          <w:szCs w:val="22"/>
        </w:rPr>
      </w:pPr>
      <w:r w:rsidRPr="004945E4">
        <w:rPr>
          <w:szCs w:val="22"/>
        </w:rPr>
        <w:t>Enkel in 2010 werd een Brusselse elitesporter wegens herhaalde inbreuken tegen de verblijfsgegevens naar het Vlaams Doping Tribunaal doorverwezen. Momenteel is deze persoon echter niet meer aangesloten bij een Vlaamse federatie en behoort hij dus niet meer tot de Vlaamse Gemeenschap.</w:t>
      </w:r>
    </w:p>
    <w:sectPr w:rsidR="00D5583A" w:rsidRPr="004945E4" w:rsidSect="007237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1A4A230"/>
    <w:lvl w:ilvl="0">
      <w:start w:val="1"/>
      <w:numFmt w:val="decimal"/>
      <w:lvlText w:val="%1."/>
      <w:lvlJc w:val="left"/>
      <w:pPr>
        <w:tabs>
          <w:tab w:val="num" w:pos="357"/>
        </w:tabs>
        <w:ind w:left="357" w:hanging="357"/>
      </w:pPr>
      <w:rPr>
        <w:rFonts w:cs="Times New Roman"/>
      </w:rPr>
    </w:lvl>
  </w:abstractNum>
  <w:abstractNum w:abstractNumId="1">
    <w:nsid w:val="0BFB5D48"/>
    <w:multiLevelType w:val="hybridMultilevel"/>
    <w:tmpl w:val="A320B1C2"/>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2">
    <w:nsid w:val="69785F99"/>
    <w:multiLevelType w:val="hybridMultilevel"/>
    <w:tmpl w:val="8D740298"/>
    <w:lvl w:ilvl="0" w:tplc="0813000F">
      <w:start w:val="1"/>
      <w:numFmt w:val="decimal"/>
      <w:lvlText w:val="%1."/>
      <w:lvlJc w:val="left"/>
      <w:pPr>
        <w:ind w:left="720" w:hanging="360"/>
      </w:pPr>
      <w:rPr>
        <w:rFonts w:cs="Times New Roman"/>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3">
    <w:nsid w:val="6ACE2296"/>
    <w:multiLevelType w:val="hybridMultilevel"/>
    <w:tmpl w:val="AA80A552"/>
    <w:lvl w:ilvl="0" w:tplc="0813000F">
      <w:start w:val="1"/>
      <w:numFmt w:val="decimal"/>
      <w:lvlText w:val="%1."/>
      <w:lvlJc w:val="left"/>
      <w:pPr>
        <w:ind w:left="360" w:hanging="360"/>
      </w:pPr>
      <w:rPr>
        <w:rFonts w:cs="Times New Roman"/>
      </w:r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11D"/>
    <w:rsid w:val="000A4B28"/>
    <w:rsid w:val="002C0989"/>
    <w:rsid w:val="004945E4"/>
    <w:rsid w:val="00567B45"/>
    <w:rsid w:val="005E0EF2"/>
    <w:rsid w:val="00723704"/>
    <w:rsid w:val="0094211D"/>
    <w:rsid w:val="00A140E2"/>
    <w:rsid w:val="00AF7785"/>
    <w:rsid w:val="00D53E28"/>
    <w:rsid w:val="00D5583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1D"/>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VVlaamsParlement">
    <w:name w:val="SV Vlaams Parlement"/>
    <w:basedOn w:val="Normal"/>
    <w:uiPriority w:val="99"/>
    <w:rsid w:val="0094211D"/>
    <w:pPr>
      <w:jc w:val="both"/>
    </w:pPr>
    <w:rPr>
      <w:b/>
      <w:smallCaps/>
      <w:sz w:val="22"/>
    </w:rPr>
  </w:style>
  <w:style w:type="paragraph" w:customStyle="1" w:styleId="SVTitel">
    <w:name w:val="SV Titel"/>
    <w:basedOn w:val="Normal"/>
    <w:uiPriority w:val="99"/>
    <w:rsid w:val="0094211D"/>
    <w:pPr>
      <w:jc w:val="both"/>
    </w:pPr>
    <w:rPr>
      <w:i/>
      <w:sz w:val="22"/>
    </w:rPr>
  </w:style>
  <w:style w:type="character" w:customStyle="1" w:styleId="StandaardSVChar">
    <w:name w:val="Standaard SV Char"/>
    <w:basedOn w:val="DefaultParagraphFont"/>
    <w:link w:val="StandaardSV"/>
    <w:uiPriority w:val="99"/>
    <w:locked/>
    <w:rsid w:val="0094211D"/>
    <w:rPr>
      <w:rFonts w:cs="Times New Roman"/>
      <w:lang w:val="nl-NL" w:eastAsia="nl-NL"/>
    </w:rPr>
  </w:style>
  <w:style w:type="paragraph" w:customStyle="1" w:styleId="StandaardSV">
    <w:name w:val="Standaard SV"/>
    <w:basedOn w:val="Normal"/>
    <w:link w:val="StandaardSVChar"/>
    <w:uiPriority w:val="99"/>
    <w:rsid w:val="0094211D"/>
    <w:pPr>
      <w:jc w:val="both"/>
    </w:pPr>
    <w:rPr>
      <w:rFonts w:ascii="Calibri" w:eastAsia="Calibri" w:hAnsi="Calibri"/>
      <w:sz w:val="22"/>
      <w:szCs w:val="22"/>
    </w:rPr>
  </w:style>
  <w:style w:type="paragraph" w:styleId="ListNumber">
    <w:name w:val="List Number"/>
    <w:basedOn w:val="Normal"/>
    <w:uiPriority w:val="99"/>
    <w:semiHidden/>
    <w:rsid w:val="004945E4"/>
    <w:pPr>
      <w:numPr>
        <w:numId w:val="3"/>
      </w:numPr>
      <w:tabs>
        <w:tab w:val="clear" w:pos="360"/>
        <w:tab w:val="num" w:pos="357"/>
      </w:tabs>
      <w:suppressAutoHyphens/>
      <w:ind w:left="357" w:hanging="357"/>
    </w:pPr>
    <w:rPr>
      <w:sz w:val="22"/>
      <w:szCs w:val="24"/>
      <w:lang w:eastAsia="ar-SA"/>
    </w:rPr>
  </w:style>
</w:styles>
</file>

<file path=word/webSettings.xml><?xml version="1.0" encoding="utf-8"?>
<w:webSettings xmlns:r="http://schemas.openxmlformats.org/officeDocument/2006/relationships" xmlns:w="http://schemas.openxmlformats.org/wordprocessingml/2006/main">
  <w:divs>
    <w:div w:id="1246495273">
      <w:marLeft w:val="0"/>
      <w:marRight w:val="0"/>
      <w:marTop w:val="0"/>
      <w:marBottom w:val="0"/>
      <w:divBdr>
        <w:top w:val="none" w:sz="0" w:space="0" w:color="auto"/>
        <w:left w:val="none" w:sz="0" w:space="0" w:color="auto"/>
        <w:bottom w:val="none" w:sz="0" w:space="0" w:color="auto"/>
        <w:right w:val="none" w:sz="0" w:space="0" w:color="auto"/>
      </w:divBdr>
    </w:div>
    <w:div w:id="1246495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699</Words>
  <Characters>3847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lambresi</dc:creator>
  <cp:keywords/>
  <dc:description/>
  <cp:lastModifiedBy>Vlaams Parlement</cp:lastModifiedBy>
  <cp:revision>3</cp:revision>
  <dcterms:created xsi:type="dcterms:W3CDTF">2012-02-10T12:41:00Z</dcterms:created>
  <dcterms:modified xsi:type="dcterms:W3CDTF">2012-02-13T08:54:00Z</dcterms:modified>
</cp:coreProperties>
</file>