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8F" w:rsidRDefault="006E238F" w:rsidP="00A55626">
      <w:pPr>
        <w:rPr>
          <w:b/>
          <w:smallCaps/>
          <w:sz w:val="22"/>
        </w:rPr>
      </w:pPr>
      <w:r>
        <w:rPr>
          <w:b/>
          <w:smallCaps/>
          <w:sz w:val="22"/>
        </w:rPr>
        <w:t>ingrid lieten</w:t>
      </w:r>
    </w:p>
    <w:p w:rsidR="006E238F" w:rsidRDefault="006E238F" w:rsidP="00A55626">
      <w:pPr>
        <w:pStyle w:val="StandaardSV"/>
        <w:rPr>
          <w:smallCaps/>
        </w:rPr>
      </w:pPr>
      <w:r>
        <w:rPr>
          <w:smallCaps/>
        </w:rPr>
        <w:t>viceminister-president van de vlaamse regering, vlaams minister van innovatie, overheidsinvesteringen, media en armoedebestrijding</w:t>
      </w:r>
    </w:p>
    <w:p w:rsidR="006E238F" w:rsidRDefault="006E238F" w:rsidP="00A55626">
      <w:pPr>
        <w:pBdr>
          <w:bottom w:val="single" w:sz="4" w:space="1" w:color="auto"/>
        </w:pBdr>
        <w:rPr>
          <w:sz w:val="22"/>
        </w:rPr>
      </w:pPr>
    </w:p>
    <w:p w:rsidR="006E238F" w:rsidRDefault="006E238F" w:rsidP="00A55626">
      <w:pPr>
        <w:rPr>
          <w:sz w:val="22"/>
        </w:rPr>
      </w:pPr>
    </w:p>
    <w:p w:rsidR="006E238F" w:rsidRDefault="006E238F" w:rsidP="00A55626">
      <w:pPr>
        <w:rPr>
          <w:b/>
          <w:smallCaps/>
          <w:sz w:val="22"/>
        </w:rPr>
      </w:pPr>
      <w:r>
        <w:rPr>
          <w:b/>
          <w:smallCaps/>
          <w:sz w:val="22"/>
        </w:rPr>
        <w:t>antwoord</w:t>
      </w:r>
    </w:p>
    <w:p w:rsidR="006E238F" w:rsidRDefault="006E238F" w:rsidP="00A55626">
      <w:pPr>
        <w:rPr>
          <w:sz w:val="22"/>
        </w:rPr>
      </w:pPr>
      <w:r>
        <w:rPr>
          <w:sz w:val="22"/>
        </w:rPr>
        <w:t xml:space="preserve">op vraag nr. </w:t>
      </w:r>
      <w:r>
        <w:t>106</w:t>
      </w:r>
      <w:r>
        <w:rPr>
          <w:sz w:val="22"/>
        </w:rPr>
        <w:t xml:space="preserve"> van </w:t>
      </w:r>
      <w:r w:rsidRPr="00A55626">
        <w:rPr>
          <w:sz w:val="22"/>
          <w:szCs w:val="22"/>
        </w:rPr>
        <w:t>20 december 2011</w:t>
      </w:r>
    </w:p>
    <w:p w:rsidR="006E238F" w:rsidRDefault="006E238F" w:rsidP="00A55626">
      <w:pPr>
        <w:rPr>
          <w:sz w:val="22"/>
        </w:rPr>
      </w:pPr>
      <w:r>
        <w:rPr>
          <w:sz w:val="22"/>
        </w:rPr>
        <w:t xml:space="preserve">van </w:t>
      </w:r>
      <w:r w:rsidRPr="00A55626">
        <w:rPr>
          <w:b/>
          <w:smallCaps/>
          <w:sz w:val="22"/>
          <w:szCs w:val="22"/>
        </w:rPr>
        <w:t>matthias diependaele</w:t>
      </w:r>
    </w:p>
    <w:p w:rsidR="006E238F" w:rsidRDefault="006E238F" w:rsidP="00A55626">
      <w:pPr>
        <w:pBdr>
          <w:bottom w:val="single" w:sz="4" w:space="1" w:color="auto"/>
        </w:pBdr>
        <w:jc w:val="both"/>
        <w:rPr>
          <w:sz w:val="22"/>
        </w:rPr>
      </w:pPr>
    </w:p>
    <w:p w:rsidR="006E238F" w:rsidRPr="00FD3D60" w:rsidRDefault="006E238F" w:rsidP="00A55626">
      <w:pPr>
        <w:jc w:val="both"/>
        <w:rPr>
          <w:sz w:val="22"/>
          <w:szCs w:val="22"/>
        </w:rPr>
      </w:pPr>
    </w:p>
    <w:p w:rsidR="006E238F" w:rsidRDefault="006E238F" w:rsidP="00A55626">
      <w:pPr>
        <w:pStyle w:val="NoSpacing"/>
        <w:rPr>
          <w:rFonts w:ascii="Times New Roman" w:hAnsi="Times New Roman"/>
        </w:rPr>
      </w:pPr>
    </w:p>
    <w:p w:rsidR="006E238F" w:rsidRPr="00A55626" w:rsidRDefault="006E238F" w:rsidP="004B7DEB">
      <w:pPr>
        <w:pStyle w:val="NoSpacing"/>
        <w:numPr>
          <w:ilvl w:val="0"/>
          <w:numId w:val="5"/>
        </w:numPr>
        <w:jc w:val="both"/>
        <w:rPr>
          <w:rFonts w:ascii="Times New Roman" w:hAnsi="Times New Roman"/>
        </w:rPr>
      </w:pPr>
      <w:r w:rsidRPr="00A55626">
        <w:rPr>
          <w:rFonts w:ascii="Times New Roman" w:hAnsi="Times New Roman"/>
        </w:rPr>
        <w:t xml:space="preserve">In het najaar van 2011 voerde </w:t>
      </w:r>
      <w:r>
        <w:rPr>
          <w:rFonts w:ascii="Times New Roman" w:hAnsi="Times New Roman"/>
        </w:rPr>
        <w:t xml:space="preserve">het </w:t>
      </w:r>
      <w:r w:rsidRPr="00A55626">
        <w:rPr>
          <w:rFonts w:ascii="Times New Roman" w:hAnsi="Times New Roman"/>
        </w:rPr>
        <w:t>IWT een analyse uit om te checken wat de impact is van de wijzigingen aan de modaliteiten</w:t>
      </w:r>
      <w:r>
        <w:rPr>
          <w:rFonts w:ascii="Times New Roman" w:hAnsi="Times New Roman"/>
        </w:rPr>
        <w:t xml:space="preserve"> die werden d</w:t>
      </w:r>
      <w:r w:rsidRPr="00A55626">
        <w:rPr>
          <w:rFonts w:ascii="Times New Roman" w:hAnsi="Times New Roman"/>
        </w:rPr>
        <w:t xml:space="preserve">oorgevoerd in 2008. Er werd ook nagegaan of het </w:t>
      </w:r>
      <w:r>
        <w:rPr>
          <w:rFonts w:ascii="Times New Roman" w:hAnsi="Times New Roman"/>
        </w:rPr>
        <w:t>veranderende</w:t>
      </w:r>
      <w:r w:rsidRPr="00A55626">
        <w:rPr>
          <w:rFonts w:ascii="Times New Roman" w:hAnsi="Times New Roman"/>
        </w:rPr>
        <w:t xml:space="preserve"> brede landschap rond TETRA (</w:t>
      </w:r>
      <w:r>
        <w:rPr>
          <w:rFonts w:ascii="Times New Roman" w:hAnsi="Times New Roman"/>
        </w:rPr>
        <w:t>o/a</w:t>
      </w:r>
      <w:r w:rsidRPr="00A55626">
        <w:rPr>
          <w:rFonts w:ascii="Times New Roman" w:hAnsi="Times New Roman"/>
        </w:rPr>
        <w:t xml:space="preserve"> het academiseringsproces) invloed heeft. Een samenvatting van de analyse werd meegedeeld via de IWT</w:t>
      </w:r>
      <w:r>
        <w:rPr>
          <w:rFonts w:ascii="Times New Roman" w:hAnsi="Times New Roman"/>
        </w:rPr>
        <w:t>-</w:t>
      </w:r>
      <w:r w:rsidRPr="00A55626">
        <w:rPr>
          <w:rFonts w:ascii="Times New Roman" w:hAnsi="Times New Roman"/>
        </w:rPr>
        <w:t xml:space="preserve">innovatienieuwsbrief </w:t>
      </w:r>
      <w:r>
        <w:rPr>
          <w:rFonts w:ascii="Times New Roman" w:hAnsi="Times New Roman"/>
        </w:rPr>
        <w:t>nr. 6</w:t>
      </w:r>
      <w:r w:rsidRPr="00A55626">
        <w:rPr>
          <w:rFonts w:ascii="Times New Roman" w:hAnsi="Times New Roman"/>
        </w:rPr>
        <w:t>7. De belangrijkste conclusie van de analyse is dat er op korte termijn geen grote wijzigingen nodig zijn aan het TETRA</w:t>
      </w:r>
      <w:r>
        <w:rPr>
          <w:rFonts w:ascii="Times New Roman" w:hAnsi="Times New Roman"/>
        </w:rPr>
        <w:t>-p</w:t>
      </w:r>
      <w:r w:rsidRPr="00A55626">
        <w:rPr>
          <w:rFonts w:ascii="Times New Roman" w:hAnsi="Times New Roman"/>
        </w:rPr>
        <w:t>rogramma</w:t>
      </w:r>
      <w:r>
        <w:rPr>
          <w:rFonts w:ascii="Times New Roman" w:hAnsi="Times New Roman"/>
        </w:rPr>
        <w:t>.</w:t>
      </w:r>
    </w:p>
    <w:p w:rsidR="006E238F" w:rsidRPr="00A55626" w:rsidRDefault="006E238F" w:rsidP="004B7DEB">
      <w:pPr>
        <w:pStyle w:val="NoSpacing"/>
        <w:jc w:val="both"/>
        <w:rPr>
          <w:rFonts w:ascii="Times New Roman" w:hAnsi="Times New Roman"/>
        </w:rPr>
      </w:pPr>
    </w:p>
    <w:p w:rsidR="006E238F" w:rsidRPr="00A55626" w:rsidRDefault="006E238F" w:rsidP="004B7DEB">
      <w:pPr>
        <w:pStyle w:val="NoSpacing"/>
        <w:numPr>
          <w:ilvl w:val="0"/>
          <w:numId w:val="5"/>
        </w:numPr>
        <w:jc w:val="both"/>
        <w:rPr>
          <w:rFonts w:ascii="Times New Roman" w:hAnsi="Times New Roman"/>
        </w:rPr>
      </w:pPr>
      <w:r w:rsidRPr="00A55626">
        <w:rPr>
          <w:rFonts w:ascii="Times New Roman" w:hAnsi="Times New Roman"/>
        </w:rPr>
        <w:t>De analyse biedt mogelijkheden om de modaliteiten van het programma te optimaliseren. Een aantal kleinere aanpassingen werd doorgevoerd bij de lancering van de nieuwe oproep 2011-2012</w:t>
      </w:r>
      <w:r>
        <w:rPr>
          <w:rFonts w:ascii="Times New Roman" w:hAnsi="Times New Roman"/>
        </w:rPr>
        <w:t>:</w:t>
      </w:r>
      <w:r w:rsidRPr="00A55626">
        <w:rPr>
          <w:rFonts w:ascii="Times New Roman" w:hAnsi="Times New Roman"/>
        </w:rPr>
        <w:t xml:space="preserve"> </w:t>
      </w:r>
    </w:p>
    <w:p w:rsidR="006E238F" w:rsidRPr="00A55626" w:rsidRDefault="006E238F" w:rsidP="004B7DEB">
      <w:pPr>
        <w:pStyle w:val="NoSpacing"/>
        <w:numPr>
          <w:ilvl w:val="0"/>
          <w:numId w:val="6"/>
        </w:numPr>
        <w:jc w:val="both"/>
        <w:rPr>
          <w:rFonts w:ascii="Times New Roman" w:hAnsi="Times New Roman"/>
        </w:rPr>
      </w:pPr>
      <w:r>
        <w:rPr>
          <w:rFonts w:ascii="Times New Roman" w:hAnsi="Times New Roman"/>
        </w:rPr>
        <w:t>d</w:t>
      </w:r>
      <w:r w:rsidRPr="00A55626">
        <w:rPr>
          <w:rFonts w:ascii="Times New Roman" w:hAnsi="Times New Roman"/>
        </w:rPr>
        <w:t xml:space="preserve">e definitie van </w:t>
      </w:r>
      <w:r>
        <w:rPr>
          <w:rFonts w:ascii="Times New Roman" w:hAnsi="Times New Roman"/>
        </w:rPr>
        <w:t>“</w:t>
      </w:r>
      <w:r w:rsidRPr="00A55626">
        <w:rPr>
          <w:rFonts w:ascii="Times New Roman" w:hAnsi="Times New Roman"/>
        </w:rPr>
        <w:t>technologie</w:t>
      </w:r>
      <w:r>
        <w:rPr>
          <w:rFonts w:ascii="Times New Roman" w:hAnsi="Times New Roman"/>
        </w:rPr>
        <w:t>”</w:t>
      </w:r>
      <w:r w:rsidRPr="00A55626">
        <w:rPr>
          <w:rFonts w:ascii="Times New Roman" w:hAnsi="Times New Roman"/>
        </w:rPr>
        <w:t xml:space="preserve"> wordt verruimd tot </w:t>
      </w:r>
      <w:r>
        <w:rPr>
          <w:rFonts w:ascii="Times New Roman" w:hAnsi="Times New Roman"/>
        </w:rPr>
        <w:t>“</w:t>
      </w:r>
      <w:r w:rsidRPr="00A55626">
        <w:rPr>
          <w:rFonts w:ascii="Times New Roman" w:hAnsi="Times New Roman"/>
        </w:rPr>
        <w:t>het geheel van processen en methodologie om wetenschappelijke basiskennis om te zetten in concrete innovaties zodat thema’s zoals economische innovatie, design, gedragswetenschappen, … meer aan bod kunnen komen</w:t>
      </w:r>
      <w:r>
        <w:rPr>
          <w:rFonts w:ascii="Times New Roman" w:hAnsi="Times New Roman"/>
        </w:rPr>
        <w:t>”;</w:t>
      </w:r>
      <w:r w:rsidRPr="00A55626">
        <w:rPr>
          <w:rFonts w:ascii="Times New Roman" w:hAnsi="Times New Roman"/>
        </w:rPr>
        <w:t xml:space="preserve"> </w:t>
      </w:r>
    </w:p>
    <w:p w:rsidR="006E238F" w:rsidRPr="00A55626" w:rsidRDefault="006E238F" w:rsidP="004B7DEB">
      <w:pPr>
        <w:pStyle w:val="NoSpacing"/>
        <w:numPr>
          <w:ilvl w:val="0"/>
          <w:numId w:val="6"/>
        </w:numPr>
        <w:jc w:val="both"/>
        <w:rPr>
          <w:rFonts w:ascii="Times New Roman" w:hAnsi="Times New Roman"/>
        </w:rPr>
      </w:pPr>
      <w:r>
        <w:rPr>
          <w:rFonts w:ascii="Times New Roman" w:hAnsi="Times New Roman"/>
        </w:rPr>
        <w:t>e</w:t>
      </w:r>
      <w:r w:rsidRPr="00A55626">
        <w:rPr>
          <w:rFonts w:ascii="Times New Roman" w:hAnsi="Times New Roman"/>
        </w:rPr>
        <w:t>r wordt meer aandacht gegeven aan het feit dat ondernemingen uit de social profit sector ook behoren tot de doelgroep van TETRA</w:t>
      </w:r>
      <w:r>
        <w:rPr>
          <w:rFonts w:ascii="Times New Roman" w:hAnsi="Times New Roman"/>
        </w:rPr>
        <w:t>;</w:t>
      </w:r>
    </w:p>
    <w:p w:rsidR="006E238F" w:rsidRPr="00A55626" w:rsidRDefault="006E238F" w:rsidP="004B7DEB">
      <w:pPr>
        <w:pStyle w:val="NoSpacing"/>
        <w:numPr>
          <w:ilvl w:val="0"/>
          <w:numId w:val="6"/>
        </w:numPr>
        <w:jc w:val="both"/>
        <w:rPr>
          <w:rFonts w:ascii="Times New Roman" w:hAnsi="Times New Roman"/>
        </w:rPr>
      </w:pPr>
      <w:r w:rsidRPr="00A55626">
        <w:rPr>
          <w:rFonts w:ascii="Times New Roman" w:hAnsi="Times New Roman"/>
        </w:rPr>
        <w:t>TETRA</w:t>
      </w:r>
      <w:r>
        <w:rPr>
          <w:rFonts w:ascii="Times New Roman" w:hAnsi="Times New Roman"/>
        </w:rPr>
        <w:t>-</w:t>
      </w:r>
      <w:r w:rsidRPr="00A55626">
        <w:rPr>
          <w:rFonts w:ascii="Times New Roman" w:hAnsi="Times New Roman"/>
        </w:rPr>
        <w:t>projecten worden gepositioneerd als projecten die afgerond worden in een periode van 2 jaar met een duidelijke overdracht van kennis naar Vlaamse ondernemingen. De mogelijkheid om projecten in te dienen voor 3 jaar wordt beperkt tot de internationale aanvragen om de synchronisatie met de buitenlandse partner mogelijk te maken</w:t>
      </w:r>
      <w:r>
        <w:rPr>
          <w:rFonts w:ascii="Times New Roman" w:hAnsi="Times New Roman"/>
        </w:rPr>
        <w:t>;</w:t>
      </w:r>
      <w:r w:rsidRPr="00A55626">
        <w:rPr>
          <w:rFonts w:ascii="Times New Roman" w:hAnsi="Times New Roman"/>
        </w:rPr>
        <w:t xml:space="preserve"> </w:t>
      </w:r>
    </w:p>
    <w:p w:rsidR="006E238F" w:rsidRPr="00A55626" w:rsidRDefault="006E238F" w:rsidP="004B7DEB">
      <w:pPr>
        <w:pStyle w:val="NoSpacing"/>
        <w:numPr>
          <w:ilvl w:val="0"/>
          <w:numId w:val="6"/>
        </w:numPr>
        <w:jc w:val="both"/>
        <w:rPr>
          <w:rFonts w:ascii="Times New Roman" w:hAnsi="Times New Roman"/>
        </w:rPr>
      </w:pPr>
      <w:r>
        <w:rPr>
          <w:rFonts w:ascii="Times New Roman" w:hAnsi="Times New Roman"/>
        </w:rPr>
        <w:t>d</w:t>
      </w:r>
      <w:r w:rsidRPr="00A55626">
        <w:rPr>
          <w:rFonts w:ascii="Times New Roman" w:hAnsi="Times New Roman"/>
        </w:rPr>
        <w:t xml:space="preserve">e mogelijkheid om een voorbereidend traject van 1 jaar te laten financieren via TETRA wordt voorlopig behouden, maar enkel voor </w:t>
      </w:r>
      <w:r>
        <w:rPr>
          <w:rFonts w:ascii="Times New Roman" w:hAnsi="Times New Roman"/>
        </w:rPr>
        <w:t>o</w:t>
      </w:r>
      <w:r w:rsidRPr="00A55626">
        <w:rPr>
          <w:rFonts w:ascii="Times New Roman" w:hAnsi="Times New Roman"/>
        </w:rPr>
        <w:t xml:space="preserve">nderzoekers verbonden aan professionele bacheloropleidingen. </w:t>
      </w:r>
    </w:p>
    <w:p w:rsidR="006E238F" w:rsidRPr="00A55626" w:rsidRDefault="006E238F" w:rsidP="004B7DEB">
      <w:pPr>
        <w:pStyle w:val="NoSpacing"/>
        <w:jc w:val="both"/>
        <w:rPr>
          <w:rFonts w:ascii="Times New Roman" w:hAnsi="Times New Roman"/>
        </w:rPr>
      </w:pPr>
    </w:p>
    <w:p w:rsidR="006E238F" w:rsidRPr="005374DD" w:rsidRDefault="006E238F" w:rsidP="004B7DEB">
      <w:pPr>
        <w:pStyle w:val="NoSpacing"/>
        <w:numPr>
          <w:ilvl w:val="0"/>
          <w:numId w:val="5"/>
        </w:numPr>
        <w:jc w:val="both"/>
        <w:rPr>
          <w:rFonts w:ascii="Times New Roman" w:hAnsi="Times New Roman"/>
        </w:rPr>
      </w:pPr>
      <w:r w:rsidRPr="005374DD">
        <w:rPr>
          <w:rFonts w:ascii="Times New Roman" w:hAnsi="Times New Roman"/>
        </w:rPr>
        <w:t xml:space="preserve">De aanpassingen van 2008 hadden tot doel om te kiezen voor de projecten die zich richten op de overdracht van (technologische) kennis op een zeer concrete, praktische wijze zodat ondernemingen direct na afloop van het TETRA-project zelf aan de slag kunnen met die kennis voor hun innovaties. Uit de portfolioanalyse blijkt dat het IWT erin geslaagd is om die projecten te selecteren. Alle technologiedomeinen komen aan bod. De projecten in uitvoering sinds 2009 zijn veel meer gericht op samenwerking met de toekomstige gebruikers van de projectresultaten en er wordt meer aandacht besteed aan activiteiten zoals interactieve workshops en casestudies samen met ondernemingen. Projecten die teveel gericht zijn op basisonderzoek met vooral wetenschappelijke output (publicaties) komen niet meer in aanmerking als TETRA-project. </w:t>
      </w:r>
      <w:r>
        <w:rPr>
          <w:rFonts w:ascii="Times New Roman" w:hAnsi="Times New Roman"/>
        </w:rPr>
        <w:tab/>
      </w:r>
      <w:r w:rsidRPr="005374DD">
        <w:rPr>
          <w:rFonts w:ascii="Times New Roman" w:hAnsi="Times New Roman"/>
        </w:rPr>
        <w:br/>
      </w:r>
    </w:p>
    <w:p w:rsidR="006E238F" w:rsidRPr="00A55626" w:rsidRDefault="006E238F" w:rsidP="004B7DEB">
      <w:pPr>
        <w:pStyle w:val="NoSpacing"/>
        <w:ind w:left="360"/>
        <w:jc w:val="both"/>
        <w:rPr>
          <w:rFonts w:ascii="Times New Roman" w:hAnsi="Times New Roman"/>
        </w:rPr>
      </w:pPr>
      <w:r w:rsidRPr="00A55626">
        <w:rPr>
          <w:rFonts w:ascii="Times New Roman" w:hAnsi="Times New Roman"/>
        </w:rPr>
        <w:t xml:space="preserve">Het is wel zo dat er nog steeds veel projectaanvragen ingediend worden die niet passen in het </w:t>
      </w:r>
      <w:r>
        <w:rPr>
          <w:rFonts w:ascii="Times New Roman" w:hAnsi="Times New Roman"/>
        </w:rPr>
        <w:t>TETRA-</w:t>
      </w:r>
      <w:r w:rsidRPr="00A55626">
        <w:rPr>
          <w:rFonts w:ascii="Times New Roman" w:hAnsi="Times New Roman"/>
        </w:rPr>
        <w:t>kanaal (teveel basisonderzoek of te weinig collectief). Hiervoor wordt de communicatie aangescherpt</w:t>
      </w:r>
      <w:r>
        <w:rPr>
          <w:rFonts w:ascii="Times New Roman" w:hAnsi="Times New Roman"/>
        </w:rPr>
        <w:t>.</w:t>
      </w:r>
    </w:p>
    <w:p w:rsidR="006E238F" w:rsidRDefault="006E238F" w:rsidP="004B7DEB">
      <w:pPr>
        <w:pStyle w:val="NoSpacing"/>
        <w:jc w:val="both"/>
        <w:rPr>
          <w:rFonts w:ascii="Times New Roman" w:hAnsi="Times New Roman"/>
        </w:rPr>
      </w:pPr>
    </w:p>
    <w:p w:rsidR="006E238F" w:rsidRDefault="006E238F" w:rsidP="004B7DEB">
      <w:pPr>
        <w:pStyle w:val="NoSpacing"/>
        <w:numPr>
          <w:ilvl w:val="0"/>
          <w:numId w:val="5"/>
        </w:numPr>
        <w:jc w:val="both"/>
        <w:rPr>
          <w:rFonts w:ascii="Times New Roman" w:hAnsi="Times New Roman"/>
        </w:rPr>
      </w:pPr>
      <w:r w:rsidRPr="00A55626">
        <w:rPr>
          <w:rFonts w:ascii="Times New Roman" w:hAnsi="Times New Roman"/>
        </w:rPr>
        <w:t>De geselecteerde projecten sinds 2008 voldoen aan de verwachtingen zoals geformuleerd door de ondernemingen tijdens de output- en effectenanalyse van 2007. Voor een nieuwe intensieve bevraging en effectenmeting is het nu nog te vroeg, aangezien er nog veel projecten niet afgerond zijn.</w:t>
      </w:r>
    </w:p>
    <w:p w:rsidR="006E238F" w:rsidRDefault="006E238F" w:rsidP="004B7DEB">
      <w:pPr>
        <w:pStyle w:val="NoSpacing"/>
        <w:jc w:val="both"/>
        <w:rPr>
          <w:rFonts w:ascii="Times New Roman" w:hAnsi="Times New Roman"/>
        </w:rPr>
      </w:pPr>
    </w:p>
    <w:p w:rsidR="006E238F" w:rsidRPr="00A55626" w:rsidRDefault="006E238F" w:rsidP="004B7DEB">
      <w:pPr>
        <w:pStyle w:val="NoSpacing"/>
        <w:numPr>
          <w:ilvl w:val="0"/>
          <w:numId w:val="5"/>
        </w:numPr>
        <w:jc w:val="both"/>
        <w:rPr>
          <w:rFonts w:ascii="Times New Roman" w:hAnsi="Times New Roman"/>
        </w:rPr>
      </w:pPr>
      <w:r w:rsidRPr="00A55626">
        <w:rPr>
          <w:rFonts w:ascii="Times New Roman" w:hAnsi="Times New Roman"/>
        </w:rPr>
        <w:t>De PWO</w:t>
      </w:r>
      <w:r>
        <w:rPr>
          <w:rFonts w:ascii="Times New Roman" w:hAnsi="Times New Roman"/>
        </w:rPr>
        <w:t>-</w:t>
      </w:r>
      <w:r w:rsidRPr="00A55626">
        <w:rPr>
          <w:rFonts w:ascii="Times New Roman" w:hAnsi="Times New Roman"/>
        </w:rPr>
        <w:t>projecten zijn kleiner dan TETRA</w:t>
      </w:r>
      <w:r>
        <w:rPr>
          <w:rFonts w:ascii="Times New Roman" w:hAnsi="Times New Roman"/>
        </w:rPr>
        <w:t>-</w:t>
      </w:r>
      <w:r w:rsidRPr="00A55626">
        <w:rPr>
          <w:rFonts w:ascii="Times New Roman" w:hAnsi="Times New Roman"/>
        </w:rPr>
        <w:t>projecten en behandelen meestal andere aspecten (data-analyse, wetenschappelijk onderzoek, h</w:t>
      </w:r>
      <w:bookmarkStart w:id="0" w:name="_GoBack"/>
      <w:bookmarkEnd w:id="0"/>
      <w:r w:rsidRPr="00A55626">
        <w:rPr>
          <w:rFonts w:ascii="Times New Roman" w:hAnsi="Times New Roman"/>
        </w:rPr>
        <w:t>aalbaarheidsstudies,</w:t>
      </w:r>
      <w:r>
        <w:rPr>
          <w:rFonts w:ascii="Times New Roman" w:hAnsi="Times New Roman"/>
        </w:rPr>
        <w:t xml:space="preserve"> </w:t>
      </w:r>
      <w:r w:rsidRPr="00A55626">
        <w:rPr>
          <w:rFonts w:ascii="Times New Roman" w:hAnsi="Times New Roman"/>
        </w:rPr>
        <w:t xml:space="preserve">…). PWO en TETRA zijn duidelijk complementair aan elkaar. De onderzoeksdirecties van de hogescholen verwachten dat een aantal onderzoekers de volgende jaren doorstromen vanuit PWO naar TETRA. </w:t>
      </w:r>
    </w:p>
    <w:sectPr w:rsidR="006E238F" w:rsidRPr="00A55626" w:rsidSect="003A71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4A7F"/>
    <w:multiLevelType w:val="hybridMultilevel"/>
    <w:tmpl w:val="577C8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B470F3F"/>
    <w:multiLevelType w:val="hybridMultilevel"/>
    <w:tmpl w:val="0C44FC7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36AF1E1D"/>
    <w:multiLevelType w:val="hybridMultilevel"/>
    <w:tmpl w:val="D72EB612"/>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6E627D51"/>
    <w:multiLevelType w:val="hybridMultilevel"/>
    <w:tmpl w:val="06183484"/>
    <w:lvl w:ilvl="0" w:tplc="0813000F">
      <w:start w:val="1"/>
      <w:numFmt w:val="decimal"/>
      <w:lvlText w:val="%1."/>
      <w:lvlJc w:val="left"/>
      <w:pPr>
        <w:ind w:left="360" w:hanging="360"/>
      </w:pPr>
      <w:rPr>
        <w:rFonts w:cs="Times New Roman" w:hint="default"/>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
    <w:nsid w:val="6F810028"/>
    <w:multiLevelType w:val="multilevel"/>
    <w:tmpl w:val="CFEA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84FD8"/>
    <w:multiLevelType w:val="hybridMultilevel"/>
    <w:tmpl w:val="3438C6AA"/>
    <w:lvl w:ilvl="0" w:tplc="BC7C7F7A">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786747A9"/>
    <w:multiLevelType w:val="hybridMultilevel"/>
    <w:tmpl w:val="D1DED32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7E217F79"/>
    <w:multiLevelType w:val="hybridMultilevel"/>
    <w:tmpl w:val="57EC85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C5B"/>
    <w:rsid w:val="00033E92"/>
    <w:rsid w:val="00095876"/>
    <w:rsid w:val="000A2D74"/>
    <w:rsid w:val="0010289D"/>
    <w:rsid w:val="001103A7"/>
    <w:rsid w:val="00141BFF"/>
    <w:rsid w:val="00142BCE"/>
    <w:rsid w:val="00155C91"/>
    <w:rsid w:val="001640CE"/>
    <w:rsid w:val="00171750"/>
    <w:rsid w:val="001927FA"/>
    <w:rsid w:val="001A362B"/>
    <w:rsid w:val="001B2938"/>
    <w:rsid w:val="002331B9"/>
    <w:rsid w:val="00261056"/>
    <w:rsid w:val="002D69E6"/>
    <w:rsid w:val="003333CB"/>
    <w:rsid w:val="003A71E9"/>
    <w:rsid w:val="003B1816"/>
    <w:rsid w:val="003C1F7F"/>
    <w:rsid w:val="003D0009"/>
    <w:rsid w:val="003D78D0"/>
    <w:rsid w:val="003E486E"/>
    <w:rsid w:val="00402D21"/>
    <w:rsid w:val="00461694"/>
    <w:rsid w:val="00465F52"/>
    <w:rsid w:val="004B7DEB"/>
    <w:rsid w:val="00503799"/>
    <w:rsid w:val="005374DD"/>
    <w:rsid w:val="00544C16"/>
    <w:rsid w:val="005651B5"/>
    <w:rsid w:val="00621F64"/>
    <w:rsid w:val="00646CB0"/>
    <w:rsid w:val="006A4EB1"/>
    <w:rsid w:val="006B0BEB"/>
    <w:rsid w:val="006E238F"/>
    <w:rsid w:val="00793DDB"/>
    <w:rsid w:val="007F7A11"/>
    <w:rsid w:val="0081620D"/>
    <w:rsid w:val="00825330"/>
    <w:rsid w:val="008508A2"/>
    <w:rsid w:val="008E4975"/>
    <w:rsid w:val="00926001"/>
    <w:rsid w:val="00952C6A"/>
    <w:rsid w:val="009536FF"/>
    <w:rsid w:val="00970C97"/>
    <w:rsid w:val="009A608B"/>
    <w:rsid w:val="009C7F47"/>
    <w:rsid w:val="009F551D"/>
    <w:rsid w:val="00A01CEE"/>
    <w:rsid w:val="00A02BBB"/>
    <w:rsid w:val="00A15E09"/>
    <w:rsid w:val="00A24C5B"/>
    <w:rsid w:val="00A35135"/>
    <w:rsid w:val="00A357D2"/>
    <w:rsid w:val="00A52559"/>
    <w:rsid w:val="00A55626"/>
    <w:rsid w:val="00A705C7"/>
    <w:rsid w:val="00AA7AB4"/>
    <w:rsid w:val="00AD10D6"/>
    <w:rsid w:val="00AD6DE9"/>
    <w:rsid w:val="00AF0C5F"/>
    <w:rsid w:val="00B0533C"/>
    <w:rsid w:val="00B1167C"/>
    <w:rsid w:val="00B46BC4"/>
    <w:rsid w:val="00B96001"/>
    <w:rsid w:val="00C33270"/>
    <w:rsid w:val="00C62E50"/>
    <w:rsid w:val="00C639BE"/>
    <w:rsid w:val="00C6601E"/>
    <w:rsid w:val="00C72AE0"/>
    <w:rsid w:val="00CB050A"/>
    <w:rsid w:val="00CC4A7A"/>
    <w:rsid w:val="00DB4DE5"/>
    <w:rsid w:val="00DD0389"/>
    <w:rsid w:val="00E96031"/>
    <w:rsid w:val="00ED68E4"/>
    <w:rsid w:val="00ED7886"/>
    <w:rsid w:val="00EF014B"/>
    <w:rsid w:val="00F52680"/>
    <w:rsid w:val="00F63E63"/>
    <w:rsid w:val="00F76462"/>
    <w:rsid w:val="00FD2D9C"/>
    <w:rsid w:val="00FD3D6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26"/>
    <w:rPr>
      <w:rFonts w:ascii="Times New Roman" w:eastAsia="Times New Roman" w:hAnsi="Times New Roman"/>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4C5B"/>
    <w:rPr>
      <w:rFonts w:cs="Times New Roman"/>
      <w:color w:val="0000FF"/>
      <w:u w:val="single"/>
    </w:rPr>
  </w:style>
  <w:style w:type="character" w:styleId="Strong">
    <w:name w:val="Strong"/>
    <w:basedOn w:val="DefaultParagraphFont"/>
    <w:uiPriority w:val="99"/>
    <w:qFormat/>
    <w:rsid w:val="00A24C5B"/>
    <w:rPr>
      <w:rFonts w:cs="Times New Roman"/>
      <w:b/>
      <w:bCs/>
    </w:rPr>
  </w:style>
  <w:style w:type="character" w:styleId="Emphasis">
    <w:name w:val="Emphasis"/>
    <w:basedOn w:val="DefaultParagraphFont"/>
    <w:uiPriority w:val="99"/>
    <w:qFormat/>
    <w:rsid w:val="00A24C5B"/>
    <w:rPr>
      <w:rFonts w:cs="Times New Roman"/>
      <w:i/>
      <w:iCs/>
    </w:rPr>
  </w:style>
  <w:style w:type="paragraph" w:styleId="ListParagraph">
    <w:name w:val="List Paragraph"/>
    <w:basedOn w:val="Normal"/>
    <w:uiPriority w:val="99"/>
    <w:qFormat/>
    <w:rsid w:val="002331B9"/>
    <w:pPr>
      <w:spacing w:after="200" w:line="276" w:lineRule="auto"/>
      <w:ind w:left="720"/>
      <w:contextualSpacing/>
    </w:pPr>
    <w:rPr>
      <w:rFonts w:ascii="Calibri" w:eastAsia="Calibri" w:hAnsi="Calibri"/>
      <w:sz w:val="22"/>
      <w:szCs w:val="22"/>
      <w:lang w:val="nl-BE" w:eastAsia="en-US"/>
    </w:rPr>
  </w:style>
  <w:style w:type="paragraph" w:styleId="BalloonText">
    <w:name w:val="Balloon Text"/>
    <w:basedOn w:val="Normal"/>
    <w:link w:val="BalloonTextChar"/>
    <w:uiPriority w:val="99"/>
    <w:semiHidden/>
    <w:rsid w:val="009260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001"/>
    <w:rPr>
      <w:rFonts w:ascii="Tahoma" w:hAnsi="Tahoma" w:cs="Tahoma"/>
      <w:sz w:val="16"/>
      <w:szCs w:val="16"/>
    </w:rPr>
  </w:style>
  <w:style w:type="paragraph" w:customStyle="1" w:styleId="SVVlaamsParlement">
    <w:name w:val="SV Vlaams Parlement"/>
    <w:basedOn w:val="Normal"/>
    <w:uiPriority w:val="99"/>
    <w:rsid w:val="001640CE"/>
    <w:pPr>
      <w:jc w:val="both"/>
    </w:pPr>
    <w:rPr>
      <w:b/>
      <w:smallCaps/>
      <w:sz w:val="22"/>
      <w:szCs w:val="20"/>
    </w:rPr>
  </w:style>
  <w:style w:type="paragraph" w:customStyle="1" w:styleId="StandaardSV">
    <w:name w:val="Standaard SV"/>
    <w:basedOn w:val="Normal"/>
    <w:uiPriority w:val="99"/>
    <w:rsid w:val="001640CE"/>
    <w:pPr>
      <w:jc w:val="both"/>
    </w:pPr>
    <w:rPr>
      <w:sz w:val="22"/>
      <w:szCs w:val="20"/>
    </w:rPr>
  </w:style>
  <w:style w:type="paragraph" w:styleId="NoSpacing">
    <w:name w:val="No Spacing"/>
    <w:uiPriority w:val="99"/>
    <w:qFormat/>
    <w:rsid w:val="00A5562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536</Words>
  <Characters>2949</Characters>
  <Application>Microsoft Office Outlook</Application>
  <DocSecurity>0</DocSecurity>
  <Lines>0</Lines>
  <Paragraphs>0</Paragraphs>
  <ScaleCrop>false</ScaleCrop>
  <Company>IWT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Arents</dc:creator>
  <cp:keywords/>
  <dc:description/>
  <cp:lastModifiedBy>Vlaams Parlement</cp:lastModifiedBy>
  <cp:revision>3</cp:revision>
  <cp:lastPrinted>2012-01-12T12:59:00Z</cp:lastPrinted>
  <dcterms:created xsi:type="dcterms:W3CDTF">2012-01-25T13:13:00Z</dcterms:created>
  <dcterms:modified xsi:type="dcterms:W3CDTF">2012-02-01T07:44:00Z</dcterms:modified>
</cp:coreProperties>
</file>