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F6" w:rsidRPr="00A8473D" w:rsidRDefault="007929F6" w:rsidP="00D61A12">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7929F6" w:rsidRPr="00A8473D" w:rsidRDefault="007929F6" w:rsidP="00DE405B">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7929F6" w:rsidRPr="00DE405B" w:rsidRDefault="007929F6" w:rsidP="00AD549A">
      <w:pPr>
        <w:pStyle w:val="StandaardSV"/>
        <w:pBdr>
          <w:bottom w:val="single" w:sz="4" w:space="1" w:color="auto"/>
        </w:pBdr>
        <w:rPr>
          <w:lang w:val="nl-BE"/>
        </w:rPr>
      </w:pPr>
    </w:p>
    <w:p w:rsidR="007929F6" w:rsidRDefault="007929F6" w:rsidP="00AD549A">
      <w:pPr>
        <w:jc w:val="both"/>
        <w:rPr>
          <w:sz w:val="22"/>
        </w:rPr>
      </w:pPr>
    </w:p>
    <w:p w:rsidR="007929F6" w:rsidRDefault="007929F6" w:rsidP="00D61A12">
      <w:pPr>
        <w:jc w:val="both"/>
        <w:outlineLvl w:val="0"/>
        <w:rPr>
          <w:sz w:val="22"/>
        </w:rPr>
      </w:pPr>
      <w:r>
        <w:rPr>
          <w:b/>
          <w:smallCaps/>
          <w:sz w:val="22"/>
        </w:rPr>
        <w:t xml:space="preserve">gecoördineerd </w:t>
      </w:r>
      <w:r w:rsidRPr="00A15AA3">
        <w:rPr>
          <w:b/>
          <w:smallCaps/>
          <w:sz w:val="22"/>
        </w:rPr>
        <w:t>antwoord</w:t>
      </w:r>
      <w:r>
        <w:rPr>
          <w:sz w:val="22"/>
        </w:rPr>
        <w:t xml:space="preserve"> </w:t>
      </w:r>
    </w:p>
    <w:p w:rsidR="007929F6" w:rsidRDefault="007929F6" w:rsidP="00A15AA3">
      <w:pPr>
        <w:jc w:val="both"/>
        <w:outlineLvl w:val="0"/>
        <w:rPr>
          <w:sz w:val="22"/>
        </w:rPr>
      </w:pPr>
      <w:r>
        <w:rPr>
          <w:sz w:val="22"/>
        </w:rPr>
        <w:t>op vraag nr. 88 van 18 november 2011</w:t>
      </w:r>
    </w:p>
    <w:p w:rsidR="007929F6" w:rsidRDefault="007929F6" w:rsidP="00AD549A">
      <w:pPr>
        <w:jc w:val="both"/>
        <w:rPr>
          <w:b/>
          <w:sz w:val="22"/>
        </w:rPr>
      </w:pPr>
      <w:r>
        <w:rPr>
          <w:sz w:val="22"/>
        </w:rPr>
        <w:t xml:space="preserve">van </w:t>
      </w:r>
      <w:r>
        <w:rPr>
          <w:b/>
          <w:smallCaps/>
          <w:sz w:val="22"/>
        </w:rPr>
        <w:t>jos de meyer</w:t>
      </w:r>
    </w:p>
    <w:p w:rsidR="007929F6" w:rsidRDefault="007929F6" w:rsidP="00AD549A">
      <w:pPr>
        <w:pBdr>
          <w:bottom w:val="single" w:sz="4" w:space="1" w:color="auto"/>
        </w:pBdr>
        <w:jc w:val="both"/>
        <w:rPr>
          <w:sz w:val="22"/>
        </w:rPr>
      </w:pPr>
    </w:p>
    <w:p w:rsidR="007929F6" w:rsidRDefault="007929F6" w:rsidP="00AD549A">
      <w:pPr>
        <w:pStyle w:val="StandaardSV"/>
      </w:pPr>
    </w:p>
    <w:p w:rsidR="007929F6" w:rsidRDefault="007929F6" w:rsidP="00A15AA3">
      <w:pPr>
        <w:pStyle w:val="StandaardSV"/>
      </w:pPr>
    </w:p>
    <w:p w:rsidR="007929F6" w:rsidRDefault="007929F6" w:rsidP="00A15AA3">
      <w:pPr>
        <w:pStyle w:val="StandaardSV"/>
        <w:numPr>
          <w:ilvl w:val="0"/>
          <w:numId w:val="28"/>
        </w:numPr>
        <w:ind w:left="426" w:hanging="426"/>
      </w:pPr>
      <w:r>
        <w:t>Neen, meestal worden door de schuldeisers alle of specifieke betalingen overgenomen. Slechts uitzonderlijk wordt beslag gelegd op de opbrengst van verkoop van rechten.</w:t>
      </w:r>
    </w:p>
    <w:p w:rsidR="007929F6" w:rsidRDefault="007929F6" w:rsidP="00A15AA3">
      <w:pPr>
        <w:pStyle w:val="StandaardSV"/>
        <w:ind w:left="426"/>
      </w:pPr>
    </w:p>
    <w:p w:rsidR="007929F6" w:rsidRDefault="007929F6" w:rsidP="00A15AA3">
      <w:pPr>
        <w:pStyle w:val="StandaardSV"/>
        <w:numPr>
          <w:ilvl w:val="0"/>
          <w:numId w:val="28"/>
        </w:numPr>
        <w:ind w:left="426" w:hanging="426"/>
      </w:pPr>
      <w:r>
        <w:t>In het boekjaar 2011 werden voor 92 landbouwers alle premies direct afgeleid naar een derdeb</w:t>
      </w:r>
      <w:r>
        <w:t>e</w:t>
      </w:r>
      <w:r>
        <w:t xml:space="preserve">gunstigde. Hierbij was 73 keer een financiële instelling betrokken. </w:t>
      </w:r>
    </w:p>
    <w:p w:rsidR="007929F6" w:rsidRDefault="007929F6" w:rsidP="00A15AA3">
      <w:pPr>
        <w:pStyle w:val="StandaardSV"/>
        <w:ind w:left="852" w:hanging="426"/>
      </w:pPr>
      <w:r>
        <w:t xml:space="preserve">Voor 42 landbouwers werden de premies deels afgeleid naar een derdebegunstigde. </w:t>
      </w:r>
    </w:p>
    <w:p w:rsidR="007929F6" w:rsidRDefault="007929F6" w:rsidP="00A15AA3">
      <w:pPr>
        <w:pStyle w:val="StandaardSV"/>
        <w:ind w:left="426"/>
      </w:pPr>
      <w:r>
        <w:t>De meeste van de hierboven vermelde gevallen ontvingen MTR-premies en/of dierlijke sector premies. Een beperkt aantal ontving echter enkel premies in het kader van plattelandsontwikk</w:t>
      </w:r>
      <w:r>
        <w:t>e</w:t>
      </w:r>
      <w:r>
        <w:t>ling. Een beperkt aantal betreft enkel bewarende beslagen, afleidingen naar curatoren in het kader van faillissementsprocedures of afleidingen in onderling akkoord tussen de betrokkene en een derde partij die geen financiële instelling of overheidsdienst is.</w:t>
      </w:r>
    </w:p>
    <w:p w:rsidR="007929F6" w:rsidRDefault="007929F6" w:rsidP="00A15AA3">
      <w:pPr>
        <w:pStyle w:val="StandaardSV"/>
        <w:ind w:left="426"/>
      </w:pPr>
    </w:p>
    <w:p w:rsidR="007929F6" w:rsidRDefault="007929F6" w:rsidP="00A15AA3">
      <w:pPr>
        <w:pStyle w:val="StandaardSV"/>
        <w:numPr>
          <w:ilvl w:val="0"/>
          <w:numId w:val="28"/>
        </w:numPr>
        <w:ind w:left="426" w:hanging="426"/>
      </w:pPr>
      <w:r>
        <w:t>De direct naar een derde begunstigde afgeleide premies bedroegen 1,57 miljoen EUR in boekjaar 2011.</w:t>
      </w:r>
    </w:p>
    <w:p w:rsidR="007929F6" w:rsidRDefault="007929F6" w:rsidP="00A15AA3">
      <w:pPr>
        <w:pStyle w:val="StandaardSV"/>
        <w:ind w:left="426"/>
      </w:pPr>
    </w:p>
    <w:p w:rsidR="007929F6" w:rsidRDefault="007929F6" w:rsidP="00056CDF">
      <w:pPr>
        <w:pStyle w:val="ListParagraph"/>
        <w:numPr>
          <w:ilvl w:val="0"/>
          <w:numId w:val="28"/>
        </w:numPr>
        <w:ind w:left="426" w:hanging="426"/>
        <w:jc w:val="both"/>
        <w:rPr>
          <w:sz w:val="22"/>
          <w:szCs w:val="20"/>
        </w:rPr>
      </w:pPr>
      <w:r w:rsidRPr="00A72A1D">
        <w:rPr>
          <w:sz w:val="22"/>
          <w:szCs w:val="20"/>
        </w:rPr>
        <w:t>Bij de verkoop van MTR-rechten of premierechten voor zoogkoeien komt de administratie niet tussen, zij registreert enkel. Bij de verkoop van quotumfonds rechten heeft de administratie wel al een actieve rol gespeeld.</w:t>
      </w:r>
    </w:p>
    <w:p w:rsidR="007929F6" w:rsidRPr="00A72A1D" w:rsidRDefault="007929F6" w:rsidP="00A15AA3">
      <w:pPr>
        <w:pStyle w:val="ListParagraph"/>
        <w:ind w:left="426"/>
        <w:rPr>
          <w:sz w:val="22"/>
          <w:szCs w:val="20"/>
        </w:rPr>
      </w:pPr>
    </w:p>
    <w:p w:rsidR="007929F6" w:rsidRDefault="007929F6" w:rsidP="00A15AA3">
      <w:pPr>
        <w:pStyle w:val="StandaardSV"/>
        <w:numPr>
          <w:ilvl w:val="0"/>
          <w:numId w:val="28"/>
        </w:numPr>
        <w:ind w:left="426" w:hanging="426"/>
      </w:pPr>
      <w:r>
        <w:t>Als meerdere schuldeisers zich aanbieden, worden bepaalde voorrangsregels gevolgd of uitzo</w:t>
      </w:r>
      <w:r>
        <w:t>n</w:t>
      </w:r>
      <w:r>
        <w:t>derlijk een pondspondsgewijze verdeling toegepast.</w:t>
      </w:r>
    </w:p>
    <w:p w:rsidR="007929F6" w:rsidRDefault="007929F6" w:rsidP="00A15AA3">
      <w:pPr>
        <w:pStyle w:val="StandaardSV"/>
        <w:ind w:left="426"/>
      </w:pPr>
    </w:p>
    <w:p w:rsidR="007929F6" w:rsidRDefault="007929F6" w:rsidP="00A15AA3">
      <w:pPr>
        <w:pStyle w:val="StandaardSV"/>
        <w:numPr>
          <w:ilvl w:val="0"/>
          <w:numId w:val="28"/>
        </w:numPr>
        <w:ind w:left="426" w:hanging="426"/>
      </w:pPr>
      <w:r>
        <w:t>Betalingen worden uiteraard slechts afgeleid als hiervoor een juridische grondslag is. De mes</w:t>
      </w:r>
      <w:r>
        <w:t>t</w:t>
      </w:r>
      <w:r>
        <w:t>bank kan dwangbevelen uitvaardigen via een gerechtsdeurwaarder voor niet geïnde administr</w:t>
      </w:r>
      <w:r>
        <w:t>a</w:t>
      </w:r>
      <w:r>
        <w:t>tieve geldboetes en toebehoren. FOD Financiën kan zelf dwangschriften uitvaardigen en verwijst hierbij steeds naar de betrokken reglementering. Financiële instellingen verwijzen steeds naar het betrokken artikel in de kredietakte. Leveranciers kunnen premies opvragen als ze de instemming van de betrokkene kunnen aantonen.</w:t>
      </w:r>
    </w:p>
    <w:p w:rsidR="007929F6" w:rsidRDefault="007929F6" w:rsidP="00A15AA3">
      <w:pPr>
        <w:pStyle w:val="StandaardSV"/>
        <w:ind w:left="426"/>
      </w:pPr>
      <w:r w:rsidRPr="001741B1">
        <w:t xml:space="preserve">In 2010 </w:t>
      </w:r>
      <w:r>
        <w:t xml:space="preserve">heeft de Mestbank </w:t>
      </w:r>
      <w:r w:rsidRPr="001741B1">
        <w:t xml:space="preserve">deze praktijk voor de eerste maal toegepast in 1 dossier. In 2011 werd voor 25 dossiers opdracht gegeven aan de gerechtsdeurwaarder om tot beslag over te gaan van de premies. De totale onderliggende schuld bedraagt 421.019,43 euro. </w:t>
      </w:r>
    </w:p>
    <w:p w:rsidR="007929F6" w:rsidRDefault="007929F6" w:rsidP="00A15AA3">
      <w:pPr>
        <w:pStyle w:val="StandaardSV"/>
        <w:ind w:left="426"/>
      </w:pPr>
    </w:p>
    <w:p w:rsidR="007929F6" w:rsidRDefault="007929F6" w:rsidP="00A15AA3">
      <w:pPr>
        <w:pStyle w:val="StandaardSV"/>
        <w:numPr>
          <w:ilvl w:val="0"/>
          <w:numId w:val="28"/>
        </w:numPr>
        <w:ind w:left="426" w:hanging="426"/>
      </w:pPr>
      <w:r>
        <w:t>De betrokkene wordt ingelicht bij de aanvang en bij de opheffing van het derdenbeslag. Gedure</w:t>
      </w:r>
      <w:r>
        <w:t>n</w:t>
      </w:r>
      <w:r>
        <w:t xml:space="preserve">de de duur van het beslag verkrijgt de betrokkene minstens 1 maal per jaar een overzicht van de aan de derde begunstigde betaalde premies. </w:t>
      </w:r>
      <w:r w:rsidRPr="001741B1">
        <w:t>Voor wat betreft de uitvoerbaar verklaarde dwangb</w:t>
      </w:r>
      <w:r w:rsidRPr="001741B1">
        <w:t>e</w:t>
      </w:r>
      <w:r w:rsidRPr="001741B1">
        <w:t>velen van de Mestbank, brengt de deurwaarder binnen een tijdspanne van ongeveer twee weken na het uitvoerend beslag de betrokkene op de hoogte van het beslag.</w:t>
      </w:r>
      <w:r>
        <w:t xml:space="preserve"> </w:t>
      </w:r>
    </w:p>
    <w:p w:rsidR="007929F6" w:rsidRDefault="007929F6" w:rsidP="00A15AA3">
      <w:pPr>
        <w:pStyle w:val="StandaardSV"/>
        <w:ind w:left="426"/>
      </w:pPr>
    </w:p>
    <w:p w:rsidR="007929F6" w:rsidRDefault="007929F6" w:rsidP="00A15AA3">
      <w:pPr>
        <w:pStyle w:val="StandaardSV"/>
        <w:numPr>
          <w:ilvl w:val="0"/>
          <w:numId w:val="28"/>
        </w:numPr>
        <w:ind w:left="426" w:hanging="426"/>
      </w:pPr>
      <w:r>
        <w:t>De betrokkene kan op het e-loket raadplegen op welk rekeningnummer elke premie is gestort. Bij directe afleiding naar een derde begunstigde wordt de naam en het rekeningnummer van de de</w:t>
      </w:r>
      <w:r>
        <w:t>r</w:t>
      </w:r>
      <w:r>
        <w:t>debegunstigde vermeld. Bij gedeeltelijke afleidingen van premies wordt de Vlaamse overheid als begunstigde vermeld. Dat is ook het geval bij inhoudingen van premies ter compensatie van openstaande schulden bij het Agentschap voor Landbouw en Visserij.</w:t>
      </w:r>
    </w:p>
    <w:p w:rsidR="007929F6" w:rsidRDefault="007929F6" w:rsidP="00A15AA3">
      <w:pPr>
        <w:pStyle w:val="StandaardSV"/>
      </w:pPr>
      <w:bookmarkStart w:id="0" w:name="_GoBack"/>
      <w:bookmarkEnd w:id="0"/>
    </w:p>
    <w:p w:rsidR="007929F6" w:rsidRPr="00CE7FFA" w:rsidRDefault="007929F6" w:rsidP="00A15AA3">
      <w:pPr>
        <w:pStyle w:val="StandaardSV"/>
        <w:numPr>
          <w:ilvl w:val="0"/>
          <w:numId w:val="28"/>
        </w:numPr>
        <w:ind w:left="426" w:hanging="426"/>
      </w:pPr>
      <w:r>
        <w:t>Dergelijke discussies moeten geval per geval worden onderzocht in functie van het huwelijk</w:t>
      </w:r>
      <w:r>
        <w:t>s</w:t>
      </w:r>
      <w:r>
        <w:t>vermogenstelsel en het eigendomsrecht van de goederen waaraan deze rechten zijn verbonden.</w:t>
      </w:r>
    </w:p>
    <w:sectPr w:rsidR="007929F6" w:rsidRPr="00CE7FFA" w:rsidSect="00DF5AEC">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F6" w:rsidRDefault="007929F6">
      <w:r>
        <w:separator/>
      </w:r>
    </w:p>
  </w:endnote>
  <w:endnote w:type="continuationSeparator" w:id="0">
    <w:p w:rsidR="007929F6" w:rsidRDefault="00792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F6" w:rsidRDefault="007929F6">
      <w:r>
        <w:separator/>
      </w:r>
    </w:p>
  </w:footnote>
  <w:footnote w:type="continuationSeparator" w:id="0">
    <w:p w:rsidR="007929F6" w:rsidRDefault="00792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6">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2AFD6E38"/>
    <w:multiLevelType w:val="hybridMultilevel"/>
    <w:tmpl w:val="7A905F1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8">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5F1E5E70"/>
    <w:multiLevelType w:val="hybridMultilevel"/>
    <w:tmpl w:val="C4BC1308"/>
    <w:lvl w:ilvl="0" w:tplc="0813000F">
      <w:start w:val="1"/>
      <w:numFmt w:val="decimal"/>
      <w:lvlText w:val="%1."/>
      <w:lvlJc w:val="left"/>
      <w:pPr>
        <w:ind w:left="720" w:hanging="360"/>
      </w:pPr>
      <w:rPr>
        <w:rFonts w:cs="Times New Roman"/>
      </w:rPr>
    </w:lvl>
    <w:lvl w:ilvl="1" w:tplc="08130019">
      <w:start w:val="1"/>
      <w:numFmt w:val="decimal"/>
      <w:lvlText w:val="%2."/>
      <w:lvlJc w:val="left"/>
      <w:pPr>
        <w:tabs>
          <w:tab w:val="num" w:pos="1440"/>
        </w:tabs>
        <w:ind w:left="1440" w:hanging="360"/>
      </w:pPr>
      <w:rPr>
        <w:rFonts w:cs="Times New Roman"/>
      </w:rPr>
    </w:lvl>
    <w:lvl w:ilvl="2" w:tplc="0813001B">
      <w:start w:val="1"/>
      <w:numFmt w:val="decimal"/>
      <w:lvlText w:val="%3."/>
      <w:lvlJc w:val="left"/>
      <w:pPr>
        <w:tabs>
          <w:tab w:val="num" w:pos="2160"/>
        </w:tabs>
        <w:ind w:left="2160" w:hanging="360"/>
      </w:pPr>
      <w:rPr>
        <w:rFonts w:cs="Times New Roman"/>
      </w:rPr>
    </w:lvl>
    <w:lvl w:ilvl="3" w:tplc="0813000F">
      <w:start w:val="1"/>
      <w:numFmt w:val="decimal"/>
      <w:lvlText w:val="%4."/>
      <w:lvlJc w:val="left"/>
      <w:pPr>
        <w:tabs>
          <w:tab w:val="num" w:pos="2880"/>
        </w:tabs>
        <w:ind w:left="2880" w:hanging="360"/>
      </w:pPr>
      <w:rPr>
        <w:rFonts w:cs="Times New Roman"/>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22">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75422C10"/>
    <w:multiLevelType w:val="hybridMultilevel"/>
    <w:tmpl w:val="98324DD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0"/>
  </w:num>
  <w:num w:numId="4">
    <w:abstractNumId w:val="20"/>
  </w:num>
  <w:num w:numId="5">
    <w:abstractNumId w:val="15"/>
  </w:num>
  <w:num w:numId="6">
    <w:abstractNumId w:val="3"/>
  </w:num>
  <w:num w:numId="7">
    <w:abstractNumId w:val="24"/>
  </w:num>
  <w:num w:numId="8">
    <w:abstractNumId w:val="14"/>
  </w:num>
  <w:num w:numId="9">
    <w:abstractNumId w:val="11"/>
  </w:num>
  <w:num w:numId="10">
    <w:abstractNumId w:val="2"/>
  </w:num>
  <w:num w:numId="11">
    <w:abstractNumId w:val="10"/>
  </w:num>
  <w:num w:numId="12">
    <w:abstractNumId w:val="5"/>
  </w:num>
  <w:num w:numId="13">
    <w:abstractNumId w:val="8"/>
  </w:num>
  <w:num w:numId="14">
    <w:abstractNumId w:val="17"/>
  </w:num>
  <w:num w:numId="15">
    <w:abstractNumId w:val="9"/>
  </w:num>
  <w:num w:numId="16">
    <w:abstractNumId w:val="27"/>
  </w:num>
  <w:num w:numId="17">
    <w:abstractNumId w:val="13"/>
  </w:num>
  <w:num w:numId="18">
    <w:abstractNumId w:val="6"/>
  </w:num>
  <w:num w:numId="19">
    <w:abstractNumId w:val="18"/>
  </w:num>
  <w:num w:numId="20">
    <w:abstractNumId w:val="12"/>
  </w:num>
  <w:num w:numId="21">
    <w:abstractNumId w:val="22"/>
  </w:num>
  <w:num w:numId="22">
    <w:abstractNumId w:val="25"/>
  </w:num>
  <w:num w:numId="23">
    <w:abstractNumId w:val="1"/>
  </w:num>
  <w:num w:numId="24">
    <w:abstractNumId w:val="23"/>
  </w:num>
  <w:num w:numId="25">
    <w:abstractNumId w:val="19"/>
  </w:num>
  <w:num w:numId="26">
    <w:abstractNumId w:val="16"/>
  </w:num>
  <w:num w:numId="27">
    <w:abstractNumId w:val="7"/>
  </w:num>
  <w:num w:numId="28">
    <w:abstractNumId w:val="2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10B84"/>
    <w:rsid w:val="000458D3"/>
    <w:rsid w:val="00056CDF"/>
    <w:rsid w:val="00102476"/>
    <w:rsid w:val="001058E4"/>
    <w:rsid w:val="001141B0"/>
    <w:rsid w:val="001561C9"/>
    <w:rsid w:val="0016148B"/>
    <w:rsid w:val="001741B1"/>
    <w:rsid w:val="001755B2"/>
    <w:rsid w:val="00186A3B"/>
    <w:rsid w:val="001C0B52"/>
    <w:rsid w:val="001D50C6"/>
    <w:rsid w:val="001F713E"/>
    <w:rsid w:val="00202FA9"/>
    <w:rsid w:val="002536A1"/>
    <w:rsid w:val="002B3A83"/>
    <w:rsid w:val="002B65A3"/>
    <w:rsid w:val="002D17B8"/>
    <w:rsid w:val="002F1544"/>
    <w:rsid w:val="002F5132"/>
    <w:rsid w:val="00321F10"/>
    <w:rsid w:val="0032261D"/>
    <w:rsid w:val="0034616F"/>
    <w:rsid w:val="0035191B"/>
    <w:rsid w:val="003750D5"/>
    <w:rsid w:val="003B6A5C"/>
    <w:rsid w:val="00423F29"/>
    <w:rsid w:val="0046761C"/>
    <w:rsid w:val="0047032B"/>
    <w:rsid w:val="00472C97"/>
    <w:rsid w:val="00477EB3"/>
    <w:rsid w:val="004A56C3"/>
    <w:rsid w:val="004B42A7"/>
    <w:rsid w:val="004D21E2"/>
    <w:rsid w:val="004F3708"/>
    <w:rsid w:val="00512E83"/>
    <w:rsid w:val="0052134E"/>
    <w:rsid w:val="00540203"/>
    <w:rsid w:val="00540740"/>
    <w:rsid w:val="005B3194"/>
    <w:rsid w:val="00603FE2"/>
    <w:rsid w:val="006A5A3E"/>
    <w:rsid w:val="006F445E"/>
    <w:rsid w:val="00703501"/>
    <w:rsid w:val="00715BAC"/>
    <w:rsid w:val="007408E7"/>
    <w:rsid w:val="0074200A"/>
    <w:rsid w:val="007577A8"/>
    <w:rsid w:val="00766C70"/>
    <w:rsid w:val="007929F6"/>
    <w:rsid w:val="007A1C4E"/>
    <w:rsid w:val="00842183"/>
    <w:rsid w:val="00871942"/>
    <w:rsid w:val="008A6DA3"/>
    <w:rsid w:val="008E3430"/>
    <w:rsid w:val="009377BB"/>
    <w:rsid w:val="00995A04"/>
    <w:rsid w:val="00995F79"/>
    <w:rsid w:val="009A6335"/>
    <w:rsid w:val="00A15AA3"/>
    <w:rsid w:val="00A35E7A"/>
    <w:rsid w:val="00A3678B"/>
    <w:rsid w:val="00A72A1D"/>
    <w:rsid w:val="00A8473D"/>
    <w:rsid w:val="00AD549A"/>
    <w:rsid w:val="00AE5F4C"/>
    <w:rsid w:val="00B16D19"/>
    <w:rsid w:val="00BB2A82"/>
    <w:rsid w:val="00BB38B7"/>
    <w:rsid w:val="00BB6E27"/>
    <w:rsid w:val="00BC6939"/>
    <w:rsid w:val="00BE315B"/>
    <w:rsid w:val="00C625C9"/>
    <w:rsid w:val="00CE2DB2"/>
    <w:rsid w:val="00CE5C0A"/>
    <w:rsid w:val="00CE7FFA"/>
    <w:rsid w:val="00D26575"/>
    <w:rsid w:val="00D5568D"/>
    <w:rsid w:val="00D61A12"/>
    <w:rsid w:val="00DE405B"/>
    <w:rsid w:val="00DF5AEC"/>
    <w:rsid w:val="00E839E8"/>
    <w:rsid w:val="00EB0A62"/>
    <w:rsid w:val="00FD176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EC"/>
    <w:rPr>
      <w:sz w:val="24"/>
      <w:szCs w:val="20"/>
      <w:lang w:val="nl-NL" w:eastAsia="nl-NL"/>
    </w:rPr>
  </w:style>
  <w:style w:type="paragraph" w:styleId="Heading1">
    <w:name w:val="heading 1"/>
    <w:basedOn w:val="Normal"/>
    <w:next w:val="Normal"/>
    <w:link w:val="Heading1Char"/>
    <w:uiPriority w:val="99"/>
    <w:qFormat/>
    <w:rsid w:val="00DF5AEC"/>
    <w:pPr>
      <w:keepNext/>
      <w:numPr>
        <w:numId w:val="2"/>
      </w:numPr>
      <w:jc w:val="both"/>
      <w:outlineLvl w:val="0"/>
    </w:pPr>
    <w:rPr>
      <w:b/>
      <w:caps/>
    </w:rPr>
  </w:style>
  <w:style w:type="paragraph" w:styleId="Heading2">
    <w:name w:val="heading 2"/>
    <w:basedOn w:val="Normal"/>
    <w:next w:val="Normal"/>
    <w:link w:val="Heading2Char"/>
    <w:uiPriority w:val="99"/>
    <w:qFormat/>
    <w:rsid w:val="00DF5AEC"/>
    <w:pPr>
      <w:keepNext/>
      <w:tabs>
        <w:tab w:val="num" w:pos="567"/>
      </w:tabs>
      <w:ind w:left="567" w:hanging="567"/>
      <w:outlineLvl w:val="1"/>
    </w:pPr>
    <w:rPr>
      <w:b/>
    </w:rPr>
  </w:style>
  <w:style w:type="paragraph" w:styleId="Heading3">
    <w:name w:val="heading 3"/>
    <w:basedOn w:val="Normal"/>
    <w:next w:val="Normal"/>
    <w:link w:val="Heading3Char"/>
    <w:uiPriority w:val="99"/>
    <w:qFormat/>
    <w:rsid w:val="00DF5AEC"/>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E92"/>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331E92"/>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331E92"/>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DF5AEC"/>
    <w:pPr>
      <w:framePr w:w="7920" w:h="1980" w:hRule="exact" w:hSpace="141" w:wrap="auto" w:hAnchor="page" w:xAlign="center" w:yAlign="bottom"/>
      <w:ind w:left="2880"/>
    </w:pPr>
  </w:style>
  <w:style w:type="paragraph" w:styleId="EnvelopeReturn">
    <w:name w:val="envelope return"/>
    <w:basedOn w:val="Normal"/>
    <w:uiPriority w:val="99"/>
    <w:rsid w:val="00DF5AEC"/>
  </w:style>
  <w:style w:type="paragraph" w:styleId="TOC1">
    <w:name w:val="toc 1"/>
    <w:basedOn w:val="Normal"/>
    <w:next w:val="Normal"/>
    <w:autoRedefine/>
    <w:uiPriority w:val="99"/>
    <w:semiHidden/>
    <w:rsid w:val="00DF5AEC"/>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DF5AEC"/>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DF5AEC"/>
    <w:pPr>
      <w:tabs>
        <w:tab w:val="right" w:leader="dot" w:pos="9741"/>
      </w:tabs>
      <w:spacing w:before="40" w:after="40"/>
      <w:ind w:left="1701" w:hanging="567"/>
    </w:pPr>
    <w:rPr>
      <w:i/>
    </w:rPr>
  </w:style>
  <w:style w:type="paragraph" w:styleId="BodyText2">
    <w:name w:val="Body Text 2"/>
    <w:basedOn w:val="Normal"/>
    <w:link w:val="BodyText2Char"/>
    <w:uiPriority w:val="99"/>
    <w:rsid w:val="00DF5AEC"/>
    <w:pPr>
      <w:jc w:val="both"/>
    </w:pPr>
    <w:rPr>
      <w:i/>
      <w:sz w:val="22"/>
    </w:rPr>
  </w:style>
  <w:style w:type="character" w:customStyle="1" w:styleId="BodyText2Char">
    <w:name w:val="Body Text 2 Char"/>
    <w:basedOn w:val="DefaultParagraphFont"/>
    <w:link w:val="BodyText2"/>
    <w:uiPriority w:val="99"/>
    <w:semiHidden/>
    <w:rsid w:val="00331E92"/>
    <w:rPr>
      <w:sz w:val="24"/>
      <w:szCs w:val="20"/>
      <w:lang w:val="nl-NL" w:eastAsia="nl-NL"/>
    </w:rPr>
  </w:style>
  <w:style w:type="character" w:customStyle="1" w:styleId="OpmaakprofielSV">
    <w:name w:val="Opmaakprofiel SV"/>
    <w:basedOn w:val="DefaultParagraphFont"/>
    <w:uiPriority w:val="99"/>
    <w:rsid w:val="002B65A3"/>
    <w:rPr>
      <w:rFonts w:ascii="Arial" w:hAnsi="Arial" w:cs="Times New Roman"/>
      <w:sz w:val="22"/>
    </w:rPr>
  </w:style>
  <w:style w:type="paragraph" w:customStyle="1" w:styleId="SVVlaamsParlement">
    <w:name w:val="SV Vlaams Parlement"/>
    <w:basedOn w:val="Normal"/>
    <w:uiPriority w:val="99"/>
    <w:rsid w:val="00DF5AEC"/>
    <w:pPr>
      <w:jc w:val="both"/>
    </w:pPr>
    <w:rPr>
      <w:b/>
      <w:smallCaps/>
      <w:sz w:val="22"/>
    </w:rPr>
  </w:style>
  <w:style w:type="paragraph" w:customStyle="1" w:styleId="SVTitel">
    <w:name w:val="SV Titel"/>
    <w:basedOn w:val="Normal"/>
    <w:uiPriority w:val="99"/>
    <w:rsid w:val="00DF5AEC"/>
    <w:pPr>
      <w:jc w:val="both"/>
    </w:pPr>
    <w:rPr>
      <w:i/>
      <w:sz w:val="22"/>
    </w:rPr>
  </w:style>
  <w:style w:type="paragraph" w:customStyle="1" w:styleId="StandaardSV">
    <w:name w:val="Standaard SV"/>
    <w:basedOn w:val="Normal"/>
    <w:uiPriority w:val="99"/>
    <w:rsid w:val="00DF5AEC"/>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331E92"/>
    <w:rPr>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31E92"/>
    <w:rPr>
      <w:sz w:val="0"/>
      <w:szCs w:val="0"/>
      <w:lang w:val="nl-NL" w:eastAsia="nl-NL"/>
    </w:rPr>
  </w:style>
  <w:style w:type="paragraph" w:styleId="BalloonText">
    <w:name w:val="Balloon Text"/>
    <w:basedOn w:val="Normal"/>
    <w:link w:val="BalloonTextChar"/>
    <w:uiPriority w:val="99"/>
    <w:rsid w:val="001741B1"/>
    <w:rPr>
      <w:rFonts w:ascii="Tahoma" w:hAnsi="Tahoma" w:cs="Tahoma"/>
      <w:sz w:val="16"/>
      <w:szCs w:val="16"/>
    </w:rPr>
  </w:style>
  <w:style w:type="character" w:customStyle="1" w:styleId="BalloonTextChar">
    <w:name w:val="Balloon Text Char"/>
    <w:basedOn w:val="DefaultParagraphFont"/>
    <w:link w:val="BalloonText"/>
    <w:uiPriority w:val="99"/>
    <w:locked/>
    <w:rsid w:val="001741B1"/>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2044936862">
      <w:marLeft w:val="0"/>
      <w:marRight w:val="0"/>
      <w:marTop w:val="0"/>
      <w:marBottom w:val="0"/>
      <w:divBdr>
        <w:top w:val="none" w:sz="0" w:space="0" w:color="auto"/>
        <w:left w:val="none" w:sz="0" w:space="0" w:color="auto"/>
        <w:bottom w:val="none" w:sz="0" w:space="0" w:color="auto"/>
        <w:right w:val="none" w:sz="0" w:space="0" w:color="auto"/>
      </w:divBdr>
    </w:div>
    <w:div w:id="2044936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518</Words>
  <Characters>2852</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3</cp:revision>
  <cp:lastPrinted>2011-12-06T14:59:00Z</cp:lastPrinted>
  <dcterms:created xsi:type="dcterms:W3CDTF">2011-12-15T11:18:00Z</dcterms:created>
  <dcterms:modified xsi:type="dcterms:W3CDTF">2011-12-16T14:36:00Z</dcterms:modified>
</cp:coreProperties>
</file>