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1" w:rsidRPr="00A8473D" w:rsidRDefault="00F051B1" w:rsidP="00F051B1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F051B1" w:rsidRDefault="00F051B1" w:rsidP="00F051B1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Cs w:val="22"/>
          <w:lang w:val="nl-BE"/>
        </w:rPr>
        <w:t>vlaamse</w:t>
      </w:r>
      <w:proofErr w:type="spellEnd"/>
      <w:r w:rsidRPr="00A8473D">
        <w:rPr>
          <w:smallCaps/>
          <w:szCs w:val="22"/>
          <w:lang w:val="nl-BE"/>
        </w:rPr>
        <w:t xml:space="preserve"> regering, </w:t>
      </w:r>
      <w:proofErr w:type="spellStart"/>
      <w:r w:rsidRPr="00A8473D">
        <w:rPr>
          <w:smallCaps/>
          <w:szCs w:val="22"/>
          <w:lang w:val="nl-BE"/>
        </w:rPr>
        <w:t>vlaams</w:t>
      </w:r>
      <w:proofErr w:type="spellEnd"/>
      <w:r w:rsidRPr="00A8473D">
        <w:rPr>
          <w:smallCaps/>
          <w:szCs w:val="22"/>
          <w:lang w:val="nl-BE"/>
        </w:rPr>
        <w:t xml:space="preserve"> minister van economie, buitenlands beleid, landbouw en plattelandsbeleid</w:t>
      </w:r>
    </w:p>
    <w:p w:rsidR="00F051B1" w:rsidRDefault="00F051B1" w:rsidP="00F051B1">
      <w:pPr>
        <w:pBdr>
          <w:bottom w:val="single" w:sz="4" w:space="1" w:color="auto"/>
        </w:pBdr>
        <w:rPr>
          <w:sz w:val="22"/>
        </w:rPr>
      </w:pPr>
    </w:p>
    <w:p w:rsidR="00F051B1" w:rsidRDefault="00F051B1" w:rsidP="00F051B1">
      <w:pPr>
        <w:rPr>
          <w:sz w:val="22"/>
        </w:rPr>
      </w:pPr>
    </w:p>
    <w:p w:rsidR="00F051B1" w:rsidRDefault="00F051B1" w:rsidP="00F051B1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F051B1" w:rsidRDefault="00F051B1" w:rsidP="00F051B1">
      <w:pPr>
        <w:rPr>
          <w:sz w:val="22"/>
        </w:rPr>
      </w:pPr>
      <w:r>
        <w:rPr>
          <w:sz w:val="22"/>
        </w:rPr>
        <w:t>op vraag nr. 56 van 27 oktober 2011</w:t>
      </w:r>
    </w:p>
    <w:p w:rsidR="00F051B1" w:rsidRDefault="00F051B1" w:rsidP="00F051B1">
      <w:pPr>
        <w:rPr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filip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watteeuw</w:t>
      </w:r>
      <w:proofErr w:type="spellEnd"/>
    </w:p>
    <w:p w:rsidR="00F051B1" w:rsidRDefault="00F051B1" w:rsidP="00F051B1">
      <w:pPr>
        <w:pBdr>
          <w:bottom w:val="single" w:sz="4" w:space="1" w:color="auto"/>
        </w:pBdr>
        <w:jc w:val="both"/>
        <w:rPr>
          <w:sz w:val="22"/>
        </w:rPr>
      </w:pPr>
    </w:p>
    <w:p w:rsidR="00C7671C" w:rsidRDefault="00C7671C" w:rsidP="00C7671C">
      <w:pPr>
        <w:pStyle w:val="StandaardSV"/>
      </w:pPr>
    </w:p>
    <w:p w:rsidR="00F051B1" w:rsidRDefault="00F051B1" w:rsidP="00C7671C">
      <w:pPr>
        <w:pStyle w:val="StandaardSV"/>
      </w:pPr>
    </w:p>
    <w:p w:rsidR="00F94F4A" w:rsidRDefault="00F94F4A" w:rsidP="00A22A0A">
      <w:pPr>
        <w:pStyle w:val="StandaardSV"/>
        <w:numPr>
          <w:ilvl w:val="0"/>
          <w:numId w:val="47"/>
        </w:numPr>
      </w:pPr>
      <w:r>
        <w:t xml:space="preserve">Overzicht van het aantal </w:t>
      </w:r>
      <w:r w:rsidRPr="00F051B1">
        <w:rPr>
          <w:u w:val="single"/>
        </w:rPr>
        <w:t>ingediende</w:t>
      </w:r>
      <w:r>
        <w:t xml:space="preserve"> aanvragen per maand en uitgesplitst naar ondernemingsgroo</w:t>
      </w:r>
      <w:r>
        <w:t>t</w:t>
      </w:r>
      <w:r>
        <w:t>te.</w:t>
      </w:r>
    </w:p>
    <w:p w:rsidR="00F94F4A" w:rsidRPr="00B00990" w:rsidRDefault="00F94F4A" w:rsidP="00F94F4A">
      <w:pPr>
        <w:pStyle w:val="StandaardSV"/>
        <w:ind w:left="360"/>
      </w:pPr>
    </w:p>
    <w:tbl>
      <w:tblPr>
        <w:tblW w:w="630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06"/>
        <w:gridCol w:w="1130"/>
        <w:gridCol w:w="1949"/>
      </w:tblGrid>
      <w:tr w:rsidR="00212FAA" w:rsidRPr="00A22A0A" w:rsidTr="00023DC7">
        <w:trPr>
          <w:trHeight w:val="60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Indienings-maand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Ondernemingsgrootte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Aantal aanvragen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Investeringsbedrag 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februari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2.519.357,68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februari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1.477.664,60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maart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3.637.754,50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maart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1.035.000,00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april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993.894,28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mei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22.557.896,07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juni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19.183.436,25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juni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12.384.025,00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juli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1.282.270,77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juli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10.001.981,14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augustus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6.400.701,00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augustus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760.500,00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september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15.164.786,91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september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2.631.751,00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oktober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5.360.654,15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oktober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jc w:val="right"/>
              <w:rPr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jc w:val="right"/>
              <w:rPr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Cs/>
                <w:color w:val="000000"/>
                <w:sz w:val="22"/>
                <w:szCs w:val="22"/>
                <w:lang w:val="nl-BE" w:eastAsia="nl-BE"/>
              </w:rPr>
              <w:t>180.000,00</w:t>
            </w:r>
          </w:p>
        </w:tc>
      </w:tr>
      <w:tr w:rsidR="00212FAA" w:rsidRPr="00A22A0A" w:rsidTr="00F051B1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Totaal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</w:rPr>
              <w:t>105.571.673,35</w:t>
            </w:r>
          </w:p>
        </w:tc>
      </w:tr>
    </w:tbl>
    <w:p w:rsidR="00A22A0A" w:rsidRDefault="00A22A0A" w:rsidP="00F94F4A">
      <w:pPr>
        <w:pStyle w:val="StandaardSV"/>
        <w:ind w:left="720"/>
      </w:pPr>
    </w:p>
    <w:p w:rsidR="00F94F4A" w:rsidRDefault="00F94F4A" w:rsidP="00A22A0A">
      <w:pPr>
        <w:pStyle w:val="StandaardSV"/>
        <w:numPr>
          <w:ilvl w:val="0"/>
          <w:numId w:val="47"/>
        </w:numPr>
      </w:pPr>
      <w:r>
        <w:t xml:space="preserve">Overzicht van het aantal </w:t>
      </w:r>
      <w:r w:rsidRPr="00F051B1">
        <w:rPr>
          <w:u w:val="single"/>
        </w:rPr>
        <w:t>besliste</w:t>
      </w:r>
      <w:r>
        <w:t xml:space="preserve"> steunaanvragen per maand en uitgesplitst naar onderneming</w:t>
      </w:r>
      <w:r>
        <w:t>s</w:t>
      </w:r>
      <w:r>
        <w:t>grootte.</w:t>
      </w:r>
    </w:p>
    <w:p w:rsidR="00F94F4A" w:rsidRPr="000F3367" w:rsidRDefault="00F94F4A" w:rsidP="00F94F4A">
      <w:pPr>
        <w:pStyle w:val="StandaardSV"/>
        <w:ind w:left="720"/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448"/>
        <w:gridCol w:w="1130"/>
        <w:gridCol w:w="2434"/>
        <w:gridCol w:w="1430"/>
      </w:tblGrid>
      <w:tr w:rsidR="00212FAA" w:rsidRPr="004D270C" w:rsidTr="00A22A0A">
        <w:trPr>
          <w:trHeight w:val="120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Beslissings-maand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Ondernemingsgrootte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Aantal besliste aanvragen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Investeringsbedrag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  <w:hideMark/>
          </w:tcPr>
          <w:p w:rsidR="00212FAA" w:rsidRPr="00A22A0A" w:rsidRDefault="00212FAA" w:rsidP="00736182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Subsidie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mei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2.296.309,18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281.872,11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mei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974.049,00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57.714,47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juni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8.259.464,35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639.329,13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juni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1.035.000,00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51.750,00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augustus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35.462.167,08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4.905.074,49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augustus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4.368.996,74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516.443,01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 xml:space="preserve">september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7.711.667,94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1.514.174,60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lastRenderedPageBreak/>
              <w:t xml:space="preserve">september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  <w:r w:rsidRPr="00A22A0A">
              <w:rPr>
                <w:i/>
                <w:color w:val="000000"/>
                <w:sz w:val="22"/>
                <w:szCs w:val="22"/>
                <w:lang w:val="nl-BE" w:eastAsia="nl-BE"/>
              </w:rPr>
              <w:t>(*)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760.500,00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80.460,00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rPr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Cs/>
                <w:color w:val="000000"/>
                <w:sz w:val="22"/>
                <w:szCs w:val="22"/>
                <w:lang w:val="nl-BE" w:eastAsia="nl-BE"/>
              </w:rPr>
              <w:t>oktober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KMO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12.806.496,16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1.172.336,60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rPr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Cs/>
                <w:color w:val="000000"/>
                <w:sz w:val="22"/>
                <w:szCs w:val="22"/>
                <w:lang w:val="nl-BE" w:eastAsia="nl-BE"/>
              </w:rPr>
              <w:t>oktober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A" w:rsidRPr="00A22A0A" w:rsidRDefault="00212FAA" w:rsidP="00736182">
            <w:pPr>
              <w:rPr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11.478.751,00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color w:val="000000"/>
                <w:sz w:val="22"/>
                <w:szCs w:val="22"/>
                <w:lang w:val="nl-BE" w:eastAsia="nl-BE"/>
              </w:rPr>
              <w:t>1.036.590,71</w:t>
            </w:r>
          </w:p>
        </w:tc>
      </w:tr>
      <w:tr w:rsidR="00212FAA" w:rsidRPr="004D270C" w:rsidTr="00A22A0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Totaal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AA" w:rsidRPr="00A22A0A" w:rsidRDefault="00212FAA" w:rsidP="00736182">
            <w:pPr>
              <w:jc w:val="right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111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85.153.401,45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AA" w:rsidRPr="00A22A0A" w:rsidRDefault="00212FAA" w:rsidP="00736182">
            <w:pPr>
              <w:jc w:val="right"/>
              <w:rPr>
                <w:sz w:val="22"/>
                <w:szCs w:val="22"/>
                <w:lang w:val="nl-BE" w:eastAsia="nl-BE"/>
              </w:rPr>
            </w:pPr>
            <w:r w:rsidRPr="00A22A0A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10.255.745,12</w:t>
            </w:r>
          </w:p>
        </w:tc>
      </w:tr>
    </w:tbl>
    <w:p w:rsidR="00212FAA" w:rsidRDefault="00A22A0A" w:rsidP="00F051B1">
      <w:pPr>
        <w:pStyle w:val="StandaardSV"/>
        <w:rPr>
          <w:i/>
        </w:rPr>
      </w:pPr>
      <w:r>
        <w:rPr>
          <w:i/>
        </w:rPr>
        <w:tab/>
      </w:r>
      <w:r w:rsidR="00212FAA">
        <w:rPr>
          <w:i/>
        </w:rPr>
        <w:t xml:space="preserve">(*) </w:t>
      </w:r>
      <w:r w:rsidR="00F051B1">
        <w:rPr>
          <w:i/>
        </w:rPr>
        <w:t>Eén</w:t>
      </w:r>
      <w:r w:rsidR="00212FAA">
        <w:rPr>
          <w:i/>
        </w:rPr>
        <w:t xml:space="preserve"> dossier werd na beslissing geannuleerd door de onderneming</w:t>
      </w:r>
      <w:r w:rsidR="00F051B1">
        <w:rPr>
          <w:i/>
        </w:rPr>
        <w:t>.</w:t>
      </w:r>
    </w:p>
    <w:p w:rsidR="00F051B1" w:rsidRDefault="00F051B1" w:rsidP="00F94F4A">
      <w:pPr>
        <w:pStyle w:val="StandaardSV"/>
        <w:rPr>
          <w:szCs w:val="22"/>
        </w:rPr>
      </w:pPr>
    </w:p>
    <w:p w:rsidR="00B642D8" w:rsidRPr="00F051B1" w:rsidRDefault="00B642D8" w:rsidP="00A22A0A">
      <w:pPr>
        <w:pStyle w:val="StandaardSV"/>
        <w:numPr>
          <w:ilvl w:val="0"/>
          <w:numId w:val="47"/>
        </w:numPr>
      </w:pPr>
      <w:r w:rsidRPr="00F051B1">
        <w:t xml:space="preserve">Recent werden </w:t>
      </w:r>
      <w:r w:rsidR="00F051B1" w:rsidRPr="00F051B1">
        <w:t>de hierna</w:t>
      </w:r>
      <w:r w:rsidRPr="00F051B1">
        <w:t xml:space="preserve">volgende aanpassingen aan de </w:t>
      </w:r>
      <w:r w:rsidR="00F051B1" w:rsidRPr="00F051B1">
        <w:t>L</w:t>
      </w:r>
      <w:r w:rsidRPr="00F051B1">
        <w:t xml:space="preserve">imitatieve </w:t>
      </w:r>
      <w:r w:rsidR="00F051B1" w:rsidRPr="00F051B1">
        <w:t>T</w:t>
      </w:r>
      <w:r w:rsidRPr="00F051B1">
        <w:t>echnologieënlijst</w:t>
      </w:r>
      <w:r w:rsidR="00F051B1" w:rsidRPr="00F051B1">
        <w:t xml:space="preserve"> (LTL)</w:t>
      </w:r>
      <w:r w:rsidRPr="00F051B1">
        <w:t xml:space="preserve"> doorgevoerd.</w:t>
      </w:r>
    </w:p>
    <w:p w:rsidR="00B642D8" w:rsidRDefault="00B642D8" w:rsidP="00B642D8">
      <w:pPr>
        <w:pStyle w:val="StandaardSV"/>
        <w:ind w:left="360"/>
      </w:pPr>
    </w:p>
    <w:p w:rsidR="00F94F4A" w:rsidRPr="00023DC7" w:rsidRDefault="00F94F4A" w:rsidP="00A22A0A">
      <w:pPr>
        <w:pStyle w:val="StandaardSV"/>
        <w:ind w:left="360"/>
        <w:rPr>
          <w:i/>
        </w:rPr>
      </w:pPr>
      <w:r w:rsidRPr="00023DC7">
        <w:rPr>
          <w:i/>
        </w:rPr>
        <w:t>Bij M</w:t>
      </w:r>
      <w:r w:rsidR="00693308" w:rsidRPr="00023DC7">
        <w:rPr>
          <w:i/>
        </w:rPr>
        <w:t xml:space="preserve">inisterieel </w:t>
      </w:r>
      <w:r w:rsidRPr="00023DC7">
        <w:rPr>
          <w:i/>
        </w:rPr>
        <w:t>B</w:t>
      </w:r>
      <w:r w:rsidR="00693308" w:rsidRPr="00023DC7">
        <w:rPr>
          <w:i/>
        </w:rPr>
        <w:t>esluit</w:t>
      </w:r>
      <w:r w:rsidRPr="00023DC7">
        <w:rPr>
          <w:i/>
        </w:rPr>
        <w:t xml:space="preserve"> van </w:t>
      </w:r>
      <w:r w:rsidRPr="00023DC7">
        <w:rPr>
          <w:i/>
          <w:u w:val="single"/>
        </w:rPr>
        <w:t>26 juli 20</w:t>
      </w:r>
      <w:r w:rsidR="009B1394">
        <w:rPr>
          <w:i/>
          <w:u w:val="single"/>
        </w:rPr>
        <w:t>1</w:t>
      </w:r>
      <w:r w:rsidRPr="00023DC7">
        <w:rPr>
          <w:i/>
          <w:u w:val="single"/>
        </w:rPr>
        <w:t>1</w:t>
      </w:r>
      <w:r w:rsidRPr="00023DC7">
        <w:rPr>
          <w:i/>
        </w:rPr>
        <w:t xml:space="preserve"> werden </w:t>
      </w:r>
      <w:r w:rsidR="00F051B1" w:rsidRPr="00023DC7">
        <w:rPr>
          <w:i/>
        </w:rPr>
        <w:t xml:space="preserve">de </w:t>
      </w:r>
      <w:r w:rsidRPr="00023DC7">
        <w:rPr>
          <w:i/>
        </w:rPr>
        <w:t xml:space="preserve">volgende </w:t>
      </w:r>
      <w:r w:rsidR="00F051B1" w:rsidRPr="00023DC7">
        <w:rPr>
          <w:i/>
        </w:rPr>
        <w:t>LTL-</w:t>
      </w:r>
      <w:r w:rsidRPr="00023DC7">
        <w:rPr>
          <w:i/>
        </w:rPr>
        <w:t xml:space="preserve">aanpassingen </w:t>
      </w:r>
      <w:r w:rsidR="00F051B1" w:rsidRPr="00023DC7">
        <w:rPr>
          <w:i/>
        </w:rPr>
        <w:t>d</w:t>
      </w:r>
      <w:r w:rsidRPr="00023DC7">
        <w:rPr>
          <w:i/>
        </w:rPr>
        <w:t>oorgevoerd</w:t>
      </w:r>
      <w:r w:rsidR="00F051B1" w:rsidRPr="00023DC7">
        <w:rPr>
          <w:i/>
        </w:rPr>
        <w:t>.</w:t>
      </w:r>
    </w:p>
    <w:p w:rsidR="00F94F4A" w:rsidRPr="00D774C8" w:rsidRDefault="00F94F4A" w:rsidP="00A22A0A">
      <w:pPr>
        <w:autoSpaceDE w:val="0"/>
        <w:autoSpaceDN w:val="0"/>
        <w:adjustRightInd w:val="0"/>
        <w:ind w:left="360"/>
        <w:rPr>
          <w:rFonts w:ascii="Arial" w:hAnsi="Arial" w:cs="Arial"/>
          <w:bCs/>
          <w:szCs w:val="24"/>
        </w:rPr>
      </w:pPr>
    </w:p>
    <w:p w:rsidR="00F94F4A" w:rsidRPr="00023DC7" w:rsidRDefault="00023DC7" w:rsidP="00A22A0A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023DC7">
        <w:rPr>
          <w:bCs/>
          <w:sz w:val="22"/>
          <w:szCs w:val="22"/>
        </w:rPr>
        <w:t xml:space="preserve">Upgrading </w:t>
      </w:r>
      <w:r w:rsidR="00F94F4A" w:rsidRPr="00023DC7">
        <w:rPr>
          <w:bCs/>
          <w:sz w:val="22"/>
          <w:szCs w:val="22"/>
        </w:rPr>
        <w:t xml:space="preserve">Groene Warmte Technologieën. </w:t>
      </w:r>
    </w:p>
    <w:p w:rsidR="00F051B1" w:rsidRDefault="00F051B1" w:rsidP="00A22A0A">
      <w:pPr>
        <w:widowControl w:val="0"/>
        <w:tabs>
          <w:tab w:val="left" w:pos="0"/>
          <w:tab w:val="left" w:pos="3967"/>
          <w:tab w:val="left" w:pos="6518"/>
        </w:tabs>
        <w:ind w:left="720" w:right="-143"/>
        <w:jc w:val="both"/>
        <w:rPr>
          <w:snapToGrid w:val="0"/>
          <w:sz w:val="22"/>
          <w:szCs w:val="22"/>
        </w:rPr>
      </w:pPr>
    </w:p>
    <w:p w:rsidR="00F94F4A" w:rsidRPr="00D702B1" w:rsidRDefault="00F94F4A" w:rsidP="00A22A0A">
      <w:pPr>
        <w:widowControl w:val="0"/>
        <w:tabs>
          <w:tab w:val="left" w:pos="0"/>
          <w:tab w:val="left" w:pos="3967"/>
          <w:tab w:val="left" w:pos="6518"/>
        </w:tabs>
        <w:ind w:left="360" w:right="-143"/>
        <w:jc w:val="both"/>
        <w:rPr>
          <w:snapToGrid w:val="0"/>
          <w:sz w:val="22"/>
          <w:szCs w:val="22"/>
        </w:rPr>
      </w:pPr>
      <w:r w:rsidRPr="00D702B1">
        <w:rPr>
          <w:snapToGrid w:val="0"/>
          <w:sz w:val="22"/>
          <w:szCs w:val="22"/>
        </w:rPr>
        <w:t xml:space="preserve">In uitvoering van het Actieplan Groene Warmte, dat door de Vlaamse </w:t>
      </w:r>
      <w:r w:rsidR="00693308">
        <w:rPr>
          <w:snapToGrid w:val="0"/>
          <w:sz w:val="22"/>
          <w:szCs w:val="22"/>
        </w:rPr>
        <w:t>R</w:t>
      </w:r>
      <w:r w:rsidRPr="00D702B1">
        <w:rPr>
          <w:snapToGrid w:val="0"/>
          <w:sz w:val="22"/>
          <w:szCs w:val="22"/>
        </w:rPr>
        <w:t>egering werd goedgekeurd op 15 juli</w:t>
      </w:r>
      <w:r w:rsidR="009B1394">
        <w:rPr>
          <w:snapToGrid w:val="0"/>
          <w:sz w:val="22"/>
          <w:szCs w:val="22"/>
        </w:rPr>
        <w:t xml:space="preserve"> 2011</w:t>
      </w:r>
      <w:r w:rsidRPr="00D702B1">
        <w:rPr>
          <w:snapToGrid w:val="0"/>
          <w:sz w:val="22"/>
          <w:szCs w:val="22"/>
        </w:rPr>
        <w:t xml:space="preserve">, </w:t>
      </w:r>
      <w:r w:rsidR="009B1394">
        <w:rPr>
          <w:snapToGrid w:val="0"/>
          <w:sz w:val="22"/>
          <w:szCs w:val="22"/>
        </w:rPr>
        <w:t xml:space="preserve">heb </w:t>
      </w:r>
      <w:proofErr w:type="spellStart"/>
      <w:r w:rsidR="009B1394">
        <w:rPr>
          <w:snapToGrid w:val="0"/>
          <w:sz w:val="22"/>
          <w:szCs w:val="22"/>
        </w:rPr>
        <w:t>ikals</w:t>
      </w:r>
      <w:proofErr w:type="spellEnd"/>
      <w:r w:rsidRPr="00D702B1">
        <w:rPr>
          <w:snapToGrid w:val="0"/>
          <w:sz w:val="22"/>
          <w:szCs w:val="22"/>
        </w:rPr>
        <w:t xml:space="preserve"> Vlaams minister bevoegd voor </w:t>
      </w:r>
      <w:r w:rsidR="00023DC7" w:rsidRPr="00D702B1">
        <w:rPr>
          <w:snapToGrid w:val="0"/>
          <w:sz w:val="22"/>
          <w:szCs w:val="22"/>
        </w:rPr>
        <w:t xml:space="preserve">economie de </w:t>
      </w:r>
      <w:r w:rsidRPr="00D702B1">
        <w:rPr>
          <w:snapToGrid w:val="0"/>
          <w:sz w:val="22"/>
          <w:szCs w:val="22"/>
        </w:rPr>
        <w:t>ecologiesteunregeling aa</w:t>
      </w:r>
      <w:r w:rsidRPr="00D702B1">
        <w:rPr>
          <w:snapToGrid w:val="0"/>
          <w:sz w:val="22"/>
          <w:szCs w:val="22"/>
        </w:rPr>
        <w:t>n</w:t>
      </w:r>
      <w:r w:rsidRPr="00D702B1">
        <w:rPr>
          <w:snapToGrid w:val="0"/>
          <w:sz w:val="22"/>
          <w:szCs w:val="22"/>
        </w:rPr>
        <w:t>trekkelijker gemaakt voor Groene Warmte</w:t>
      </w:r>
      <w:r w:rsidR="00F86A50">
        <w:rPr>
          <w:snapToGrid w:val="0"/>
          <w:sz w:val="22"/>
          <w:szCs w:val="22"/>
        </w:rPr>
        <w:t xml:space="preserve"> T</w:t>
      </w:r>
      <w:r w:rsidRPr="00D702B1">
        <w:rPr>
          <w:snapToGrid w:val="0"/>
          <w:sz w:val="22"/>
          <w:szCs w:val="22"/>
        </w:rPr>
        <w:t>echnologieën.</w:t>
      </w:r>
    </w:p>
    <w:p w:rsidR="00F051B1" w:rsidRDefault="00F051B1" w:rsidP="00A22A0A">
      <w:pPr>
        <w:ind w:left="644"/>
        <w:jc w:val="both"/>
        <w:rPr>
          <w:sz w:val="22"/>
          <w:szCs w:val="22"/>
        </w:rPr>
      </w:pPr>
    </w:p>
    <w:p w:rsidR="00F94F4A" w:rsidRPr="00D702B1" w:rsidRDefault="00F94F4A" w:rsidP="00A22A0A">
      <w:pPr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 xml:space="preserve">Groene </w:t>
      </w:r>
      <w:r w:rsidR="00693308">
        <w:rPr>
          <w:sz w:val="22"/>
          <w:szCs w:val="22"/>
        </w:rPr>
        <w:t>W</w:t>
      </w:r>
      <w:r w:rsidR="00693308" w:rsidRPr="00D702B1">
        <w:rPr>
          <w:sz w:val="22"/>
          <w:szCs w:val="22"/>
        </w:rPr>
        <w:t>armte</w:t>
      </w:r>
      <w:r w:rsidR="009B1394">
        <w:rPr>
          <w:sz w:val="22"/>
          <w:szCs w:val="22"/>
        </w:rPr>
        <w:t xml:space="preserve"> T</w:t>
      </w:r>
      <w:r w:rsidRPr="00D702B1">
        <w:rPr>
          <w:sz w:val="22"/>
          <w:szCs w:val="22"/>
        </w:rPr>
        <w:t xml:space="preserve">echnologieën, die actueel quasi allemaal tot </w:t>
      </w:r>
      <w:proofErr w:type="spellStart"/>
      <w:r w:rsidRPr="00D702B1">
        <w:rPr>
          <w:sz w:val="22"/>
          <w:szCs w:val="22"/>
        </w:rPr>
        <w:t>ecoklasse</w:t>
      </w:r>
      <w:proofErr w:type="spellEnd"/>
      <w:r w:rsidRPr="00D702B1">
        <w:rPr>
          <w:sz w:val="22"/>
          <w:szCs w:val="22"/>
        </w:rPr>
        <w:t xml:space="preserve"> D </w:t>
      </w:r>
      <w:r w:rsidR="00023DC7" w:rsidRPr="00D702B1">
        <w:rPr>
          <w:sz w:val="22"/>
          <w:szCs w:val="22"/>
        </w:rPr>
        <w:t xml:space="preserve">behoren, </w:t>
      </w:r>
      <w:r w:rsidRPr="00D702B1">
        <w:rPr>
          <w:sz w:val="22"/>
          <w:szCs w:val="22"/>
        </w:rPr>
        <w:t>worden hie</w:t>
      </w:r>
      <w:r w:rsidRPr="00D702B1">
        <w:rPr>
          <w:sz w:val="22"/>
          <w:szCs w:val="22"/>
        </w:rPr>
        <w:t>r</w:t>
      </w:r>
      <w:r w:rsidRPr="00D702B1">
        <w:rPr>
          <w:sz w:val="22"/>
          <w:szCs w:val="22"/>
        </w:rPr>
        <w:t xml:space="preserve">door in één ruk tot </w:t>
      </w:r>
      <w:proofErr w:type="spellStart"/>
      <w:r w:rsidRPr="00D702B1">
        <w:rPr>
          <w:sz w:val="22"/>
          <w:szCs w:val="22"/>
        </w:rPr>
        <w:t>ecoklasse</w:t>
      </w:r>
      <w:proofErr w:type="spellEnd"/>
      <w:r w:rsidRPr="00D702B1">
        <w:rPr>
          <w:sz w:val="22"/>
          <w:szCs w:val="22"/>
        </w:rPr>
        <w:t xml:space="preserve"> A gepromoveerd. Dit betekent dat de steun voor </w:t>
      </w:r>
      <w:proofErr w:type="spellStart"/>
      <w:r w:rsidRPr="00D702B1">
        <w:rPr>
          <w:sz w:val="22"/>
          <w:szCs w:val="22"/>
        </w:rPr>
        <w:t>kmo’s</w:t>
      </w:r>
      <w:proofErr w:type="spellEnd"/>
      <w:r w:rsidRPr="00D702B1">
        <w:rPr>
          <w:sz w:val="22"/>
          <w:szCs w:val="22"/>
        </w:rPr>
        <w:t xml:space="preserve"> stijgt van 5</w:t>
      </w:r>
      <w:r w:rsidR="00F86A50">
        <w:rPr>
          <w:sz w:val="22"/>
          <w:szCs w:val="22"/>
        </w:rPr>
        <w:t>%</w:t>
      </w:r>
      <w:r w:rsidRPr="00D702B1">
        <w:rPr>
          <w:sz w:val="22"/>
          <w:szCs w:val="22"/>
        </w:rPr>
        <w:t xml:space="preserve"> naar 30% en voor grote ondernemingen van 0</w:t>
      </w:r>
      <w:r w:rsidR="00F86A50">
        <w:rPr>
          <w:sz w:val="22"/>
          <w:szCs w:val="22"/>
        </w:rPr>
        <w:t>%</w:t>
      </w:r>
      <w:r w:rsidRPr="00D702B1">
        <w:rPr>
          <w:sz w:val="22"/>
          <w:szCs w:val="22"/>
        </w:rPr>
        <w:t xml:space="preserve"> naar 15%. Net zoals voorheen kan nog steeds een bonus worden bekomen bij het voorleggen van een milieuscan, certificaat of </w:t>
      </w:r>
      <w:r w:rsidR="009B1394">
        <w:rPr>
          <w:sz w:val="22"/>
          <w:szCs w:val="22"/>
        </w:rPr>
        <w:t>–</w:t>
      </w:r>
      <w:r w:rsidRPr="00D702B1">
        <w:rPr>
          <w:sz w:val="22"/>
          <w:szCs w:val="22"/>
        </w:rPr>
        <w:t>management</w:t>
      </w:r>
      <w:r w:rsidR="00F71CDA">
        <w:rPr>
          <w:sz w:val="22"/>
          <w:szCs w:val="22"/>
        </w:rPr>
        <w:softHyphen/>
      </w:r>
      <w:r w:rsidRPr="00D702B1">
        <w:rPr>
          <w:sz w:val="22"/>
          <w:szCs w:val="22"/>
        </w:rPr>
        <w:t xml:space="preserve">systeem. Gelet op de emissieplafonds voor fijn stof en </w:t>
      </w:r>
      <w:proofErr w:type="spellStart"/>
      <w:r w:rsidRPr="00D702B1">
        <w:rPr>
          <w:sz w:val="22"/>
          <w:szCs w:val="22"/>
        </w:rPr>
        <w:t>NOx</w:t>
      </w:r>
      <w:proofErr w:type="spellEnd"/>
      <w:r w:rsidRPr="00D702B1">
        <w:rPr>
          <w:sz w:val="22"/>
          <w:szCs w:val="22"/>
        </w:rPr>
        <w:t xml:space="preserve"> </w:t>
      </w:r>
      <w:r w:rsidR="00023DC7" w:rsidRPr="00D702B1">
        <w:rPr>
          <w:sz w:val="22"/>
          <w:szCs w:val="22"/>
        </w:rPr>
        <w:t xml:space="preserve">wordt </w:t>
      </w:r>
      <w:r w:rsidRPr="00D702B1">
        <w:rPr>
          <w:sz w:val="22"/>
          <w:szCs w:val="22"/>
        </w:rPr>
        <w:t>de verhoging evenwel niet doorgevoerd voor de productie van warmte op basis van de verbranding of pyrolyse van de bi</w:t>
      </w:r>
      <w:r w:rsidRPr="00D702B1">
        <w:rPr>
          <w:sz w:val="22"/>
          <w:szCs w:val="22"/>
        </w:rPr>
        <w:t>o</w:t>
      </w:r>
      <w:r w:rsidRPr="00D702B1">
        <w:rPr>
          <w:sz w:val="22"/>
          <w:szCs w:val="22"/>
        </w:rPr>
        <w:t xml:space="preserve">massa. </w:t>
      </w:r>
    </w:p>
    <w:p w:rsidR="00693308" w:rsidRDefault="00693308" w:rsidP="00A22A0A">
      <w:pPr>
        <w:ind w:left="360"/>
        <w:rPr>
          <w:snapToGrid w:val="0"/>
          <w:sz w:val="22"/>
          <w:szCs w:val="22"/>
        </w:rPr>
      </w:pPr>
    </w:p>
    <w:p w:rsidR="00F94F4A" w:rsidRDefault="00F94F4A" w:rsidP="00A22A0A">
      <w:pPr>
        <w:widowControl w:val="0"/>
        <w:tabs>
          <w:tab w:val="left" w:pos="0"/>
          <w:tab w:val="left" w:pos="3967"/>
          <w:tab w:val="left" w:pos="6518"/>
        </w:tabs>
        <w:ind w:left="360" w:right="-143"/>
        <w:jc w:val="both"/>
        <w:rPr>
          <w:snapToGrid w:val="0"/>
          <w:sz w:val="22"/>
          <w:szCs w:val="22"/>
        </w:rPr>
      </w:pPr>
      <w:r w:rsidRPr="00D702B1">
        <w:rPr>
          <w:snapToGrid w:val="0"/>
          <w:sz w:val="22"/>
          <w:szCs w:val="22"/>
        </w:rPr>
        <w:t>Concreet gaat het om volgende technologieën</w:t>
      </w:r>
      <w:r w:rsidR="00D17E88">
        <w:rPr>
          <w:snapToGrid w:val="0"/>
          <w:sz w:val="22"/>
          <w:szCs w:val="22"/>
        </w:rPr>
        <w:t>.</w:t>
      </w:r>
    </w:p>
    <w:p w:rsidR="00F94F4A" w:rsidRPr="00D702B1" w:rsidRDefault="00F94F4A" w:rsidP="00A22A0A">
      <w:pPr>
        <w:widowControl w:val="0"/>
        <w:tabs>
          <w:tab w:val="left" w:pos="0"/>
          <w:tab w:val="left" w:pos="3967"/>
          <w:tab w:val="left" w:pos="6518"/>
        </w:tabs>
        <w:ind w:left="644" w:right="-143"/>
        <w:rPr>
          <w:b/>
          <w:snapToGrid w:val="0"/>
          <w:sz w:val="22"/>
          <w:szCs w:val="22"/>
          <w:u w:val="single"/>
        </w:rPr>
      </w:pPr>
    </w:p>
    <w:p w:rsidR="00F94F4A" w:rsidRPr="00F17277" w:rsidRDefault="00D17E88" w:rsidP="00A22A0A">
      <w:pPr>
        <w:widowControl w:val="0"/>
        <w:tabs>
          <w:tab w:val="left" w:pos="0"/>
          <w:tab w:val="left" w:pos="3967"/>
          <w:tab w:val="left" w:pos="6518"/>
        </w:tabs>
        <w:ind w:left="360" w:right="-143"/>
        <w:rPr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  <w:u w:val="single"/>
        </w:rPr>
        <w:t>T</w:t>
      </w:r>
      <w:r w:rsidR="00F94F4A" w:rsidRPr="00F17277">
        <w:rPr>
          <w:snapToGrid w:val="0"/>
          <w:sz w:val="22"/>
          <w:szCs w:val="22"/>
          <w:u w:val="single"/>
        </w:rPr>
        <w:t xml:space="preserve">echnologieën m.b.t. Groene Warmte zonder uitstoot van </w:t>
      </w:r>
      <w:proofErr w:type="spellStart"/>
      <w:r w:rsidR="00F94F4A" w:rsidRPr="00F17277">
        <w:rPr>
          <w:snapToGrid w:val="0"/>
          <w:sz w:val="22"/>
          <w:szCs w:val="22"/>
          <w:u w:val="single"/>
        </w:rPr>
        <w:t>Nox</w:t>
      </w:r>
      <w:proofErr w:type="spellEnd"/>
      <w:r w:rsidR="00F94F4A" w:rsidRPr="00F17277">
        <w:rPr>
          <w:snapToGrid w:val="0"/>
          <w:sz w:val="22"/>
          <w:szCs w:val="22"/>
          <w:u w:val="single"/>
        </w:rPr>
        <w:t xml:space="preserve"> of fijn stof.</w:t>
      </w:r>
    </w:p>
    <w:p w:rsidR="00F94F4A" w:rsidRPr="00D702B1" w:rsidRDefault="00F94F4A" w:rsidP="00A22A0A">
      <w:pPr>
        <w:widowControl w:val="0"/>
        <w:tabs>
          <w:tab w:val="left" w:pos="0"/>
          <w:tab w:val="left" w:pos="3967"/>
          <w:tab w:val="left" w:pos="6518"/>
        </w:tabs>
        <w:ind w:left="644" w:right="-143"/>
        <w:rPr>
          <w:snapToGrid w:val="0"/>
          <w:sz w:val="22"/>
          <w:szCs w:val="22"/>
        </w:rPr>
      </w:pPr>
    </w:p>
    <w:tbl>
      <w:tblPr>
        <w:tblW w:w="9735" w:type="dxa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002"/>
        <w:gridCol w:w="733"/>
        <w:gridCol w:w="3882"/>
      </w:tblGrid>
      <w:tr w:rsidR="00F94F4A" w:rsidRPr="00D702B1" w:rsidTr="00A22A0A">
        <w:trPr>
          <w:trHeight w:val="255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TECH_ID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TECHNOLOGIE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Ecokl</w:t>
            </w:r>
            <w:proofErr w:type="spellEnd"/>
            <w:r w:rsidR="00F86A50">
              <w:rPr>
                <w:b/>
                <w:bCs/>
                <w:color w:val="00000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86A50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l-BE"/>
              </w:rPr>
              <w:t>O</w:t>
            </w:r>
            <w:r w:rsidR="00F94F4A"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pm.</w:t>
            </w:r>
          </w:p>
        </w:tc>
      </w:tr>
      <w:tr w:rsidR="00F94F4A" w:rsidRPr="00D702B1" w:rsidTr="00A22A0A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1263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Warmtepompboiler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1313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F86A50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Aanwenden van geothermische energie in een open systeem </w:t>
            </w:r>
            <w:r w:rsidR="00F86A50">
              <w:rPr>
                <w:color w:val="000000"/>
                <w:sz w:val="22"/>
                <w:szCs w:val="22"/>
                <w:lang w:eastAsia="nl-BE"/>
              </w:rPr>
              <w:t>–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koude-warmteopslag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1314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F86A50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Aanwenden van geothermische energie in een gesloten systeem </w:t>
            </w:r>
            <w:r w:rsidR="00F86A50">
              <w:rPr>
                <w:color w:val="000000"/>
                <w:sz w:val="22"/>
                <w:szCs w:val="22"/>
                <w:lang w:eastAsia="nl-BE"/>
              </w:rPr>
              <w:t>–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boorgat-energieopslag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1342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Zonneboiler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100013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Productie van warmte op basis van de a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n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aerobe fermentatie van afval of biomassa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86A50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>
              <w:rPr>
                <w:color w:val="000000"/>
                <w:sz w:val="22"/>
                <w:szCs w:val="22"/>
                <w:lang w:eastAsia="nl-BE"/>
              </w:rPr>
              <w:t>F</w:t>
            </w:r>
            <w:r w:rsidR="00F94F4A" w:rsidRPr="00D702B1">
              <w:rPr>
                <w:color w:val="000000"/>
                <w:sz w:val="22"/>
                <w:szCs w:val="22"/>
                <w:lang w:eastAsia="nl-BE"/>
              </w:rPr>
              <w:t>ermentatie is vergisting en is geen ve</w:t>
            </w:r>
            <w:r w:rsidR="00F94F4A" w:rsidRPr="00D702B1">
              <w:rPr>
                <w:color w:val="000000"/>
                <w:sz w:val="22"/>
                <w:szCs w:val="22"/>
                <w:lang w:eastAsia="nl-BE"/>
              </w:rPr>
              <w:t>r</w:t>
            </w:r>
            <w:r w:rsidR="00F94F4A" w:rsidRPr="00D702B1">
              <w:rPr>
                <w:color w:val="000000"/>
                <w:sz w:val="22"/>
                <w:szCs w:val="22"/>
                <w:lang w:eastAsia="nl-BE"/>
              </w:rPr>
              <w:t>branding</w:t>
            </w:r>
            <w:r>
              <w:rPr>
                <w:color w:val="000000"/>
                <w:sz w:val="22"/>
                <w:szCs w:val="22"/>
                <w:lang w:eastAsia="nl-BE"/>
              </w:rPr>
              <w:t>.</w:t>
            </w: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100014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Productie van warmte op basis van de a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n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aerobe fermentatie van afvalwater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100065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Gasgestookte absorptiewarmtepomp (met water of lucht als warmtebronsysteem)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Strikt genomen komt bij een gasgestookte warmtepomp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NOx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vrij. Dit is echter ook het geval bij een elektrische warmtepomp (technologie 100069), want voor elektric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i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teit op te wekken is er een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NOx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of fijn stof uitstoot bij klassieke centrales, maar 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lastRenderedPageBreak/>
              <w:t>het is wellicht niet de bedoeling deze uit te sluiten</w:t>
            </w:r>
            <w:r w:rsidR="00F86A50">
              <w:rPr>
                <w:color w:val="000000"/>
                <w:sz w:val="22"/>
                <w:szCs w:val="22"/>
                <w:lang w:eastAsia="nl-BE"/>
              </w:rPr>
              <w:t>.</w:t>
            </w: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100069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(Elektrische) warmtepomp ( met water of lucht als warmtebronsysteem)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100089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F86A50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Geothermische (elektrische) warmtepomp (bodem als warmtebrons</w:t>
            </w:r>
            <w:r w:rsidR="00F86A50">
              <w:rPr>
                <w:color w:val="000000"/>
                <w:sz w:val="22"/>
                <w:szCs w:val="22"/>
                <w:lang w:eastAsia="nl-BE"/>
              </w:rPr>
              <w:t>y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steem)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lastRenderedPageBreak/>
              <w:t>100090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F86A50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Geothermische gasgestookte absorpti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e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warmtepomp (bodem/water als warmt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e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bronsysteem)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</w:tbl>
    <w:p w:rsidR="00F051B1" w:rsidRDefault="00F051B1" w:rsidP="00A22A0A">
      <w:pPr>
        <w:ind w:left="360"/>
        <w:rPr>
          <w:snapToGrid w:val="0"/>
          <w:sz w:val="22"/>
          <w:szCs w:val="22"/>
          <w:u w:val="single"/>
        </w:rPr>
      </w:pPr>
    </w:p>
    <w:p w:rsidR="00F94F4A" w:rsidRPr="00F17277" w:rsidRDefault="00F94F4A" w:rsidP="00A22A0A">
      <w:pPr>
        <w:widowControl w:val="0"/>
        <w:tabs>
          <w:tab w:val="left" w:pos="0"/>
          <w:tab w:val="left" w:pos="3967"/>
          <w:tab w:val="left" w:pos="6518"/>
        </w:tabs>
        <w:ind w:left="360" w:right="-143"/>
        <w:rPr>
          <w:snapToGrid w:val="0"/>
          <w:sz w:val="22"/>
          <w:szCs w:val="22"/>
          <w:u w:val="single"/>
        </w:rPr>
      </w:pPr>
      <w:r w:rsidRPr="00F17277">
        <w:rPr>
          <w:snapToGrid w:val="0"/>
          <w:sz w:val="22"/>
          <w:szCs w:val="22"/>
          <w:u w:val="single"/>
        </w:rPr>
        <w:t>Technologieën m.b.t. restwarmte</w:t>
      </w:r>
    </w:p>
    <w:p w:rsidR="00F94F4A" w:rsidRPr="00D702B1" w:rsidRDefault="00F94F4A" w:rsidP="00A22A0A">
      <w:pPr>
        <w:widowControl w:val="0"/>
        <w:tabs>
          <w:tab w:val="left" w:pos="0"/>
          <w:tab w:val="left" w:pos="3967"/>
          <w:tab w:val="left" w:pos="6518"/>
        </w:tabs>
        <w:ind w:left="644" w:right="-143"/>
        <w:rPr>
          <w:snapToGrid w:val="0"/>
          <w:sz w:val="22"/>
          <w:szCs w:val="22"/>
        </w:rPr>
      </w:pPr>
    </w:p>
    <w:tbl>
      <w:tblPr>
        <w:tblW w:w="9735" w:type="dxa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4013"/>
        <w:gridCol w:w="733"/>
        <w:gridCol w:w="3871"/>
      </w:tblGrid>
      <w:tr w:rsidR="00F94F4A" w:rsidRPr="00D702B1" w:rsidTr="00A22A0A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TECH_ID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TECHNOLOGIE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Ecokl</w:t>
            </w:r>
            <w:proofErr w:type="spellEnd"/>
            <w:r w:rsidR="00F86A50">
              <w:rPr>
                <w:b/>
                <w:bCs/>
                <w:color w:val="00000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F4A" w:rsidRPr="00D702B1" w:rsidRDefault="00F86A50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b/>
                <w:bCs/>
                <w:color w:val="000000"/>
                <w:sz w:val="22"/>
                <w:szCs w:val="22"/>
                <w:lang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l-BE"/>
              </w:rPr>
              <w:t>O</w:t>
            </w:r>
            <w:r w:rsidR="00F94F4A" w:rsidRPr="00D702B1">
              <w:rPr>
                <w:b/>
                <w:bCs/>
                <w:color w:val="000000"/>
                <w:sz w:val="22"/>
                <w:szCs w:val="22"/>
                <w:lang w:eastAsia="nl-BE"/>
              </w:rPr>
              <w:t>pm.</w:t>
            </w: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100078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Recuperatie van restenergie (war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m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te/koude) voor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gebouwklimatisatie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en/of voor gebruik in industriële processen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1339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Productie van elektriciteit op basis van restwarmte door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Organic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Rankine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Cycle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(ORC) die niet in aanmerking komt voor </w:t>
            </w:r>
            <w:proofErr w:type="spellStart"/>
            <w:r w:rsidRPr="00D702B1">
              <w:rPr>
                <w:color w:val="000000"/>
                <w:sz w:val="22"/>
                <w:szCs w:val="22"/>
                <w:lang w:eastAsia="nl-BE"/>
              </w:rPr>
              <w:t>groenestroomcertificaten</w:t>
            </w:r>
            <w:proofErr w:type="spellEnd"/>
            <w:r w:rsidRPr="00D702B1">
              <w:rPr>
                <w:color w:val="000000"/>
                <w:sz w:val="22"/>
                <w:szCs w:val="22"/>
                <w:lang w:eastAsia="nl-BE"/>
              </w:rPr>
              <w:t xml:space="preserve"> of warmtekrach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t</w:t>
            </w:r>
            <w:r w:rsidRPr="00D702B1">
              <w:rPr>
                <w:color w:val="000000"/>
                <w:sz w:val="22"/>
                <w:szCs w:val="22"/>
                <w:lang w:eastAsia="nl-BE"/>
              </w:rPr>
              <w:t>certificaten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F94F4A" w:rsidRPr="00D702B1" w:rsidTr="00A22A0A">
        <w:trPr>
          <w:trHeight w:val="51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1344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Warmteterugwinning bij (vaat)spoelmachines of (vaat)wasmachines of wasdrogers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jc w:val="center"/>
              <w:rPr>
                <w:color w:val="000000"/>
                <w:sz w:val="22"/>
                <w:szCs w:val="22"/>
                <w:lang w:eastAsia="nl-BE"/>
              </w:rPr>
            </w:pPr>
            <w:r w:rsidRPr="00D702B1">
              <w:rPr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4A" w:rsidRPr="00D702B1" w:rsidRDefault="00F94F4A" w:rsidP="00736182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color w:val="000000"/>
                <w:sz w:val="22"/>
                <w:szCs w:val="22"/>
                <w:lang w:eastAsia="nl-BE"/>
              </w:rPr>
            </w:pPr>
          </w:p>
        </w:tc>
      </w:tr>
    </w:tbl>
    <w:p w:rsidR="00F94F4A" w:rsidRPr="00D702B1" w:rsidRDefault="00F94F4A" w:rsidP="00A22A0A">
      <w:pPr>
        <w:autoSpaceDE w:val="0"/>
        <w:autoSpaceDN w:val="0"/>
        <w:adjustRightInd w:val="0"/>
        <w:ind w:left="644"/>
        <w:rPr>
          <w:b/>
          <w:bCs/>
          <w:sz w:val="22"/>
          <w:szCs w:val="22"/>
        </w:rPr>
      </w:pPr>
    </w:p>
    <w:p w:rsidR="00F94F4A" w:rsidRPr="00023DC7" w:rsidRDefault="00F94F4A" w:rsidP="00A22A0A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023DC7">
        <w:rPr>
          <w:bCs/>
          <w:sz w:val="22"/>
          <w:szCs w:val="22"/>
        </w:rPr>
        <w:t>Toevoeging van een nieuwe technologie.</w:t>
      </w: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• 200013: Selectieve Katalytische Reductie-installatie (SCR) voor een oliegestookte glasoven bij de productie van glas.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F94F4A" w:rsidRPr="00023DC7" w:rsidRDefault="00F94F4A" w:rsidP="00A22A0A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023DC7">
        <w:rPr>
          <w:bCs/>
          <w:sz w:val="22"/>
          <w:szCs w:val="22"/>
        </w:rPr>
        <w:t>Aanpassingen aan de bestaande technologieën.</w:t>
      </w: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 xml:space="preserve">• </w:t>
      </w:r>
      <w:r w:rsidR="00023DC7" w:rsidRPr="00D702B1">
        <w:rPr>
          <w:sz w:val="22"/>
          <w:szCs w:val="22"/>
        </w:rPr>
        <w:t>200004:</w:t>
      </w:r>
      <w:r w:rsidRPr="00D702B1">
        <w:rPr>
          <w:sz w:val="22"/>
          <w:szCs w:val="22"/>
        </w:rPr>
        <w:t xml:space="preserve"> De </w:t>
      </w:r>
      <w:r w:rsidR="00023DC7" w:rsidRPr="00D702B1">
        <w:rPr>
          <w:sz w:val="22"/>
          <w:szCs w:val="22"/>
        </w:rPr>
        <w:t>omschrijving:</w:t>
      </w:r>
      <w:r w:rsidRPr="00D702B1">
        <w:rPr>
          <w:sz w:val="22"/>
          <w:szCs w:val="22"/>
        </w:rPr>
        <w:t xml:space="preserve"> “Oplaadsysteem (paal) voor elektrische of hybride voertuigen” wordt als volgt aangepast: “Oplaadsysteem (paal </w:t>
      </w:r>
      <w:r w:rsidRPr="00D702B1">
        <w:rPr>
          <w:b/>
          <w:bCs/>
          <w:sz w:val="22"/>
          <w:szCs w:val="22"/>
        </w:rPr>
        <w:t>of omkasting</w:t>
      </w:r>
      <w:r w:rsidRPr="00D702B1">
        <w:rPr>
          <w:sz w:val="22"/>
          <w:szCs w:val="22"/>
        </w:rPr>
        <w:t xml:space="preserve">) voor elektrische of hybride voertuigen”. De essentiële component “oplaadpaal (forfaitair 1.500 euro invullen per paal)” wordt eveneens aangepast: “oplaadpaal of omkasting (forfaitair 1.500 euro invullen per paal)”. </w:t>
      </w:r>
      <w:r w:rsidR="00F94F4A" w:rsidRPr="00D702B1">
        <w:rPr>
          <w:sz w:val="22"/>
          <w:szCs w:val="22"/>
        </w:rPr>
        <w:t>Deze aanpassing was nodig omdat momenteel oplaadsystemen ook in een kast worden ingebouwd die op de grond staat.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• 200005: EEV-motor.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 xml:space="preserve">Deze technologie vervangt technologie 100034. Het ecologiegetal en de </w:t>
      </w:r>
      <w:proofErr w:type="spellStart"/>
      <w:r w:rsidRPr="00D702B1">
        <w:rPr>
          <w:sz w:val="22"/>
          <w:szCs w:val="22"/>
        </w:rPr>
        <w:t>ecoklasse</w:t>
      </w:r>
      <w:proofErr w:type="spellEnd"/>
      <w:r w:rsidRPr="00D702B1">
        <w:rPr>
          <w:sz w:val="22"/>
          <w:szCs w:val="22"/>
        </w:rPr>
        <w:t xml:space="preserve"> werd aangepast aan het laatste MIRA-T rapport en de omschrijving werd duidelijker geformuleerd.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• 200006: Tankinfrastructuur voor LNG.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Deze technologie vervangt technologie 200002 waarbij de omschrijving werd aangepast.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• 200007: Tankinfrastructuur voor LBG.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Deze technologie vervangt technologie 200003 waarbij de omschrijving werd aangepast.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• 200008: Tankinfrastructuur voor CNG via toelevering LNG.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Deze technologie is een uitbreiding van technologie 100032 (die eveneens blijft bestaan). Bij technologie 200008 wordt CNG afgeleverd via toelevering van LNG (vloeibaar aardgas); terwijl in technologie 100032 rechtstreeks aardgas wordt toegeleverd.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• 200009: Tankinfrastructuur voor CBG via toelevering LBG.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Deze technologie is een uitbreiding van technologie 100068 (die eveneens blijft bestaan). Bij technologie 200009 wordt CBG (biogas) afgeleverd via toelevering van LBG (vloeibaar biogas); terwijl in technologie 100068 rechtstreeks biogas wordt toegeleverd.</w:t>
      </w:r>
    </w:p>
    <w:p w:rsidR="00D17E88" w:rsidRDefault="00D17E88" w:rsidP="00A22A0A">
      <w:pPr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4F4A" w:rsidRPr="00D702B1" w:rsidRDefault="00693308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lastRenderedPageBreak/>
        <w:t>• 1357: Roetfilter.</w:t>
      </w:r>
    </w:p>
    <w:p w:rsidR="00F94F4A" w:rsidRPr="00D702B1" w:rsidRDefault="00F94F4A" w:rsidP="00A22A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702B1">
        <w:rPr>
          <w:sz w:val="22"/>
          <w:szCs w:val="22"/>
        </w:rPr>
        <w:t>In de omschrijving wordt duidelijk aangegeven dat deze technologie ook geldt voor (zware) bu</w:t>
      </w:r>
      <w:r w:rsidRPr="00D702B1">
        <w:rPr>
          <w:sz w:val="22"/>
          <w:szCs w:val="22"/>
        </w:rPr>
        <w:t>s</w:t>
      </w:r>
      <w:r w:rsidRPr="00D702B1">
        <w:rPr>
          <w:sz w:val="22"/>
          <w:szCs w:val="22"/>
        </w:rPr>
        <w:t>sen van 3,5 ton of meer en niet beperkt is tot vrachtwagens. Vermits de aanpassing minimaal is werd het bestaande technologienummer behouden.</w:t>
      </w:r>
    </w:p>
    <w:p w:rsidR="00F94F4A" w:rsidRDefault="00F94F4A" w:rsidP="00A22A0A">
      <w:pPr>
        <w:pStyle w:val="StandaardSV"/>
        <w:ind w:left="360"/>
        <w:rPr>
          <w:szCs w:val="22"/>
        </w:rPr>
      </w:pPr>
    </w:p>
    <w:p w:rsidR="001B2EFA" w:rsidRPr="00023DC7" w:rsidRDefault="00F94F4A" w:rsidP="00A22A0A">
      <w:pPr>
        <w:pStyle w:val="StandaardSV"/>
        <w:ind w:left="360"/>
        <w:rPr>
          <w:i/>
          <w:szCs w:val="22"/>
        </w:rPr>
      </w:pPr>
      <w:r w:rsidRPr="00023DC7">
        <w:rPr>
          <w:i/>
          <w:szCs w:val="22"/>
        </w:rPr>
        <w:t>Bij M</w:t>
      </w:r>
      <w:r w:rsidR="00693308" w:rsidRPr="00023DC7">
        <w:rPr>
          <w:i/>
          <w:szCs w:val="22"/>
        </w:rPr>
        <w:t xml:space="preserve">inisterieel </w:t>
      </w:r>
      <w:r w:rsidRPr="00023DC7">
        <w:rPr>
          <w:i/>
          <w:szCs w:val="22"/>
        </w:rPr>
        <w:t>B</w:t>
      </w:r>
      <w:r w:rsidR="00693308" w:rsidRPr="00023DC7">
        <w:rPr>
          <w:i/>
          <w:szCs w:val="22"/>
        </w:rPr>
        <w:t>esluit</w:t>
      </w:r>
      <w:r w:rsidRPr="00023DC7">
        <w:rPr>
          <w:i/>
          <w:szCs w:val="22"/>
        </w:rPr>
        <w:t xml:space="preserve"> van </w:t>
      </w:r>
      <w:r w:rsidR="001B2EFA" w:rsidRPr="00023DC7">
        <w:rPr>
          <w:i/>
          <w:szCs w:val="22"/>
          <w:u w:val="single"/>
        </w:rPr>
        <w:t>11 oktober 20</w:t>
      </w:r>
      <w:r w:rsidR="00D17E88">
        <w:rPr>
          <w:i/>
          <w:szCs w:val="22"/>
          <w:u w:val="single"/>
        </w:rPr>
        <w:t>1</w:t>
      </w:r>
      <w:r w:rsidR="001B2EFA" w:rsidRPr="00023DC7">
        <w:rPr>
          <w:i/>
          <w:szCs w:val="22"/>
          <w:u w:val="single"/>
        </w:rPr>
        <w:t>1</w:t>
      </w:r>
      <w:r w:rsidR="001B2EFA" w:rsidRPr="00023DC7">
        <w:rPr>
          <w:i/>
          <w:szCs w:val="22"/>
        </w:rPr>
        <w:t xml:space="preserve"> werden volgende wijzigingen aangebracht aan de LTL</w:t>
      </w:r>
      <w:r w:rsidR="00023DC7" w:rsidRPr="00023DC7">
        <w:rPr>
          <w:i/>
          <w:szCs w:val="22"/>
        </w:rPr>
        <w:t>.</w:t>
      </w:r>
    </w:p>
    <w:p w:rsidR="001B2EFA" w:rsidRPr="001B2EFA" w:rsidRDefault="001B2EFA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sz w:val="22"/>
          <w:szCs w:val="22"/>
        </w:rPr>
      </w:pPr>
    </w:p>
    <w:p w:rsidR="001B2EFA" w:rsidRPr="009B1394" w:rsidRDefault="001B2EFA" w:rsidP="00A22A0A">
      <w:pPr>
        <w:pStyle w:val="Lijstalinea"/>
        <w:numPr>
          <w:ilvl w:val="0"/>
          <w:numId w:val="46"/>
        </w:num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9B1394">
        <w:rPr>
          <w:bCs/>
          <w:sz w:val="22"/>
          <w:szCs w:val="22"/>
        </w:rPr>
        <w:t>Het ecologiegetal voor voertuigen en tankinfrastructuur werd herberekend zoals aangegeven in volgende tabel</w:t>
      </w:r>
      <w:r w:rsidR="00F86A50">
        <w:rPr>
          <w:bCs/>
          <w:sz w:val="22"/>
          <w:szCs w:val="22"/>
        </w:rPr>
        <w:t>.</w:t>
      </w:r>
    </w:p>
    <w:p w:rsidR="001B2EFA" w:rsidRPr="001B2EFA" w:rsidRDefault="001B2EFA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sz w:val="22"/>
          <w:szCs w:val="22"/>
        </w:rPr>
      </w:pPr>
    </w:p>
    <w:tbl>
      <w:tblPr>
        <w:tblStyle w:val="Tabelraster"/>
        <w:tblW w:w="974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134"/>
        <w:gridCol w:w="1275"/>
      </w:tblGrid>
      <w:tr w:rsidR="001B2EFA" w:rsidRPr="00F86A50" w:rsidTr="00A2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  <w:shd w:val="clear" w:color="auto" w:fill="D9D9D9" w:themeFill="background1" w:themeFillShade="D9"/>
          </w:tcPr>
          <w:p w:rsidR="001B2EFA" w:rsidRPr="00F86A50" w:rsidRDefault="001B2EFA" w:rsidP="00023DC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</w:pPr>
            <w:r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 xml:space="preserve">Nummer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B2EFA" w:rsidRPr="00F86A50" w:rsidRDefault="001B2EFA" w:rsidP="00023DC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</w:pPr>
            <w:r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 xml:space="preserve">Naam technologie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2EFA" w:rsidRPr="00F86A50" w:rsidRDefault="00023DC7" w:rsidP="00023DC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</w:pPr>
            <w:r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 xml:space="preserve">Oud </w:t>
            </w:r>
            <w:r w:rsidR="001B2EFA"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>ec</w:t>
            </w:r>
            <w:r w:rsidR="001B2EFA"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>o</w:t>
            </w:r>
            <w:r w:rsidR="001B2EFA"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>logie-</w:t>
            </w:r>
          </w:p>
          <w:p w:rsidR="001B2EFA" w:rsidRPr="00F86A50" w:rsidRDefault="001B2EFA" w:rsidP="00023DC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</w:pPr>
            <w:r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 xml:space="preserve">getal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B2EFA" w:rsidRPr="00F86A50" w:rsidRDefault="001B2EFA" w:rsidP="00023DC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</w:pPr>
            <w:r w:rsidRPr="00F86A50">
              <w:rPr>
                <w:rFonts w:ascii="Times New Roman" w:hAnsi="Times New Roman"/>
                <w:b/>
                <w:bCs/>
                <w:color w:val="000000"/>
                <w:szCs w:val="22"/>
                <w:lang w:val="nl-BE" w:eastAsia="nl-BE"/>
              </w:rPr>
              <w:t xml:space="preserve">Nieuw ecologie-getal </w:t>
            </w:r>
          </w:p>
        </w:tc>
      </w:tr>
      <w:tr w:rsidR="001B2EFA" w:rsidRPr="001B2EFA" w:rsidTr="00A22A0A">
        <w:tc>
          <w:tcPr>
            <w:tcW w:w="1101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641</w:t>
            </w:r>
          </w:p>
        </w:tc>
        <w:tc>
          <w:tcPr>
            <w:tcW w:w="6237" w:type="dxa"/>
          </w:tcPr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Elektrisch aangedreven vaartuig of voertuig met vier wielen of meer; uitgezonderd vorkheftrucks</w:t>
            </w:r>
          </w:p>
        </w:tc>
        <w:tc>
          <w:tcPr>
            <w:tcW w:w="1134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1B2EFA" w:rsidRPr="001B2EFA" w:rsidTr="00A22A0A">
        <w:trPr>
          <w:trHeight w:val="339"/>
        </w:trPr>
        <w:tc>
          <w:tcPr>
            <w:tcW w:w="1101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553</w:t>
            </w:r>
          </w:p>
        </w:tc>
        <w:tc>
          <w:tcPr>
            <w:tcW w:w="6237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Brandstofcelsysteem voor de aandrijving van transportmiddelen</w:t>
            </w:r>
          </w:p>
        </w:tc>
        <w:tc>
          <w:tcPr>
            <w:tcW w:w="1134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1B2EFA" w:rsidRPr="001B2EFA" w:rsidTr="00A22A0A">
        <w:tc>
          <w:tcPr>
            <w:tcW w:w="1101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100010</w:t>
            </w: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100087</w:t>
            </w:r>
          </w:p>
        </w:tc>
        <w:tc>
          <w:tcPr>
            <w:tcW w:w="6237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Hybride aangedreven vaartuig of voertuig met vier wielen of meer</w:t>
            </w: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Hybride aangedreven niet voor de weg bestemde mobiele machine</w:t>
            </w:r>
          </w:p>
        </w:tc>
        <w:tc>
          <w:tcPr>
            <w:tcW w:w="1134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1B2EFA" w:rsidRPr="001B2EFA" w:rsidTr="00A22A0A">
        <w:tc>
          <w:tcPr>
            <w:tcW w:w="1101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100030</w:t>
            </w: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100031</w:t>
            </w: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100088</w:t>
            </w: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100086</w:t>
            </w:r>
          </w:p>
        </w:tc>
        <w:tc>
          <w:tcPr>
            <w:tcW w:w="6237" w:type="dxa"/>
          </w:tcPr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Voertuig op aardgas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Ombouwset naar aardgasmotoren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Niet voor de weg bestemde mobiele machine op aardgas</w:t>
            </w:r>
          </w:p>
          <w:p w:rsidR="001B2EFA" w:rsidRPr="001B2EFA" w:rsidRDefault="001B2EFA" w:rsidP="0073618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Ombouw van bestaande niet voor de weg bestemde mobiele mach</w:t>
            </w:r>
            <w:r w:rsidRPr="001B2EFA">
              <w:rPr>
                <w:rFonts w:ascii="Times New Roman" w:hAnsi="Times New Roman"/>
                <w:szCs w:val="22"/>
                <w:lang w:val="nl-BE"/>
              </w:rPr>
              <w:t>i</w:t>
            </w:r>
            <w:r w:rsidRPr="001B2EFA">
              <w:rPr>
                <w:rFonts w:ascii="Times New Roman" w:hAnsi="Times New Roman"/>
                <w:szCs w:val="22"/>
                <w:lang w:val="nl-BE"/>
              </w:rPr>
              <w:t>ne naar aardgas</w:t>
            </w:r>
          </w:p>
        </w:tc>
        <w:tc>
          <w:tcPr>
            <w:tcW w:w="1134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nl-BE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nl-BE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1B2EFA" w:rsidRPr="001B2EFA" w:rsidTr="00A22A0A">
        <w:tc>
          <w:tcPr>
            <w:tcW w:w="1101" w:type="dxa"/>
          </w:tcPr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100032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200008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200006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200007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100068</w:t>
            </w:r>
          </w:p>
          <w:p w:rsidR="001B2EFA" w:rsidRPr="001B2EFA" w:rsidRDefault="001B2EFA" w:rsidP="00736182">
            <w:pPr>
              <w:tabs>
                <w:tab w:val="left" w:pos="1418"/>
              </w:tabs>
              <w:ind w:left="284" w:hanging="284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200009</w:t>
            </w:r>
          </w:p>
        </w:tc>
        <w:tc>
          <w:tcPr>
            <w:tcW w:w="6237" w:type="dxa"/>
          </w:tcPr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Tankinfrastructuur voor CNG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compressed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Natural Gas = aardgas)</w:t>
            </w:r>
          </w:p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Tankinfrastructuur voor CNG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compressed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Natural Gas = aardgas) via toelevering van LNG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Liquefied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Natural Gas)</w:t>
            </w:r>
          </w:p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Tankinfrastructuur voor LNG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Liquefied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Natural Gas)</w:t>
            </w:r>
          </w:p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Tankinfrastructuur voor LBG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Liquefied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BioGas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>)</w:t>
            </w:r>
          </w:p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Tankinfrastructuur voor CBG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Compressed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BioGas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>)</w:t>
            </w:r>
          </w:p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Tankinfrastructuur voor CBG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Compressed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BioGas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>) via toelevering van LBG (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Liquefied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B2EFA">
              <w:rPr>
                <w:rFonts w:ascii="Times New Roman" w:hAnsi="Times New Roman"/>
                <w:szCs w:val="22"/>
              </w:rPr>
              <w:t>BioGas</w:t>
            </w:r>
            <w:proofErr w:type="spellEnd"/>
            <w:r w:rsidRPr="001B2EF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1B2EFA" w:rsidRPr="001B2EFA" w:rsidTr="00A22A0A">
        <w:tc>
          <w:tcPr>
            <w:tcW w:w="1101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200004</w:t>
            </w:r>
          </w:p>
        </w:tc>
        <w:tc>
          <w:tcPr>
            <w:tcW w:w="6237" w:type="dxa"/>
          </w:tcPr>
          <w:p w:rsidR="001B2EFA" w:rsidRPr="001B2EFA" w:rsidRDefault="001B2EFA" w:rsidP="00736182">
            <w:pPr>
              <w:jc w:val="both"/>
              <w:rPr>
                <w:rFonts w:ascii="Times New Roman" w:hAnsi="Times New Roman"/>
                <w:szCs w:val="22"/>
                <w:lang w:val="nl-BE"/>
              </w:rPr>
            </w:pPr>
            <w:r w:rsidRPr="001B2EFA">
              <w:rPr>
                <w:rFonts w:ascii="Times New Roman" w:hAnsi="Times New Roman"/>
                <w:szCs w:val="22"/>
                <w:lang w:val="nl-BE"/>
              </w:rPr>
              <w:t>Oplaadsysteem (paal of omkasting) voor elektrische of hybride voertuigen</w:t>
            </w:r>
          </w:p>
        </w:tc>
        <w:tc>
          <w:tcPr>
            <w:tcW w:w="1134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1B2EFA" w:rsidRPr="001B2EFA" w:rsidRDefault="001B2EFA" w:rsidP="0073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1B2EFA">
              <w:rPr>
                <w:rFonts w:ascii="Times New Roman" w:hAnsi="Times New Roman"/>
                <w:szCs w:val="22"/>
              </w:rPr>
              <w:t>*6</w:t>
            </w:r>
          </w:p>
        </w:tc>
      </w:tr>
    </w:tbl>
    <w:p w:rsidR="001B2EFA" w:rsidRPr="001B2EFA" w:rsidRDefault="001B2EFA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b/>
          <w:sz w:val="22"/>
          <w:szCs w:val="22"/>
        </w:rPr>
      </w:pPr>
    </w:p>
    <w:p w:rsidR="001B2EFA" w:rsidRPr="009B1394" w:rsidRDefault="001B2EFA" w:rsidP="00A22A0A">
      <w:pPr>
        <w:pStyle w:val="Lijstalinea"/>
        <w:numPr>
          <w:ilvl w:val="0"/>
          <w:numId w:val="46"/>
        </w:num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9B1394">
        <w:rPr>
          <w:bCs/>
          <w:sz w:val="22"/>
          <w:szCs w:val="22"/>
        </w:rPr>
        <w:t>Twee nieuwe technologieën werden toegevoegd aan de LTL.</w:t>
      </w:r>
    </w:p>
    <w:p w:rsidR="001B2EFA" w:rsidRPr="001B2EFA" w:rsidRDefault="001B2EFA" w:rsidP="00A22A0A">
      <w:pPr>
        <w:pStyle w:val="Lijstalinea"/>
        <w:numPr>
          <w:ilvl w:val="0"/>
          <w:numId w:val="41"/>
        </w:num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1080"/>
        <w:contextualSpacing/>
        <w:jc w:val="both"/>
        <w:rPr>
          <w:sz w:val="22"/>
          <w:szCs w:val="22"/>
        </w:rPr>
      </w:pPr>
      <w:r w:rsidRPr="001B2EFA">
        <w:rPr>
          <w:sz w:val="22"/>
          <w:szCs w:val="22"/>
        </w:rPr>
        <w:t xml:space="preserve">200014 </w:t>
      </w:r>
      <w:r w:rsidR="00D17E88">
        <w:rPr>
          <w:sz w:val="22"/>
          <w:szCs w:val="22"/>
        </w:rPr>
        <w:t>“</w:t>
      </w:r>
      <w:r w:rsidRPr="001B2EFA">
        <w:rPr>
          <w:sz w:val="22"/>
          <w:szCs w:val="22"/>
        </w:rPr>
        <w:t>euro VI motor</w:t>
      </w:r>
      <w:r w:rsidR="00D17E88">
        <w:rPr>
          <w:sz w:val="22"/>
          <w:szCs w:val="22"/>
        </w:rPr>
        <w:t>”;</w:t>
      </w:r>
    </w:p>
    <w:p w:rsidR="001B2EFA" w:rsidRPr="001B2EFA" w:rsidRDefault="001B2EFA" w:rsidP="00A22A0A">
      <w:pPr>
        <w:pStyle w:val="Lijstalinea"/>
        <w:numPr>
          <w:ilvl w:val="0"/>
          <w:numId w:val="41"/>
        </w:num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1080"/>
        <w:contextualSpacing/>
        <w:jc w:val="both"/>
        <w:rPr>
          <w:sz w:val="22"/>
          <w:szCs w:val="22"/>
        </w:rPr>
      </w:pPr>
      <w:r w:rsidRPr="001B2EFA">
        <w:rPr>
          <w:sz w:val="22"/>
          <w:szCs w:val="22"/>
        </w:rPr>
        <w:t xml:space="preserve">200015 </w:t>
      </w:r>
      <w:r w:rsidR="00D17E88">
        <w:rPr>
          <w:sz w:val="22"/>
          <w:szCs w:val="22"/>
        </w:rPr>
        <w:t>“</w:t>
      </w:r>
      <w:r w:rsidRPr="001B2EFA">
        <w:rPr>
          <w:sz w:val="22"/>
          <w:szCs w:val="22"/>
        </w:rPr>
        <w:t>gasgestookte warmtepomp</w:t>
      </w:r>
      <w:r w:rsidR="00D17E88">
        <w:rPr>
          <w:sz w:val="22"/>
          <w:szCs w:val="22"/>
        </w:rPr>
        <w:t>”</w:t>
      </w:r>
      <w:r w:rsidRPr="001B2EFA">
        <w:rPr>
          <w:sz w:val="22"/>
          <w:szCs w:val="22"/>
        </w:rPr>
        <w:t xml:space="preserve">. </w:t>
      </w:r>
    </w:p>
    <w:p w:rsidR="001B2EFA" w:rsidRPr="001B2EFA" w:rsidRDefault="001B2EFA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1080"/>
        <w:jc w:val="both"/>
        <w:rPr>
          <w:sz w:val="22"/>
          <w:szCs w:val="22"/>
        </w:rPr>
      </w:pPr>
    </w:p>
    <w:p w:rsidR="001B2EFA" w:rsidRPr="009B1394" w:rsidRDefault="001B2EFA" w:rsidP="00A22A0A">
      <w:pPr>
        <w:pStyle w:val="Lijstalinea"/>
        <w:numPr>
          <w:ilvl w:val="0"/>
          <w:numId w:val="46"/>
        </w:num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9B1394">
        <w:rPr>
          <w:bCs/>
          <w:sz w:val="22"/>
          <w:szCs w:val="22"/>
        </w:rPr>
        <w:t>Toevoeging essentiële componenten aan een technologie.</w:t>
      </w:r>
    </w:p>
    <w:p w:rsidR="001B2EFA" w:rsidRDefault="001B2EFA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720"/>
        <w:jc w:val="both"/>
        <w:rPr>
          <w:sz w:val="22"/>
          <w:szCs w:val="22"/>
        </w:rPr>
      </w:pPr>
      <w:r w:rsidRPr="001B2EFA">
        <w:rPr>
          <w:sz w:val="22"/>
          <w:szCs w:val="22"/>
        </w:rPr>
        <w:t xml:space="preserve">Bij technologie 1339 </w:t>
      </w:r>
      <w:r w:rsidR="00D17E88">
        <w:rPr>
          <w:sz w:val="22"/>
          <w:szCs w:val="22"/>
        </w:rPr>
        <w:t>“</w:t>
      </w:r>
      <w:proofErr w:type="spellStart"/>
      <w:r w:rsidRPr="001B2EFA">
        <w:rPr>
          <w:sz w:val="22"/>
          <w:szCs w:val="22"/>
        </w:rPr>
        <w:t>Organic</w:t>
      </w:r>
      <w:proofErr w:type="spellEnd"/>
      <w:r w:rsidRPr="001B2EFA">
        <w:rPr>
          <w:sz w:val="22"/>
          <w:szCs w:val="22"/>
        </w:rPr>
        <w:t xml:space="preserve"> </w:t>
      </w:r>
      <w:proofErr w:type="spellStart"/>
      <w:r w:rsidRPr="001B2EFA">
        <w:rPr>
          <w:sz w:val="22"/>
          <w:szCs w:val="22"/>
        </w:rPr>
        <w:t>Rankine</w:t>
      </w:r>
      <w:proofErr w:type="spellEnd"/>
      <w:r w:rsidRPr="001B2EFA">
        <w:rPr>
          <w:sz w:val="22"/>
          <w:szCs w:val="22"/>
        </w:rPr>
        <w:t xml:space="preserve"> Cyclus</w:t>
      </w:r>
      <w:r w:rsidR="00D17E88">
        <w:rPr>
          <w:sz w:val="22"/>
          <w:szCs w:val="22"/>
        </w:rPr>
        <w:t>”</w:t>
      </w:r>
      <w:r w:rsidRPr="001B2EFA">
        <w:rPr>
          <w:sz w:val="22"/>
          <w:szCs w:val="22"/>
        </w:rPr>
        <w:t xml:space="preserve"> werden twee niet-essentiële investeringsco</w:t>
      </w:r>
      <w:r w:rsidRPr="001B2EFA">
        <w:rPr>
          <w:sz w:val="22"/>
          <w:szCs w:val="22"/>
        </w:rPr>
        <w:t>m</w:t>
      </w:r>
      <w:r w:rsidRPr="001B2EFA">
        <w:rPr>
          <w:sz w:val="22"/>
          <w:szCs w:val="22"/>
        </w:rPr>
        <w:t>ponenten toegevoegd.</w:t>
      </w:r>
    </w:p>
    <w:p w:rsidR="007A57B6" w:rsidRDefault="007A57B6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644"/>
        <w:jc w:val="both"/>
        <w:rPr>
          <w:sz w:val="22"/>
          <w:szCs w:val="22"/>
        </w:rPr>
      </w:pPr>
    </w:p>
    <w:p w:rsidR="007A57B6" w:rsidRPr="00023DC7" w:rsidRDefault="00B642D8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i/>
          <w:sz w:val="22"/>
          <w:szCs w:val="22"/>
        </w:rPr>
      </w:pPr>
      <w:r w:rsidRPr="00023DC7">
        <w:rPr>
          <w:i/>
          <w:sz w:val="22"/>
          <w:szCs w:val="22"/>
        </w:rPr>
        <w:t xml:space="preserve">Voor het voorjaar van 2012 zijn volgende </w:t>
      </w:r>
      <w:proofErr w:type="spellStart"/>
      <w:r w:rsidRPr="00023DC7">
        <w:rPr>
          <w:i/>
          <w:sz w:val="22"/>
          <w:szCs w:val="22"/>
        </w:rPr>
        <w:t>aanpassingenaan</w:t>
      </w:r>
      <w:proofErr w:type="spellEnd"/>
      <w:r w:rsidRPr="00023DC7">
        <w:rPr>
          <w:i/>
          <w:sz w:val="22"/>
          <w:szCs w:val="22"/>
        </w:rPr>
        <w:t xml:space="preserve"> de steunregeling gepland.</w:t>
      </w:r>
    </w:p>
    <w:p w:rsidR="007A57B6" w:rsidRDefault="007A57B6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644"/>
        <w:jc w:val="both"/>
        <w:rPr>
          <w:sz w:val="22"/>
          <w:szCs w:val="22"/>
          <w:lang w:eastAsia="nl-BE"/>
        </w:rPr>
      </w:pPr>
    </w:p>
    <w:p w:rsidR="007A57B6" w:rsidRDefault="00B642D8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sz w:val="22"/>
          <w:szCs w:val="22"/>
          <w:lang w:eastAsia="nl-BE"/>
        </w:rPr>
      </w:pPr>
      <w:r>
        <w:rPr>
          <w:sz w:val="22"/>
          <w:szCs w:val="22"/>
          <w:lang w:eastAsia="nl-BE"/>
        </w:rPr>
        <w:t xml:space="preserve">Voor het voorjaar 2012 zijn volgende </w:t>
      </w:r>
      <w:r w:rsidR="007A57B6" w:rsidRPr="007A57B6">
        <w:rPr>
          <w:sz w:val="22"/>
          <w:szCs w:val="22"/>
          <w:lang w:eastAsia="nl-BE"/>
        </w:rPr>
        <w:t xml:space="preserve">meer fundamentele ingrepen gepland die tot doel hebben om de aantrekkelijkheid </w:t>
      </w:r>
      <w:r>
        <w:rPr>
          <w:sz w:val="22"/>
          <w:szCs w:val="22"/>
          <w:lang w:eastAsia="nl-BE"/>
        </w:rPr>
        <w:t xml:space="preserve">van de ecologiesteunregeling </w:t>
      </w:r>
      <w:r w:rsidR="007A57B6" w:rsidRPr="007A57B6">
        <w:rPr>
          <w:sz w:val="22"/>
          <w:szCs w:val="22"/>
          <w:lang w:eastAsia="nl-BE"/>
        </w:rPr>
        <w:t>te verhogen.</w:t>
      </w:r>
    </w:p>
    <w:p w:rsidR="007A57B6" w:rsidRDefault="007A57B6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sz w:val="22"/>
          <w:szCs w:val="22"/>
          <w:lang w:eastAsia="nl-BE"/>
        </w:rPr>
      </w:pPr>
    </w:p>
    <w:p w:rsidR="007A57B6" w:rsidRDefault="007A57B6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sz w:val="22"/>
          <w:szCs w:val="22"/>
          <w:lang w:eastAsia="nl-BE"/>
        </w:rPr>
      </w:pPr>
      <w:r>
        <w:rPr>
          <w:sz w:val="22"/>
          <w:szCs w:val="22"/>
          <w:lang w:eastAsia="nl-BE"/>
        </w:rPr>
        <w:t xml:space="preserve">Aan VITO werd de opdracht gegeven om de indeling van de technologieën in </w:t>
      </w:r>
      <w:proofErr w:type="spellStart"/>
      <w:r w:rsidR="00023DC7">
        <w:rPr>
          <w:sz w:val="22"/>
          <w:szCs w:val="22"/>
          <w:lang w:eastAsia="nl-BE"/>
        </w:rPr>
        <w:t>ecoklassen</w:t>
      </w:r>
      <w:proofErr w:type="spellEnd"/>
      <w:r w:rsidR="00023DC7">
        <w:rPr>
          <w:sz w:val="22"/>
          <w:szCs w:val="22"/>
          <w:lang w:eastAsia="nl-BE"/>
        </w:rPr>
        <w:t xml:space="preserve"> </w:t>
      </w:r>
      <w:r>
        <w:rPr>
          <w:sz w:val="22"/>
          <w:szCs w:val="22"/>
          <w:lang w:eastAsia="nl-BE"/>
        </w:rPr>
        <w:t>op basis van hun ecologiegetal te herbekijken</w:t>
      </w:r>
      <w:r w:rsidR="003F506F">
        <w:rPr>
          <w:sz w:val="22"/>
          <w:szCs w:val="22"/>
          <w:lang w:eastAsia="nl-BE"/>
        </w:rPr>
        <w:t>.</w:t>
      </w:r>
    </w:p>
    <w:p w:rsidR="007A57B6" w:rsidRPr="007A57B6" w:rsidRDefault="007A57B6" w:rsidP="00A22A0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ind w:left="360"/>
        <w:jc w:val="both"/>
        <w:rPr>
          <w:sz w:val="22"/>
          <w:szCs w:val="22"/>
          <w:lang w:eastAsia="nl-BE"/>
        </w:rPr>
      </w:pPr>
    </w:p>
    <w:p w:rsidR="007A57B6" w:rsidRDefault="007A57B6" w:rsidP="00A22A0A">
      <w:pPr>
        <w:ind w:left="360"/>
        <w:jc w:val="both"/>
        <w:rPr>
          <w:sz w:val="22"/>
          <w:szCs w:val="22"/>
          <w:lang w:val="nl-BE"/>
        </w:rPr>
      </w:pPr>
      <w:r w:rsidRPr="007A57B6">
        <w:rPr>
          <w:sz w:val="22"/>
          <w:szCs w:val="22"/>
          <w:lang w:eastAsia="nl-BE"/>
        </w:rPr>
        <w:t xml:space="preserve">Momenteel </w:t>
      </w:r>
      <w:r>
        <w:rPr>
          <w:sz w:val="22"/>
          <w:szCs w:val="22"/>
          <w:lang w:eastAsia="nl-BE"/>
        </w:rPr>
        <w:t xml:space="preserve">is tevens </w:t>
      </w:r>
      <w:r w:rsidRPr="007A57B6">
        <w:rPr>
          <w:sz w:val="22"/>
          <w:szCs w:val="22"/>
          <w:lang w:eastAsia="nl-BE"/>
        </w:rPr>
        <w:t xml:space="preserve">een nieuwe steunregeling voor strategische ecologieprojecten </w:t>
      </w:r>
      <w:r>
        <w:rPr>
          <w:sz w:val="22"/>
          <w:szCs w:val="22"/>
          <w:lang w:eastAsia="nl-BE"/>
        </w:rPr>
        <w:t xml:space="preserve">in </w:t>
      </w:r>
      <w:proofErr w:type="spellStart"/>
      <w:r>
        <w:rPr>
          <w:sz w:val="22"/>
          <w:szCs w:val="22"/>
          <w:lang w:eastAsia="nl-BE"/>
        </w:rPr>
        <w:t>voorbere</w:t>
      </w:r>
      <w:r>
        <w:rPr>
          <w:sz w:val="22"/>
          <w:szCs w:val="22"/>
          <w:lang w:eastAsia="nl-BE"/>
        </w:rPr>
        <w:t>i</w:t>
      </w:r>
      <w:r>
        <w:rPr>
          <w:sz w:val="22"/>
          <w:szCs w:val="22"/>
          <w:lang w:eastAsia="nl-BE"/>
        </w:rPr>
        <w:t>ding.</w:t>
      </w:r>
      <w:r w:rsidR="00693308">
        <w:rPr>
          <w:sz w:val="22"/>
          <w:szCs w:val="22"/>
          <w:lang w:eastAsia="nl-BE"/>
        </w:rPr>
        <w:t>Bedoeling</w:t>
      </w:r>
      <w:proofErr w:type="spellEnd"/>
      <w:r w:rsidR="00693308">
        <w:rPr>
          <w:sz w:val="22"/>
          <w:szCs w:val="22"/>
          <w:lang w:eastAsia="nl-BE"/>
        </w:rPr>
        <w:t xml:space="preserve"> is om naast </w:t>
      </w:r>
      <w:r w:rsidR="00693308" w:rsidRPr="007A57B6">
        <w:rPr>
          <w:sz w:val="22"/>
          <w:szCs w:val="22"/>
          <w:lang w:eastAsia="nl-BE"/>
        </w:rPr>
        <w:t xml:space="preserve">de </w:t>
      </w:r>
      <w:r w:rsidR="00693308" w:rsidRPr="007A57B6">
        <w:rPr>
          <w:sz w:val="22"/>
          <w:szCs w:val="22"/>
          <w:lang w:val="nl-BE"/>
        </w:rPr>
        <w:t>bestaande ecologiesteunregeling met een limitatieve technologieë</w:t>
      </w:r>
      <w:r w:rsidR="00693308" w:rsidRPr="007A57B6">
        <w:rPr>
          <w:sz w:val="22"/>
          <w:szCs w:val="22"/>
          <w:lang w:val="nl-BE"/>
        </w:rPr>
        <w:t>n</w:t>
      </w:r>
      <w:r w:rsidR="00693308" w:rsidRPr="007A57B6">
        <w:rPr>
          <w:sz w:val="22"/>
          <w:szCs w:val="22"/>
          <w:lang w:val="nl-BE"/>
        </w:rPr>
        <w:t xml:space="preserve">lijst die via een internetapplicatie loopt een nieuwe steunregeling uit te werken voor strategische </w:t>
      </w:r>
      <w:r w:rsidR="00693308" w:rsidRPr="007A57B6">
        <w:rPr>
          <w:sz w:val="22"/>
          <w:szCs w:val="22"/>
          <w:lang w:val="nl-BE"/>
        </w:rPr>
        <w:lastRenderedPageBreak/>
        <w:t>ecologieprojecten, een steunregime bedoeld voor projecten die een globale/integrale milieu- of energieoplossing op bedrijfsniveau bieden met gesloten energie en materiaalkringlopen en proce</w:t>
      </w:r>
      <w:r w:rsidR="00693308" w:rsidRPr="007A57B6">
        <w:rPr>
          <w:sz w:val="22"/>
          <w:szCs w:val="22"/>
          <w:lang w:val="nl-BE"/>
        </w:rPr>
        <w:t>s</w:t>
      </w:r>
      <w:r w:rsidR="00693308" w:rsidRPr="007A57B6">
        <w:rPr>
          <w:sz w:val="22"/>
          <w:szCs w:val="22"/>
          <w:lang w:val="nl-BE"/>
        </w:rPr>
        <w:t xml:space="preserve">geïntegreerde oplossingen waarbij niet naar technologieën van de LTL kan gerefereerd worden. </w:t>
      </w:r>
      <w:r>
        <w:rPr>
          <w:sz w:val="22"/>
          <w:szCs w:val="22"/>
          <w:lang w:val="nl-BE"/>
        </w:rPr>
        <w:t>Deze nieuwe steunregeling zal in het voorjaar van 2012 operationeel worden.</w:t>
      </w:r>
    </w:p>
    <w:p w:rsidR="007A57B6" w:rsidRDefault="007A57B6" w:rsidP="00A22A0A">
      <w:pPr>
        <w:ind w:left="360"/>
        <w:jc w:val="both"/>
        <w:rPr>
          <w:sz w:val="22"/>
          <w:szCs w:val="22"/>
          <w:lang w:val="nl-BE"/>
        </w:rPr>
      </w:pPr>
    </w:p>
    <w:p w:rsidR="001B2EFA" w:rsidRPr="001B2EFA" w:rsidRDefault="007A57B6" w:rsidP="00A22A0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nl-BE"/>
        </w:rPr>
        <w:t>Ook zal worden bekeken om de huidige subsidiepercentages te verhogen naar het niveau dat de EU toelaat. Dit is evenwel maar mogelijk nadat het nieuwe decreet op het economisch onderste</w:t>
      </w:r>
      <w:r>
        <w:rPr>
          <w:sz w:val="22"/>
          <w:szCs w:val="22"/>
          <w:lang w:val="nl-BE"/>
        </w:rPr>
        <w:t>u</w:t>
      </w:r>
      <w:r>
        <w:rPr>
          <w:sz w:val="22"/>
          <w:szCs w:val="22"/>
          <w:lang w:val="nl-BE"/>
        </w:rPr>
        <w:t>ningsbeleid, dat het huidige decreet van 31 januari 2003 zal vervangen, is goedgekeurd. Verwacht wordt dat dit in het eerste kwartaal van 2012 zal gebeuren.</w:t>
      </w:r>
      <w:bookmarkStart w:id="0" w:name="_GoBack"/>
      <w:bookmarkEnd w:id="0"/>
    </w:p>
    <w:sectPr w:rsidR="001B2EFA" w:rsidRPr="001B2EFA" w:rsidSect="007A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7A" w:rsidRDefault="00ED027A">
      <w:r>
        <w:separator/>
      </w:r>
    </w:p>
  </w:endnote>
  <w:endnote w:type="continuationSeparator" w:id="0">
    <w:p w:rsidR="00ED027A" w:rsidRDefault="00E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Ve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7A" w:rsidRDefault="00ED027A">
      <w:r>
        <w:separator/>
      </w:r>
    </w:p>
  </w:footnote>
  <w:footnote w:type="continuationSeparator" w:id="0">
    <w:p w:rsidR="00ED027A" w:rsidRDefault="00ED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C924AEC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D689A"/>
    <w:multiLevelType w:val="hybridMultilevel"/>
    <w:tmpl w:val="B946537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81008"/>
    <w:multiLevelType w:val="hybridMultilevel"/>
    <w:tmpl w:val="B28C26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28B1848"/>
    <w:multiLevelType w:val="hybridMultilevel"/>
    <w:tmpl w:val="A3B27B2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619C3"/>
    <w:multiLevelType w:val="hybridMultilevel"/>
    <w:tmpl w:val="0C405F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D6D221D"/>
    <w:multiLevelType w:val="hybridMultilevel"/>
    <w:tmpl w:val="EFF662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C70F9"/>
    <w:multiLevelType w:val="hybridMultilevel"/>
    <w:tmpl w:val="7FE884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52892"/>
    <w:multiLevelType w:val="hybridMultilevel"/>
    <w:tmpl w:val="41BC1BC2"/>
    <w:lvl w:ilvl="0" w:tplc="3322FD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55FE3"/>
    <w:multiLevelType w:val="hybridMultilevel"/>
    <w:tmpl w:val="9F4A4E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EE12DF"/>
    <w:multiLevelType w:val="hybridMultilevel"/>
    <w:tmpl w:val="5372B6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A05D2"/>
    <w:multiLevelType w:val="hybridMultilevel"/>
    <w:tmpl w:val="017440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EF6CC3"/>
    <w:multiLevelType w:val="hybridMultilevel"/>
    <w:tmpl w:val="BCBCEE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C81321"/>
    <w:multiLevelType w:val="hybridMultilevel"/>
    <w:tmpl w:val="0262CA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F6A07"/>
    <w:multiLevelType w:val="hybridMultilevel"/>
    <w:tmpl w:val="09C2DA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B242E4"/>
    <w:multiLevelType w:val="hybridMultilevel"/>
    <w:tmpl w:val="EC389E3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820B32"/>
    <w:multiLevelType w:val="hybridMultilevel"/>
    <w:tmpl w:val="A6D24E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B19AF"/>
    <w:multiLevelType w:val="hybridMultilevel"/>
    <w:tmpl w:val="756E8804"/>
    <w:lvl w:ilvl="0" w:tplc="0750E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6F3B61"/>
    <w:multiLevelType w:val="multilevel"/>
    <w:tmpl w:val="B946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E1A2E"/>
    <w:multiLevelType w:val="hybridMultilevel"/>
    <w:tmpl w:val="B1327D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4F7818"/>
    <w:multiLevelType w:val="hybridMultilevel"/>
    <w:tmpl w:val="6EBA6B70"/>
    <w:lvl w:ilvl="0" w:tplc="17FA5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B788E"/>
    <w:multiLevelType w:val="hybridMultilevel"/>
    <w:tmpl w:val="106C57D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4"/>
  </w:num>
  <w:num w:numId="5">
    <w:abstractNumId w:val="27"/>
  </w:num>
  <w:num w:numId="6">
    <w:abstractNumId w:val="6"/>
  </w:num>
  <w:num w:numId="7">
    <w:abstractNumId w:val="40"/>
  </w:num>
  <w:num w:numId="8">
    <w:abstractNumId w:val="25"/>
  </w:num>
  <w:num w:numId="9">
    <w:abstractNumId w:val="22"/>
  </w:num>
  <w:num w:numId="10">
    <w:abstractNumId w:val="4"/>
  </w:num>
  <w:num w:numId="11">
    <w:abstractNumId w:val="21"/>
  </w:num>
  <w:num w:numId="12">
    <w:abstractNumId w:val="10"/>
  </w:num>
  <w:num w:numId="13">
    <w:abstractNumId w:val="16"/>
  </w:num>
  <w:num w:numId="14">
    <w:abstractNumId w:val="29"/>
  </w:num>
  <w:num w:numId="15">
    <w:abstractNumId w:val="18"/>
  </w:num>
  <w:num w:numId="16">
    <w:abstractNumId w:val="45"/>
  </w:num>
  <w:num w:numId="17">
    <w:abstractNumId w:val="24"/>
  </w:num>
  <w:num w:numId="18">
    <w:abstractNumId w:val="14"/>
  </w:num>
  <w:num w:numId="19">
    <w:abstractNumId w:val="31"/>
  </w:num>
  <w:num w:numId="20">
    <w:abstractNumId w:val="23"/>
  </w:num>
  <w:num w:numId="21">
    <w:abstractNumId w:val="35"/>
  </w:num>
  <w:num w:numId="22">
    <w:abstractNumId w:val="41"/>
  </w:num>
  <w:num w:numId="23">
    <w:abstractNumId w:val="2"/>
  </w:num>
  <w:num w:numId="24">
    <w:abstractNumId w:val="39"/>
  </w:num>
  <w:num w:numId="25">
    <w:abstractNumId w:val="32"/>
  </w:num>
  <w:num w:numId="26">
    <w:abstractNumId w:val="28"/>
  </w:num>
  <w:num w:numId="27">
    <w:abstractNumId w:val="26"/>
  </w:num>
  <w:num w:numId="28">
    <w:abstractNumId w:val="19"/>
  </w:num>
  <w:num w:numId="29">
    <w:abstractNumId w:val="30"/>
  </w:num>
  <w:num w:numId="30">
    <w:abstractNumId w:val="3"/>
  </w:num>
  <w:num w:numId="31">
    <w:abstractNumId w:val="0"/>
  </w:num>
  <w:num w:numId="32">
    <w:abstractNumId w:val="33"/>
  </w:num>
  <w:num w:numId="33">
    <w:abstractNumId w:val="38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9"/>
  </w:num>
  <w:num w:numId="38">
    <w:abstractNumId w:val="20"/>
  </w:num>
  <w:num w:numId="39">
    <w:abstractNumId w:val="36"/>
  </w:num>
  <w:num w:numId="40">
    <w:abstractNumId w:val="8"/>
  </w:num>
  <w:num w:numId="41">
    <w:abstractNumId w:val="12"/>
  </w:num>
  <w:num w:numId="42">
    <w:abstractNumId w:val="11"/>
  </w:num>
  <w:num w:numId="43">
    <w:abstractNumId w:val="5"/>
  </w:num>
  <w:num w:numId="44">
    <w:abstractNumId w:val="37"/>
  </w:num>
  <w:num w:numId="45">
    <w:abstractNumId w:val="43"/>
  </w:num>
  <w:num w:numId="46">
    <w:abstractNumId w:val="1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4"/>
    <w:rsid w:val="00010B84"/>
    <w:rsid w:val="000230ED"/>
    <w:rsid w:val="00023DC7"/>
    <w:rsid w:val="000253A3"/>
    <w:rsid w:val="00077889"/>
    <w:rsid w:val="00102476"/>
    <w:rsid w:val="001058E4"/>
    <w:rsid w:val="0010694A"/>
    <w:rsid w:val="001561C9"/>
    <w:rsid w:val="0016148B"/>
    <w:rsid w:val="00163D22"/>
    <w:rsid w:val="001666E9"/>
    <w:rsid w:val="001755B2"/>
    <w:rsid w:val="001B2EFA"/>
    <w:rsid w:val="001C0B52"/>
    <w:rsid w:val="001D50C6"/>
    <w:rsid w:val="001F713E"/>
    <w:rsid w:val="00202FA9"/>
    <w:rsid w:val="00205BBC"/>
    <w:rsid w:val="00212FAA"/>
    <w:rsid w:val="00224C3C"/>
    <w:rsid w:val="002536A1"/>
    <w:rsid w:val="00255EE7"/>
    <w:rsid w:val="002B5CAC"/>
    <w:rsid w:val="002B65A3"/>
    <w:rsid w:val="002E65CD"/>
    <w:rsid w:val="002F1544"/>
    <w:rsid w:val="00320377"/>
    <w:rsid w:val="00321F10"/>
    <w:rsid w:val="0032261D"/>
    <w:rsid w:val="0034616F"/>
    <w:rsid w:val="003750D5"/>
    <w:rsid w:val="003A256C"/>
    <w:rsid w:val="003B6A5C"/>
    <w:rsid w:val="003D0257"/>
    <w:rsid w:val="003F047F"/>
    <w:rsid w:val="003F506F"/>
    <w:rsid w:val="0041127E"/>
    <w:rsid w:val="00423F29"/>
    <w:rsid w:val="00442436"/>
    <w:rsid w:val="0046761C"/>
    <w:rsid w:val="0047032B"/>
    <w:rsid w:val="00472C97"/>
    <w:rsid w:val="00477EB3"/>
    <w:rsid w:val="00493496"/>
    <w:rsid w:val="004A56C3"/>
    <w:rsid w:val="004D21E2"/>
    <w:rsid w:val="004F3708"/>
    <w:rsid w:val="00512E83"/>
    <w:rsid w:val="00527AA7"/>
    <w:rsid w:val="00540203"/>
    <w:rsid w:val="00540740"/>
    <w:rsid w:val="00545C92"/>
    <w:rsid w:val="00567782"/>
    <w:rsid w:val="005B3194"/>
    <w:rsid w:val="00651B76"/>
    <w:rsid w:val="0066513A"/>
    <w:rsid w:val="00693308"/>
    <w:rsid w:val="006A5A3E"/>
    <w:rsid w:val="006F445E"/>
    <w:rsid w:val="007408E7"/>
    <w:rsid w:val="00757677"/>
    <w:rsid w:val="00766C70"/>
    <w:rsid w:val="007A0839"/>
    <w:rsid w:val="007A57B6"/>
    <w:rsid w:val="007A6656"/>
    <w:rsid w:val="007B21F0"/>
    <w:rsid w:val="007F09A8"/>
    <w:rsid w:val="00842183"/>
    <w:rsid w:val="008A6DA3"/>
    <w:rsid w:val="008E3430"/>
    <w:rsid w:val="009562D3"/>
    <w:rsid w:val="00995A04"/>
    <w:rsid w:val="00995F79"/>
    <w:rsid w:val="009A6335"/>
    <w:rsid w:val="009B1394"/>
    <w:rsid w:val="009E1B9F"/>
    <w:rsid w:val="00A22A0A"/>
    <w:rsid w:val="00A8473D"/>
    <w:rsid w:val="00AA6A75"/>
    <w:rsid w:val="00AD549A"/>
    <w:rsid w:val="00B16D19"/>
    <w:rsid w:val="00B25802"/>
    <w:rsid w:val="00B523DE"/>
    <w:rsid w:val="00B642D8"/>
    <w:rsid w:val="00BB2A82"/>
    <w:rsid w:val="00BB38B7"/>
    <w:rsid w:val="00BB6E27"/>
    <w:rsid w:val="00BC31DA"/>
    <w:rsid w:val="00BE315B"/>
    <w:rsid w:val="00C52E01"/>
    <w:rsid w:val="00C625C9"/>
    <w:rsid w:val="00C7671C"/>
    <w:rsid w:val="00CE2DB2"/>
    <w:rsid w:val="00CE5C0A"/>
    <w:rsid w:val="00D17E88"/>
    <w:rsid w:val="00D41A8A"/>
    <w:rsid w:val="00D5568D"/>
    <w:rsid w:val="00D61A12"/>
    <w:rsid w:val="00D83273"/>
    <w:rsid w:val="00DE405B"/>
    <w:rsid w:val="00E0212C"/>
    <w:rsid w:val="00E2607F"/>
    <w:rsid w:val="00E416BE"/>
    <w:rsid w:val="00E839E8"/>
    <w:rsid w:val="00EB0A62"/>
    <w:rsid w:val="00ED027A"/>
    <w:rsid w:val="00F051B1"/>
    <w:rsid w:val="00F71CDA"/>
    <w:rsid w:val="00F86A50"/>
    <w:rsid w:val="00F94F4A"/>
    <w:rsid w:val="00FD141A"/>
    <w:rsid w:val="00FD176E"/>
    <w:rsid w:val="00FE4460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6656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A6656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7A6656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A6656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A6656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7A6656"/>
  </w:style>
  <w:style w:type="paragraph" w:styleId="Inhopg1">
    <w:name w:val="toc 1"/>
    <w:basedOn w:val="Standaard"/>
    <w:next w:val="Standaard"/>
    <w:autoRedefine/>
    <w:semiHidden/>
    <w:rsid w:val="007A6656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7A6656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7A6656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7A6656"/>
    <w:pPr>
      <w:jc w:val="both"/>
    </w:pPr>
    <w:rPr>
      <w:i/>
      <w:sz w:val="22"/>
    </w:rPr>
  </w:style>
  <w:style w:type="character" w:customStyle="1" w:styleId="OpmaakprofielSV">
    <w:name w:val="Opmaakprofiel SV"/>
    <w:basedOn w:val="Standaardalinea-lettertype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7A665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A665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7A665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basedOn w:val="Standaardalinea-lettertyp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3A256C"/>
    <w:rPr>
      <w:sz w:val="22"/>
      <w:lang w:val="nl-NL" w:eastAsia="nl-NL" w:bidi="ar-SA"/>
    </w:rPr>
  </w:style>
  <w:style w:type="paragraph" w:styleId="Lijstnummering">
    <w:name w:val="List Number"/>
    <w:basedOn w:val="Standaard"/>
    <w:rsid w:val="003A256C"/>
    <w:pPr>
      <w:numPr>
        <w:numId w:val="31"/>
      </w:numPr>
      <w:suppressAutoHyphens/>
    </w:pPr>
    <w:rPr>
      <w:sz w:val="22"/>
      <w:szCs w:val="24"/>
      <w:lang w:eastAsia="ar-SA"/>
    </w:rPr>
  </w:style>
  <w:style w:type="table" w:styleId="Tabelraster">
    <w:name w:val="Table Grid"/>
    <w:basedOn w:val="Standaardtabel"/>
    <w:uiPriority w:val="59"/>
    <w:rsid w:val="001B2EFA"/>
    <w:rPr>
      <w:rFonts w:asciiTheme="minorHAnsi" w:hAnsiTheme="minorHAnsi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sz w:val="22"/>
      </w:rPr>
      <w:tblPr/>
      <w:tcPr>
        <w:shd w:val="clear" w:color="auto" w:fill="709FDB" w:themeFill="text2" w:themeFillTint="80"/>
      </w:tcPr>
    </w:tblStylePr>
  </w:style>
  <w:style w:type="paragraph" w:styleId="Ballontekst">
    <w:name w:val="Balloon Text"/>
    <w:basedOn w:val="Standaard"/>
    <w:link w:val="BallontekstChar"/>
    <w:rsid w:val="00B258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580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basedOn w:val="Standaardalinea-lettertype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basedOn w:val="Standaardalinea-lettertyp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3A256C"/>
    <w:rPr>
      <w:sz w:val="22"/>
      <w:lang w:val="nl-NL" w:eastAsia="nl-NL" w:bidi="ar-SA"/>
    </w:rPr>
  </w:style>
  <w:style w:type="paragraph" w:styleId="Lijstnummering">
    <w:name w:val="List Number"/>
    <w:basedOn w:val="Standaard"/>
    <w:rsid w:val="003A256C"/>
    <w:pPr>
      <w:numPr>
        <w:numId w:val="31"/>
      </w:numPr>
      <w:suppressAutoHyphens/>
    </w:pPr>
    <w:rPr>
      <w:sz w:val="22"/>
      <w:szCs w:val="24"/>
      <w:lang w:eastAsia="ar-SA"/>
    </w:rPr>
  </w:style>
  <w:style w:type="table" w:styleId="Tabelraster">
    <w:name w:val="Table Grid"/>
    <w:basedOn w:val="Standaardtabel"/>
    <w:uiPriority w:val="59"/>
    <w:rsid w:val="001B2EFA"/>
    <w:rPr>
      <w:rFonts w:asciiTheme="minorHAnsi" w:hAnsiTheme="minorHAnsi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sz w:val="22"/>
      </w:rPr>
      <w:tblPr/>
      <w:tcPr>
        <w:shd w:val="clear" w:color="auto" w:fill="709FDB" w:themeFill="text2" w:themeFillTint="80"/>
      </w:tcPr>
    </w:tblStylePr>
  </w:style>
  <w:style w:type="paragraph" w:styleId="Ballontekst">
    <w:name w:val="Balloon Text"/>
    <w:basedOn w:val="Standaard"/>
    <w:link w:val="BallontekstChar"/>
    <w:rsid w:val="00B258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580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F6BC-8F22-4B53-86DD-8C5287BF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1237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demo</cp:lastModifiedBy>
  <cp:revision>3</cp:revision>
  <cp:lastPrinted>2011-11-24T14:44:00Z</cp:lastPrinted>
  <dcterms:created xsi:type="dcterms:W3CDTF">2011-11-24T15:07:00Z</dcterms:created>
  <dcterms:modified xsi:type="dcterms:W3CDTF">2011-12-02T09:07:00Z</dcterms:modified>
</cp:coreProperties>
</file>