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31" w:rsidRDefault="008E5231" w:rsidP="008E5231">
      <w:pPr>
        <w:pStyle w:val="SVVlaamsParlement"/>
      </w:pPr>
      <w:bookmarkStart w:id="0" w:name="_GoBack"/>
      <w:bookmarkEnd w:id="0"/>
      <w:proofErr w:type="spellStart"/>
      <w:r>
        <w:t>vlaams</w:t>
      </w:r>
      <w:proofErr w:type="spellEnd"/>
      <w:r>
        <w:t xml:space="preserve"> parlement</w:t>
      </w:r>
    </w:p>
    <w:p w:rsidR="008E5231" w:rsidRDefault="008E5231" w:rsidP="008E5231">
      <w:pPr>
        <w:jc w:val="both"/>
        <w:rPr>
          <w:smallCaps/>
          <w:sz w:val="22"/>
        </w:rPr>
      </w:pPr>
      <w:r>
        <w:rPr>
          <w:smallCaps/>
          <w:sz w:val="22"/>
          <w:szCs w:val="22"/>
        </w:rPr>
        <w:t>₪</w:t>
      </w:r>
      <w:r>
        <w:rPr>
          <w:smallCaps/>
          <w:sz w:val="22"/>
        </w:rPr>
        <w:t xml:space="preserve"> schriftelijke vragen</w:t>
      </w:r>
    </w:p>
    <w:p w:rsidR="008E5231" w:rsidRDefault="008E5231" w:rsidP="008E5231">
      <w:pPr>
        <w:pBdr>
          <w:bottom w:val="single" w:sz="4" w:space="1" w:color="auto"/>
        </w:pBdr>
        <w:jc w:val="both"/>
        <w:rPr>
          <w:sz w:val="22"/>
        </w:rPr>
      </w:pPr>
    </w:p>
    <w:p w:rsidR="008E5231" w:rsidRDefault="008E5231" w:rsidP="008E5231">
      <w:pPr>
        <w:jc w:val="both"/>
        <w:rPr>
          <w:sz w:val="22"/>
        </w:rPr>
      </w:pPr>
    </w:p>
    <w:p w:rsidR="008E5231" w:rsidRDefault="008E5231" w:rsidP="008E5231">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r>
        <w:rPr>
          <w:rFonts w:ascii="Times New Roman Vet" w:hAnsi="Times New Roman Vet"/>
          <w:smallCaps/>
          <w:sz w:val="22"/>
          <w:szCs w:val="22"/>
          <w:lang w:val="nl-BE"/>
        </w:rPr>
        <w:t xml:space="preserve"> </w:t>
      </w:r>
    </w:p>
    <w:p w:rsidR="008E5231" w:rsidRDefault="008E5231" w:rsidP="008E5231">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rsidR="008E5231" w:rsidRDefault="008E5231" w:rsidP="008E5231">
      <w:pPr>
        <w:pStyle w:val="StandaardSV"/>
        <w:pBdr>
          <w:bottom w:val="single" w:sz="4" w:space="1" w:color="auto"/>
        </w:pBdr>
        <w:rPr>
          <w:szCs w:val="20"/>
          <w:lang w:val="nl-BE"/>
        </w:rPr>
      </w:pPr>
    </w:p>
    <w:p w:rsidR="008E5231" w:rsidRDefault="008E5231" w:rsidP="008E5231">
      <w:pPr>
        <w:jc w:val="both"/>
        <w:rPr>
          <w:sz w:val="22"/>
        </w:rPr>
      </w:pPr>
    </w:p>
    <w:p w:rsidR="008E5231" w:rsidRDefault="008E5231" w:rsidP="008E5231">
      <w:pPr>
        <w:jc w:val="both"/>
        <w:rPr>
          <w:sz w:val="22"/>
        </w:rPr>
      </w:pPr>
      <w:r>
        <w:rPr>
          <w:sz w:val="22"/>
        </w:rPr>
        <w:t>Vraag nr. 67</w:t>
      </w:r>
    </w:p>
    <w:p w:rsidR="008E5231" w:rsidRDefault="008E5231" w:rsidP="008E5231">
      <w:pPr>
        <w:jc w:val="both"/>
        <w:rPr>
          <w:sz w:val="22"/>
        </w:rPr>
      </w:pPr>
      <w:r>
        <w:rPr>
          <w:sz w:val="22"/>
        </w:rPr>
        <w:t>van 11 oktober 2011</w:t>
      </w:r>
    </w:p>
    <w:p w:rsidR="008E5231" w:rsidRDefault="008E5231" w:rsidP="008E5231">
      <w:pPr>
        <w:jc w:val="both"/>
        <w:rPr>
          <w:b/>
          <w:sz w:val="22"/>
        </w:rPr>
      </w:pPr>
      <w:r>
        <w:rPr>
          <w:sz w:val="22"/>
        </w:rPr>
        <w:t xml:space="preserve">van </w:t>
      </w:r>
      <w:proofErr w:type="spellStart"/>
      <w:r>
        <w:rPr>
          <w:b/>
          <w:smallCaps/>
          <w:sz w:val="22"/>
        </w:rPr>
        <w:t>willy</w:t>
      </w:r>
      <w:proofErr w:type="spellEnd"/>
      <w:r>
        <w:rPr>
          <w:b/>
          <w:smallCaps/>
          <w:sz w:val="22"/>
        </w:rPr>
        <w:t xml:space="preserve"> </w:t>
      </w:r>
      <w:proofErr w:type="spellStart"/>
      <w:r>
        <w:rPr>
          <w:b/>
          <w:smallCaps/>
          <w:sz w:val="22"/>
        </w:rPr>
        <w:t>segers</w:t>
      </w:r>
      <w:proofErr w:type="spellEnd"/>
    </w:p>
    <w:p w:rsidR="008E5231" w:rsidRDefault="008E5231" w:rsidP="008E5231">
      <w:pPr>
        <w:pBdr>
          <w:bottom w:val="single" w:sz="4" w:space="1" w:color="auto"/>
        </w:pBdr>
        <w:jc w:val="both"/>
        <w:rPr>
          <w:sz w:val="22"/>
        </w:rPr>
      </w:pPr>
    </w:p>
    <w:p w:rsidR="008E5231" w:rsidRDefault="008E5231" w:rsidP="008E5231">
      <w:pPr>
        <w:pStyle w:val="StandaardSV"/>
      </w:pPr>
    </w:p>
    <w:p w:rsidR="008E5231" w:rsidRPr="00C76823" w:rsidRDefault="008E5231" w:rsidP="008E5231">
      <w:pPr>
        <w:pStyle w:val="StandaardSV"/>
        <w:rPr>
          <w:rFonts w:ascii="Times New Roman" w:hAnsi="Times New Roman" w:cs="Times New Roman"/>
        </w:rPr>
      </w:pPr>
    </w:p>
    <w:p w:rsidR="008E5231" w:rsidRPr="00C76823" w:rsidRDefault="008E5231" w:rsidP="008E5231">
      <w:pPr>
        <w:pStyle w:val="StandaardSV"/>
        <w:rPr>
          <w:rFonts w:ascii="Times New Roman" w:hAnsi="Times New Roman" w:cs="Times New Roman"/>
          <w:i/>
        </w:rPr>
      </w:pPr>
      <w:r w:rsidRPr="00C76823">
        <w:rPr>
          <w:rFonts w:ascii="Times New Roman" w:hAnsi="Times New Roman" w:cs="Times New Roman"/>
          <w:i/>
        </w:rPr>
        <w:t>Personen van allochtone afkomst   -   Monitoring</w:t>
      </w:r>
    </w:p>
    <w:p w:rsidR="00C76823" w:rsidRPr="00C76823" w:rsidRDefault="00C76823" w:rsidP="00C76823">
      <w:pPr>
        <w:rPr>
          <w:sz w:val="22"/>
          <w:szCs w:val="22"/>
        </w:rPr>
      </w:pPr>
    </w:p>
    <w:p w:rsidR="00C76823" w:rsidRPr="00C76823" w:rsidRDefault="00C76823" w:rsidP="00C76823">
      <w:pPr>
        <w:pStyle w:val="StandaardSV"/>
        <w:numPr>
          <w:ilvl w:val="0"/>
          <w:numId w:val="2"/>
        </w:numPr>
        <w:tabs>
          <w:tab w:val="num" w:pos="360"/>
        </w:tabs>
        <w:ind w:left="360"/>
        <w:rPr>
          <w:rFonts w:ascii="Times New Roman" w:hAnsi="Times New Roman" w:cs="Times New Roman"/>
          <w:b/>
        </w:rPr>
      </w:pPr>
      <w:r w:rsidRPr="00C76823">
        <w:rPr>
          <w:rFonts w:ascii="Times New Roman" w:hAnsi="Times New Roman" w:cs="Times New Roman"/>
          <w:b/>
        </w:rPr>
        <w:t>Op welke basis verloopt de monitoring van personen met een allochtone achtergrond binnen het beleid van de minister? Welke definitie hanteert hij/zij hiervoor? </w:t>
      </w:r>
    </w:p>
    <w:p w:rsidR="00C76823" w:rsidRPr="00C76823" w:rsidRDefault="00C76823" w:rsidP="00C76823">
      <w:pPr>
        <w:rPr>
          <w:b/>
          <w:sz w:val="22"/>
          <w:szCs w:val="22"/>
        </w:rPr>
      </w:pPr>
    </w:p>
    <w:p w:rsidR="00C76823" w:rsidRPr="00C76823" w:rsidRDefault="00C76823" w:rsidP="00C76823">
      <w:pPr>
        <w:pStyle w:val="Lijstalinea"/>
        <w:numPr>
          <w:ilvl w:val="0"/>
          <w:numId w:val="3"/>
        </w:numPr>
        <w:rPr>
          <w:sz w:val="22"/>
          <w:szCs w:val="22"/>
        </w:rPr>
      </w:pPr>
      <w:r w:rsidRPr="00C76823">
        <w:rPr>
          <w:sz w:val="22"/>
          <w:szCs w:val="22"/>
        </w:rPr>
        <w:t xml:space="preserve">In 2008 heeft het </w:t>
      </w:r>
      <w:proofErr w:type="spellStart"/>
      <w:r w:rsidRPr="00C76823">
        <w:rPr>
          <w:sz w:val="22"/>
          <w:szCs w:val="22"/>
        </w:rPr>
        <w:t>Bloso</w:t>
      </w:r>
      <w:proofErr w:type="spellEnd"/>
      <w:r w:rsidRPr="00C76823">
        <w:rPr>
          <w:sz w:val="22"/>
          <w:szCs w:val="22"/>
        </w:rPr>
        <w:t>, in samenwerking met de dienst Emancipatiezaken, een nulmeting doorgevoerd, waarbij er, naast  opleidingsniveau en arbeidshandicap, werd gepeild naar het feit of personeelsleden al dan niet van allochtone afkomst zijn.</w:t>
      </w:r>
    </w:p>
    <w:p w:rsidR="00C76823" w:rsidRPr="00C76823" w:rsidRDefault="00C76823" w:rsidP="00C76823">
      <w:pPr>
        <w:pStyle w:val="Lijstalinea"/>
        <w:rPr>
          <w:sz w:val="22"/>
          <w:szCs w:val="22"/>
        </w:rPr>
      </w:pPr>
    </w:p>
    <w:p w:rsidR="00C76823" w:rsidRPr="00C76823" w:rsidRDefault="00C76823" w:rsidP="00C76823">
      <w:pPr>
        <w:pStyle w:val="Lijstalinea"/>
        <w:overflowPunct/>
        <w:rPr>
          <w:rFonts w:eastAsia="Calibri"/>
          <w:sz w:val="22"/>
          <w:szCs w:val="22"/>
          <w:lang w:val="nl-BE" w:eastAsia="en-US"/>
        </w:rPr>
      </w:pPr>
      <w:proofErr w:type="spellStart"/>
      <w:r w:rsidRPr="00C76823">
        <w:rPr>
          <w:sz w:val="22"/>
          <w:szCs w:val="22"/>
        </w:rPr>
        <w:t>Bloso</w:t>
      </w:r>
      <w:proofErr w:type="spellEnd"/>
      <w:r w:rsidRPr="00C76823">
        <w:rPr>
          <w:sz w:val="22"/>
          <w:szCs w:val="22"/>
        </w:rPr>
        <w:t xml:space="preserve"> baseert zich op de definitie </w:t>
      </w:r>
      <w:r w:rsidRPr="00C76823">
        <w:rPr>
          <w:rFonts w:eastAsia="Calibri"/>
          <w:sz w:val="22"/>
          <w:szCs w:val="22"/>
          <w:lang w:val="nl-BE" w:eastAsia="en-US"/>
        </w:rPr>
        <w:t>van het Vlaams Economisch en Sociaal Overlegcomité</w:t>
      </w:r>
      <w:r w:rsidRPr="00C76823">
        <w:rPr>
          <w:sz w:val="22"/>
          <w:szCs w:val="22"/>
        </w:rPr>
        <w:t xml:space="preserve"> (VESOC) om te bepalen of een personeelslid al dan niet van allochtone afkomst is.</w:t>
      </w:r>
      <w:r w:rsidRPr="00C76823">
        <w:rPr>
          <w:rFonts w:eastAsia="Calibri"/>
          <w:sz w:val="22"/>
          <w:szCs w:val="22"/>
          <w:lang w:val="nl-BE" w:eastAsia="en-US"/>
        </w:rPr>
        <w:t xml:space="preserve"> Deze VESOC-definitie bepaalt dat iemand allochtoon is indien hij geen nationaliteit heeft uit één van de landen van de Europese Economische Ruimte (EER)  zijnde  de landen van de Europese Unie (EU) samen met de landen van de Europese Vrijhandelsassociatie (EVA) of indien minstens één ouder of minstens twee grootouders een nationaliteit hebben van buiten de EER. Deze definitie vertrekt weliswaar vanuit het nationaliteitsconcept, maar door de bepalingen in verband met de nationaliteit van de ouders en grootouders wordt de origine tot op zekere hoogte toch geïntegreerd in de definitie.</w:t>
      </w:r>
    </w:p>
    <w:p w:rsidR="00C76823" w:rsidRPr="00C76823" w:rsidRDefault="00C76823" w:rsidP="00C76823">
      <w:pPr>
        <w:ind w:left="708"/>
        <w:rPr>
          <w:sz w:val="22"/>
          <w:szCs w:val="22"/>
        </w:rPr>
      </w:pPr>
    </w:p>
    <w:p w:rsidR="00C76823" w:rsidRPr="00C76823" w:rsidRDefault="00C76823" w:rsidP="00C76823">
      <w:pPr>
        <w:ind w:left="708"/>
        <w:rPr>
          <w:sz w:val="22"/>
          <w:szCs w:val="22"/>
        </w:rPr>
      </w:pPr>
      <w:r w:rsidRPr="00C76823">
        <w:rPr>
          <w:sz w:val="22"/>
          <w:szCs w:val="22"/>
        </w:rPr>
        <w:t xml:space="preserve">Sindsdien wordt systematisch elk nieuw </w:t>
      </w:r>
      <w:proofErr w:type="spellStart"/>
      <w:r w:rsidRPr="00C76823">
        <w:rPr>
          <w:sz w:val="22"/>
          <w:szCs w:val="22"/>
        </w:rPr>
        <w:t>Bloso</w:t>
      </w:r>
      <w:proofErr w:type="spellEnd"/>
      <w:r w:rsidRPr="00C76823">
        <w:rPr>
          <w:sz w:val="22"/>
          <w:szCs w:val="22"/>
        </w:rPr>
        <w:t xml:space="preserve"> personeelslid bij het intakegesprek bevraagd over onder meer allochtone afkomst. Er worden dezelfde vragen en dezelfde omkadering gebruikt als bij de nulmeting. Deze gegevens worden bijgehouden in een databank “diversiteit”.</w:t>
      </w:r>
    </w:p>
    <w:p w:rsidR="00C76823" w:rsidRPr="00C76823" w:rsidRDefault="00C76823" w:rsidP="00C76823">
      <w:pPr>
        <w:ind w:firstLine="708"/>
        <w:rPr>
          <w:sz w:val="22"/>
          <w:szCs w:val="22"/>
        </w:rPr>
      </w:pPr>
      <w:r w:rsidRPr="00C76823">
        <w:rPr>
          <w:sz w:val="22"/>
          <w:szCs w:val="22"/>
        </w:rPr>
        <w:t>De bevraging gebeurt steeds op vrijwillige basis.</w:t>
      </w:r>
    </w:p>
    <w:p w:rsidR="00C76823" w:rsidRPr="00C76823" w:rsidRDefault="00C76823" w:rsidP="00C76823">
      <w:pPr>
        <w:ind w:left="708"/>
        <w:rPr>
          <w:sz w:val="22"/>
          <w:szCs w:val="22"/>
        </w:rPr>
      </w:pPr>
    </w:p>
    <w:p w:rsidR="00C76823" w:rsidRPr="00C76823" w:rsidRDefault="00C76823" w:rsidP="00C76823">
      <w:pPr>
        <w:pStyle w:val="StandaardSV"/>
        <w:numPr>
          <w:ilvl w:val="0"/>
          <w:numId w:val="3"/>
        </w:numPr>
        <w:rPr>
          <w:rFonts w:ascii="Times New Roman" w:hAnsi="Times New Roman" w:cs="Times New Roman"/>
        </w:rPr>
      </w:pPr>
      <w:r w:rsidRPr="00C76823">
        <w:rPr>
          <w:rFonts w:ascii="Times New Roman" w:hAnsi="Times New Roman" w:cs="Times New Roman"/>
        </w:rPr>
        <w:t>Bij de registratie van de inschrijvingen van de Vlaamse Trainersschool (</w:t>
      </w:r>
      <w:proofErr w:type="spellStart"/>
      <w:r w:rsidRPr="00C76823">
        <w:rPr>
          <w:rFonts w:ascii="Times New Roman" w:hAnsi="Times New Roman" w:cs="Times New Roman"/>
        </w:rPr>
        <w:t>Bloso</w:t>
      </w:r>
      <w:proofErr w:type="spellEnd"/>
      <w:r w:rsidRPr="00C76823">
        <w:rPr>
          <w:rFonts w:ascii="Times New Roman" w:hAnsi="Times New Roman" w:cs="Times New Roman"/>
        </w:rPr>
        <w:t>) wordt aan de kandidaat-deelnemers vrijblijvend gevraagd aan te duiden of men zichzelf als deelnemers van allochtone origine beschouwd op basis van de bovenstaande VESOC-definitie.</w:t>
      </w:r>
    </w:p>
    <w:p w:rsidR="00C76823" w:rsidRPr="00C76823" w:rsidRDefault="00C76823" w:rsidP="00C76823">
      <w:pPr>
        <w:pStyle w:val="StandaardSV"/>
        <w:ind w:left="720"/>
        <w:rPr>
          <w:rFonts w:ascii="Times New Roman" w:hAnsi="Times New Roman" w:cs="Times New Roman"/>
        </w:rPr>
      </w:pPr>
    </w:p>
    <w:p w:rsidR="00C76823" w:rsidRPr="00C76823" w:rsidRDefault="00C76823" w:rsidP="00C76823">
      <w:pPr>
        <w:pStyle w:val="Lijstalinea"/>
        <w:numPr>
          <w:ilvl w:val="0"/>
          <w:numId w:val="3"/>
        </w:numPr>
        <w:rPr>
          <w:sz w:val="22"/>
          <w:szCs w:val="22"/>
        </w:rPr>
      </w:pPr>
      <w:r w:rsidRPr="00C76823">
        <w:rPr>
          <w:sz w:val="22"/>
          <w:szCs w:val="22"/>
        </w:rPr>
        <w:t>In het kader van het decreet op de sportfederaties van 13/7/2001 kunnen Vlaamse sportfederaties naast basissubsidies ook in aanmerking komen voor aanvullende subsidies voor o.a. jeugdsport, sportkampen en prioriteitenbeleid. Deze laatste opdracht heeft steeds tot doel de sportparticipatie en de aansluiting bij een sportclub van een bijzondere doelgroep te bevorderen. De Vlaamse Regering bepaalt welke doelgroep dit is.</w:t>
      </w:r>
    </w:p>
    <w:p w:rsidR="00C76823" w:rsidRPr="00C76823" w:rsidRDefault="00C76823" w:rsidP="00C76823">
      <w:pPr>
        <w:ind w:left="360"/>
        <w:rPr>
          <w:sz w:val="22"/>
          <w:szCs w:val="22"/>
        </w:rPr>
      </w:pPr>
    </w:p>
    <w:p w:rsidR="00C76823" w:rsidRPr="00C76823" w:rsidRDefault="00C76823" w:rsidP="00C76823">
      <w:pPr>
        <w:ind w:left="708"/>
        <w:rPr>
          <w:sz w:val="22"/>
          <w:szCs w:val="22"/>
        </w:rPr>
      </w:pPr>
      <w:r w:rsidRPr="00C76823">
        <w:rPr>
          <w:sz w:val="22"/>
          <w:szCs w:val="22"/>
        </w:rPr>
        <w:t>Voor het jaar 2003 en 2004 stond de facultatieve opdracht prioriteitenbeleid in het teken van het bevorderen van de gezamenlijke sportbeoefening van allochtone en autochtone bevolkingsgroepen in de sportclubs (besluit VR van 31/5/2002). Een specifieke definitie van allochtone bevolkingsgroep werd niet opgenomen in het besluit van 31/5/2002.</w:t>
      </w:r>
    </w:p>
    <w:p w:rsidR="00C76823" w:rsidRPr="00C76823" w:rsidRDefault="00C76823" w:rsidP="00C76823">
      <w:pPr>
        <w:ind w:left="360"/>
        <w:rPr>
          <w:sz w:val="22"/>
          <w:szCs w:val="22"/>
        </w:rPr>
      </w:pPr>
    </w:p>
    <w:p w:rsidR="00C76823" w:rsidRPr="00C76823" w:rsidRDefault="00A34053" w:rsidP="00C76823">
      <w:pPr>
        <w:ind w:left="708"/>
        <w:rPr>
          <w:sz w:val="22"/>
          <w:szCs w:val="22"/>
        </w:rPr>
      </w:pPr>
      <w:r>
        <w:rPr>
          <w:sz w:val="22"/>
          <w:szCs w:val="22"/>
        </w:rPr>
        <w:lastRenderedPageBreak/>
        <w:t>Twee</w:t>
      </w:r>
      <w:r w:rsidR="00C76823" w:rsidRPr="00C76823">
        <w:rPr>
          <w:sz w:val="22"/>
          <w:szCs w:val="22"/>
        </w:rPr>
        <w:t xml:space="preserve"> sportfederaties hebben ingetekend op het prioriteitenbeleid: de unisportfederatie Vlaamse Rugby Bond vzw en de recreatieve sportfederatie S-Sport Federatie vzw.</w:t>
      </w:r>
    </w:p>
    <w:p w:rsidR="00C76823" w:rsidRPr="00C76823" w:rsidRDefault="00C76823" w:rsidP="00C76823">
      <w:pPr>
        <w:ind w:left="360"/>
        <w:rPr>
          <w:sz w:val="22"/>
          <w:szCs w:val="22"/>
        </w:rPr>
      </w:pPr>
    </w:p>
    <w:tbl>
      <w:tblPr>
        <w:tblW w:w="8930" w:type="dxa"/>
        <w:tblInd w:w="534" w:type="dxa"/>
        <w:tblCellMar>
          <w:left w:w="0" w:type="dxa"/>
          <w:right w:w="0" w:type="dxa"/>
        </w:tblCellMar>
        <w:tblLook w:val="04A0" w:firstRow="1" w:lastRow="0" w:firstColumn="1" w:lastColumn="0" w:noHBand="0" w:noVBand="1"/>
      </w:tblPr>
      <w:tblGrid>
        <w:gridCol w:w="2409"/>
        <w:gridCol w:w="1560"/>
        <w:gridCol w:w="1701"/>
        <w:gridCol w:w="1615"/>
        <w:gridCol w:w="1645"/>
      </w:tblGrid>
      <w:tr w:rsidR="00C76823" w:rsidRPr="00C76823" w:rsidTr="00C76823">
        <w:trPr>
          <w:trHeight w:val="463"/>
        </w:trPr>
        <w:tc>
          <w:tcPr>
            <w:tcW w:w="2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6823" w:rsidRPr="00C76823" w:rsidRDefault="00C76823">
            <w:pPr>
              <w:overflowPunct w:val="0"/>
              <w:autoSpaceDE w:val="0"/>
              <w:autoSpaceDN w:val="0"/>
              <w:adjustRightInd w:val="0"/>
              <w:rPr>
                <w:rFonts w:eastAsia="Calibri"/>
                <w:sz w:val="22"/>
                <w:szCs w:val="22"/>
              </w:rPr>
            </w:pPr>
            <w:r w:rsidRPr="00C76823">
              <w:rPr>
                <w:sz w:val="22"/>
                <w:szCs w:val="22"/>
              </w:rPr>
              <w:t>Sportfederatie</w:t>
            </w:r>
          </w:p>
        </w:tc>
        <w:tc>
          <w:tcPr>
            <w:tcW w:w="32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2003</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2004</w:t>
            </w:r>
          </w:p>
        </w:tc>
      </w:tr>
      <w:tr w:rsidR="00C76823" w:rsidRPr="00C76823" w:rsidTr="00C76823">
        <w:tc>
          <w:tcPr>
            <w:tcW w:w="0" w:type="auto"/>
            <w:vMerge/>
            <w:tcBorders>
              <w:top w:val="single" w:sz="8" w:space="0" w:color="auto"/>
              <w:left w:val="single" w:sz="8" w:space="0" w:color="auto"/>
              <w:bottom w:val="single" w:sz="8" w:space="0" w:color="auto"/>
              <w:right w:val="single" w:sz="8" w:space="0" w:color="auto"/>
            </w:tcBorders>
            <w:vAlign w:val="center"/>
            <w:hideMark/>
          </w:tcPr>
          <w:p w:rsidR="00C76823" w:rsidRPr="00C76823" w:rsidRDefault="00C76823">
            <w:pPr>
              <w:rPr>
                <w:rFonts w:eastAsia="Calibri"/>
                <w:sz w:val="22"/>
                <w:szCs w:val="22"/>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Subsidies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Aantal deelgenomen sportclubs</w:t>
            </w:r>
          </w:p>
        </w:tc>
        <w:tc>
          <w:tcPr>
            <w:tcW w:w="1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Subsidies</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Aantal deelgenomen sportclubs</w:t>
            </w:r>
          </w:p>
        </w:tc>
      </w:tr>
      <w:tr w:rsidR="00C76823" w:rsidRPr="00C76823" w:rsidTr="00C76823">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rPr>
                <w:rFonts w:eastAsia="Calibri"/>
                <w:sz w:val="22"/>
                <w:szCs w:val="22"/>
              </w:rPr>
            </w:pPr>
            <w:r w:rsidRPr="00C76823">
              <w:rPr>
                <w:sz w:val="22"/>
                <w:szCs w:val="22"/>
              </w:rPr>
              <w:t>Vlaamse Rugby Bond vzw</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right"/>
              <w:rPr>
                <w:rFonts w:eastAsia="Calibri"/>
                <w:sz w:val="22"/>
                <w:szCs w:val="22"/>
              </w:rPr>
            </w:pPr>
            <w:r w:rsidRPr="00C76823">
              <w:rPr>
                <w:sz w:val="22"/>
                <w:szCs w:val="22"/>
              </w:rPr>
              <w:t>3.377,00 euro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3</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right"/>
              <w:rPr>
                <w:rFonts w:eastAsia="Calibri"/>
                <w:sz w:val="22"/>
                <w:szCs w:val="22"/>
              </w:rPr>
            </w:pPr>
            <w:r w:rsidRPr="00C76823">
              <w:rPr>
                <w:sz w:val="22"/>
                <w:szCs w:val="22"/>
              </w:rPr>
              <w:t>2.831,66 euro</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20</w:t>
            </w:r>
          </w:p>
        </w:tc>
      </w:tr>
      <w:tr w:rsidR="00C76823" w:rsidRPr="00C76823" w:rsidTr="00C76823">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rPr>
                <w:rFonts w:eastAsia="Calibri"/>
                <w:sz w:val="22"/>
                <w:szCs w:val="22"/>
              </w:rPr>
            </w:pPr>
            <w:r w:rsidRPr="00C76823">
              <w:rPr>
                <w:sz w:val="22"/>
                <w:szCs w:val="22"/>
              </w:rPr>
              <w:t>S-Sport Federatie vzw</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right"/>
              <w:rPr>
                <w:rFonts w:eastAsia="Calibri"/>
                <w:sz w:val="22"/>
                <w:szCs w:val="22"/>
              </w:rPr>
            </w:pPr>
            <w:r w:rsidRPr="00C76823">
              <w:rPr>
                <w:sz w:val="22"/>
                <w:szCs w:val="22"/>
              </w:rPr>
              <w:t>5.871,06 euro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right"/>
              <w:rPr>
                <w:rFonts w:eastAsia="Calibri"/>
                <w:sz w:val="22"/>
                <w:szCs w:val="22"/>
              </w:rPr>
            </w:pPr>
            <w:r w:rsidRPr="00C76823">
              <w:rPr>
                <w:sz w:val="22"/>
                <w:szCs w:val="22"/>
              </w:rPr>
              <w:t>7.400,00 euro</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C76823" w:rsidRPr="00C76823" w:rsidRDefault="00C76823">
            <w:pPr>
              <w:overflowPunct w:val="0"/>
              <w:autoSpaceDE w:val="0"/>
              <w:autoSpaceDN w:val="0"/>
              <w:adjustRightInd w:val="0"/>
              <w:jc w:val="center"/>
              <w:rPr>
                <w:rFonts w:eastAsia="Calibri"/>
                <w:sz w:val="22"/>
                <w:szCs w:val="22"/>
              </w:rPr>
            </w:pPr>
            <w:r w:rsidRPr="00C76823">
              <w:rPr>
                <w:sz w:val="22"/>
                <w:szCs w:val="22"/>
              </w:rPr>
              <w:t>11</w:t>
            </w:r>
          </w:p>
        </w:tc>
      </w:tr>
    </w:tbl>
    <w:p w:rsidR="00C76823" w:rsidRPr="00C76823" w:rsidRDefault="00C76823" w:rsidP="00C76823">
      <w:pPr>
        <w:ind w:left="360"/>
        <w:rPr>
          <w:rFonts w:eastAsia="Calibri"/>
          <w:sz w:val="22"/>
          <w:szCs w:val="22"/>
        </w:rPr>
      </w:pPr>
    </w:p>
    <w:p w:rsidR="00C76823" w:rsidRPr="00C76823" w:rsidRDefault="00C76823" w:rsidP="00C76823">
      <w:pPr>
        <w:ind w:left="360" w:firstLine="348"/>
        <w:rPr>
          <w:sz w:val="22"/>
          <w:szCs w:val="22"/>
        </w:rPr>
      </w:pPr>
      <w:r w:rsidRPr="00C76823">
        <w:rPr>
          <w:sz w:val="22"/>
          <w:szCs w:val="22"/>
        </w:rPr>
        <w:t>De monitoring van het aantal allochtone deelnemers werd als volgt toegepast:</w:t>
      </w:r>
    </w:p>
    <w:p w:rsidR="00C76823" w:rsidRPr="00C76823" w:rsidRDefault="00C76823" w:rsidP="00C76823">
      <w:pPr>
        <w:pStyle w:val="Lijstalinea"/>
        <w:numPr>
          <w:ilvl w:val="0"/>
          <w:numId w:val="4"/>
        </w:numPr>
        <w:overflowPunct/>
        <w:autoSpaceDE/>
        <w:adjustRightInd/>
        <w:ind w:left="1080"/>
        <w:rPr>
          <w:sz w:val="22"/>
          <w:szCs w:val="22"/>
        </w:rPr>
      </w:pPr>
      <w:r w:rsidRPr="00C76823">
        <w:rPr>
          <w:sz w:val="22"/>
          <w:szCs w:val="22"/>
        </w:rPr>
        <w:t>Vlaamse Rugby Bond vzw:</w:t>
      </w:r>
    </w:p>
    <w:p w:rsidR="00C76823" w:rsidRPr="00C76823" w:rsidRDefault="00C76823" w:rsidP="00C76823">
      <w:pPr>
        <w:pStyle w:val="Lijstalinea"/>
        <w:numPr>
          <w:ilvl w:val="1"/>
          <w:numId w:val="4"/>
        </w:numPr>
        <w:overflowPunct/>
        <w:autoSpaceDE/>
        <w:adjustRightInd/>
        <w:ind w:left="1800"/>
        <w:rPr>
          <w:sz w:val="22"/>
          <w:szCs w:val="22"/>
        </w:rPr>
      </w:pPr>
      <w:r w:rsidRPr="00C76823">
        <w:rPr>
          <w:sz w:val="22"/>
          <w:szCs w:val="22"/>
        </w:rPr>
        <w:t>via rugbytornooien en initiaties in scholen met meer dan 30% allochtonen wenste de federatie allochtone jongeren te laten doorstromen naar de clubs</w:t>
      </w:r>
    </w:p>
    <w:p w:rsidR="00C76823" w:rsidRPr="00C76823" w:rsidRDefault="00C76823" w:rsidP="00C76823">
      <w:pPr>
        <w:pStyle w:val="Lijstalinea"/>
        <w:numPr>
          <w:ilvl w:val="1"/>
          <w:numId w:val="4"/>
        </w:numPr>
        <w:overflowPunct/>
        <w:autoSpaceDE/>
        <w:adjustRightInd/>
        <w:ind w:left="1800"/>
        <w:rPr>
          <w:sz w:val="22"/>
          <w:szCs w:val="22"/>
        </w:rPr>
      </w:pPr>
      <w:r w:rsidRPr="00C76823">
        <w:rPr>
          <w:sz w:val="22"/>
          <w:szCs w:val="22"/>
        </w:rPr>
        <w:t>indicator was het aantal allochtone/autochtone deelnemers per tornooi/initiatie</w:t>
      </w:r>
    </w:p>
    <w:p w:rsidR="00C76823" w:rsidRPr="00C76823" w:rsidRDefault="00C76823" w:rsidP="00C76823">
      <w:pPr>
        <w:pStyle w:val="Lijstalinea"/>
        <w:numPr>
          <w:ilvl w:val="0"/>
          <w:numId w:val="4"/>
        </w:numPr>
        <w:overflowPunct/>
        <w:autoSpaceDE/>
        <w:adjustRightInd/>
        <w:ind w:left="1080"/>
        <w:rPr>
          <w:sz w:val="22"/>
          <w:szCs w:val="22"/>
        </w:rPr>
      </w:pPr>
      <w:r w:rsidRPr="00C76823">
        <w:rPr>
          <w:sz w:val="22"/>
          <w:szCs w:val="22"/>
        </w:rPr>
        <w:t>S-Sport Federatie vzw:</w:t>
      </w:r>
    </w:p>
    <w:p w:rsidR="00C76823" w:rsidRPr="00C76823" w:rsidRDefault="00C76823" w:rsidP="00C76823">
      <w:pPr>
        <w:pStyle w:val="Lijstalinea"/>
        <w:numPr>
          <w:ilvl w:val="1"/>
          <w:numId w:val="4"/>
        </w:numPr>
        <w:overflowPunct/>
        <w:autoSpaceDE/>
        <w:adjustRightInd/>
        <w:ind w:left="1800"/>
        <w:rPr>
          <w:sz w:val="22"/>
          <w:szCs w:val="22"/>
        </w:rPr>
      </w:pPr>
      <w:r w:rsidRPr="00C76823">
        <w:rPr>
          <w:sz w:val="22"/>
          <w:szCs w:val="22"/>
        </w:rPr>
        <w:t xml:space="preserve">Via het aanbieden van initiaties/lessenreeksen en één </w:t>
      </w:r>
      <w:proofErr w:type="spellStart"/>
      <w:r w:rsidRPr="00C76823">
        <w:rPr>
          <w:sz w:val="22"/>
          <w:szCs w:val="22"/>
        </w:rPr>
        <w:t>apotheosedag</w:t>
      </w:r>
      <w:proofErr w:type="spellEnd"/>
      <w:r w:rsidRPr="00C76823">
        <w:rPr>
          <w:sz w:val="22"/>
          <w:szCs w:val="22"/>
        </w:rPr>
        <w:t xml:space="preserve"> in elke provincie</w:t>
      </w:r>
    </w:p>
    <w:p w:rsidR="00C76823" w:rsidRPr="00C76823" w:rsidRDefault="00C76823" w:rsidP="00C76823">
      <w:pPr>
        <w:pStyle w:val="Lijstalinea"/>
        <w:numPr>
          <w:ilvl w:val="1"/>
          <w:numId w:val="4"/>
        </w:numPr>
        <w:overflowPunct/>
        <w:autoSpaceDE/>
        <w:adjustRightInd/>
        <w:ind w:left="1800"/>
        <w:rPr>
          <w:sz w:val="22"/>
          <w:szCs w:val="22"/>
        </w:rPr>
      </w:pPr>
      <w:r w:rsidRPr="00C76823">
        <w:rPr>
          <w:sz w:val="22"/>
          <w:szCs w:val="22"/>
        </w:rPr>
        <w:t>Indicator was het aantal allochtone deelnemers per activiteit</w:t>
      </w:r>
    </w:p>
    <w:p w:rsidR="00C76823" w:rsidRPr="00C76823" w:rsidRDefault="00C76823" w:rsidP="00C76823">
      <w:pPr>
        <w:pStyle w:val="StandaardSV"/>
        <w:ind w:left="360"/>
        <w:rPr>
          <w:rFonts w:ascii="Times New Roman" w:hAnsi="Times New Roman" w:cs="Times New Roman"/>
          <w:b/>
        </w:rPr>
      </w:pPr>
    </w:p>
    <w:p w:rsidR="00C76823" w:rsidRPr="00C76823" w:rsidRDefault="00C76823" w:rsidP="00C76823">
      <w:pPr>
        <w:pStyle w:val="StandaardSV"/>
        <w:rPr>
          <w:rFonts w:ascii="Times New Roman" w:hAnsi="Times New Roman" w:cs="Times New Roman"/>
          <w:b/>
        </w:rPr>
      </w:pPr>
    </w:p>
    <w:p w:rsidR="00C76823" w:rsidRPr="00C76823" w:rsidRDefault="00C76823" w:rsidP="00C76823">
      <w:pPr>
        <w:pStyle w:val="StandaardSV"/>
        <w:numPr>
          <w:ilvl w:val="0"/>
          <w:numId w:val="2"/>
        </w:numPr>
        <w:tabs>
          <w:tab w:val="num" w:pos="360"/>
        </w:tabs>
        <w:ind w:left="360"/>
        <w:rPr>
          <w:rFonts w:ascii="Times New Roman" w:hAnsi="Times New Roman" w:cs="Times New Roman"/>
          <w:b/>
        </w:rPr>
      </w:pPr>
      <w:r w:rsidRPr="00C76823">
        <w:rPr>
          <w:rFonts w:ascii="Times New Roman" w:hAnsi="Times New Roman" w:cs="Times New Roman"/>
          <w:b/>
        </w:rPr>
        <w:t>In welke mate gebeurt er monitoring van mensen van allochtone afkomst binnen de beleidsdomeinen van de minister? In welke mate houdt de minister rekening met de resultaten van deze monitoring? </w:t>
      </w:r>
    </w:p>
    <w:p w:rsidR="00C76823" w:rsidRPr="00C76823" w:rsidRDefault="00C76823" w:rsidP="00C76823">
      <w:pPr>
        <w:rPr>
          <w:sz w:val="22"/>
          <w:szCs w:val="22"/>
        </w:rPr>
      </w:pPr>
    </w:p>
    <w:p w:rsidR="00C76823" w:rsidRPr="00C76823" w:rsidRDefault="00C76823" w:rsidP="00C76823">
      <w:pPr>
        <w:pStyle w:val="StandaardSV"/>
        <w:numPr>
          <w:ilvl w:val="0"/>
          <w:numId w:val="5"/>
        </w:numPr>
        <w:jc w:val="left"/>
        <w:rPr>
          <w:rFonts w:ascii="Times New Roman" w:hAnsi="Times New Roman" w:cs="Times New Roman"/>
        </w:rPr>
      </w:pPr>
      <w:r w:rsidRPr="00C76823">
        <w:rPr>
          <w:rFonts w:ascii="Times New Roman" w:hAnsi="Times New Roman" w:cs="Times New Roman"/>
        </w:rPr>
        <w:t xml:space="preserve">Alle personeelsleden binnen het </w:t>
      </w:r>
      <w:proofErr w:type="spellStart"/>
      <w:r w:rsidRPr="00C76823">
        <w:rPr>
          <w:rFonts w:ascii="Times New Roman" w:hAnsi="Times New Roman" w:cs="Times New Roman"/>
        </w:rPr>
        <w:t>Bloso</w:t>
      </w:r>
      <w:proofErr w:type="spellEnd"/>
      <w:r w:rsidRPr="00C76823">
        <w:rPr>
          <w:rFonts w:ascii="Times New Roman" w:hAnsi="Times New Roman" w:cs="Times New Roman"/>
        </w:rPr>
        <w:t>, inclusief personeelsleden met een startbaanovereenkomst, stagiairs en jobstudenten worden bevraagd naar allochtone afkomst (zie ook antwoord op vraag 1).</w:t>
      </w:r>
    </w:p>
    <w:p w:rsidR="00C76823" w:rsidRPr="00C76823" w:rsidRDefault="00C76823" w:rsidP="00C76823">
      <w:pPr>
        <w:pStyle w:val="StandaardSV"/>
        <w:ind w:left="708"/>
        <w:jc w:val="left"/>
        <w:rPr>
          <w:rFonts w:ascii="Times New Roman" w:hAnsi="Times New Roman" w:cs="Times New Roman"/>
        </w:rPr>
      </w:pPr>
      <w:r w:rsidRPr="00C76823">
        <w:rPr>
          <w:rFonts w:ascii="Times New Roman" w:hAnsi="Times New Roman" w:cs="Times New Roman"/>
        </w:rPr>
        <w:t xml:space="preserve">De resultaten van deze monitoring hebben invloed op het gelijke kansen en diversiteitbeleid van het </w:t>
      </w:r>
      <w:proofErr w:type="spellStart"/>
      <w:r w:rsidRPr="00C76823">
        <w:rPr>
          <w:rFonts w:ascii="Times New Roman" w:hAnsi="Times New Roman" w:cs="Times New Roman"/>
        </w:rPr>
        <w:t>Bloso</w:t>
      </w:r>
      <w:proofErr w:type="spellEnd"/>
      <w:r w:rsidRPr="00C76823">
        <w:rPr>
          <w:rFonts w:ascii="Times New Roman" w:hAnsi="Times New Roman" w:cs="Times New Roman"/>
        </w:rPr>
        <w:t xml:space="preserve">, alsook op de acties die daaraan gekoppeld zijn. Jaarlijks maakt het </w:t>
      </w:r>
      <w:proofErr w:type="spellStart"/>
      <w:r w:rsidRPr="00C76823">
        <w:rPr>
          <w:rFonts w:ascii="Times New Roman" w:hAnsi="Times New Roman" w:cs="Times New Roman"/>
        </w:rPr>
        <w:t>Bloso</w:t>
      </w:r>
      <w:proofErr w:type="spellEnd"/>
      <w:r w:rsidRPr="00C76823">
        <w:rPr>
          <w:rFonts w:ascii="Times New Roman" w:hAnsi="Times New Roman" w:cs="Times New Roman"/>
        </w:rPr>
        <w:t xml:space="preserve">, op vraag van de dienst Emancipatiezaken van de Vlaamse overheid, een gelijke kansen- en diversiteitplan op,  waarin concrete acties worden opgenomen met betrekking tot instroom, doorstroom, vorming, sensibilisering,… </w:t>
      </w:r>
    </w:p>
    <w:p w:rsidR="00C76823" w:rsidRPr="00C76823" w:rsidRDefault="00C76823" w:rsidP="00C76823">
      <w:pPr>
        <w:pStyle w:val="StandaardSV"/>
        <w:ind w:left="360"/>
        <w:rPr>
          <w:rFonts w:ascii="Times New Roman" w:hAnsi="Times New Roman" w:cs="Times New Roman"/>
        </w:rPr>
      </w:pPr>
    </w:p>
    <w:p w:rsidR="00C76823" w:rsidRPr="00C76823" w:rsidRDefault="00C76823" w:rsidP="00C76823">
      <w:pPr>
        <w:pStyle w:val="StandaardSV"/>
        <w:numPr>
          <w:ilvl w:val="0"/>
          <w:numId w:val="5"/>
        </w:numPr>
        <w:rPr>
          <w:rFonts w:ascii="Times New Roman" w:hAnsi="Times New Roman" w:cs="Times New Roman"/>
        </w:rPr>
      </w:pPr>
      <w:r w:rsidRPr="00C76823">
        <w:rPr>
          <w:rFonts w:ascii="Times New Roman" w:hAnsi="Times New Roman" w:cs="Times New Roman"/>
        </w:rPr>
        <w:t>Omdat de gegevens die verzameld worden tijdens de inschrijvingsprocedure voor de cursussen van de Vlaamse Trainersschool (</w:t>
      </w:r>
      <w:proofErr w:type="spellStart"/>
      <w:r w:rsidRPr="00C76823">
        <w:rPr>
          <w:rFonts w:ascii="Times New Roman" w:hAnsi="Times New Roman" w:cs="Times New Roman"/>
        </w:rPr>
        <w:t>Bloso</w:t>
      </w:r>
      <w:proofErr w:type="spellEnd"/>
      <w:r w:rsidRPr="00C76823">
        <w:rPr>
          <w:rFonts w:ascii="Times New Roman" w:hAnsi="Times New Roman" w:cs="Times New Roman"/>
        </w:rPr>
        <w:t>) vrijblijvend zijn en hierdoor de betrouwbaarheid, op basis van steekproefsgewijze controles, niet vast staat, blijft de monitoring hier toe beperkt. Wel wordt het aanbod aan sportkaderopleidingen permanent afgestemd op  deze doelgroep.</w:t>
      </w:r>
    </w:p>
    <w:p w:rsidR="00C76823" w:rsidRPr="00C76823" w:rsidRDefault="00C76823" w:rsidP="00C76823">
      <w:pPr>
        <w:ind w:left="360"/>
        <w:rPr>
          <w:sz w:val="22"/>
          <w:szCs w:val="22"/>
        </w:rPr>
      </w:pPr>
    </w:p>
    <w:p w:rsidR="00C76823" w:rsidRPr="00C76823" w:rsidRDefault="00C76823" w:rsidP="00C76823">
      <w:pPr>
        <w:pStyle w:val="Lijstalinea"/>
        <w:numPr>
          <w:ilvl w:val="0"/>
          <w:numId w:val="5"/>
        </w:numPr>
        <w:rPr>
          <w:sz w:val="22"/>
          <w:szCs w:val="22"/>
        </w:rPr>
      </w:pPr>
      <w:r w:rsidRPr="00C76823">
        <w:rPr>
          <w:sz w:val="22"/>
          <w:szCs w:val="22"/>
        </w:rPr>
        <w:t>In het kader van het Sport voor Allen-decreet van 9 maart 2011 werd in 2010 wel een onderzoek gedaan naar de inhoudelijke opdracht ‘ ondersteuning en stimulering van de toegankelijkheid tot en de diversiteit in de sport’ door gemeenten.  Dit onderzoek werd uitgevoerd door de VUB  in het kader van de monitoringsopdracht voorzien in het decreet. Deze inhoudelijke opdracht richt zich echter naar vier doelgroepen zijnde mensen van allochtone afkomst, mensen met een beperking, financieel kansarmen en senioren. De gemeente is echter vrij te kiezen voor welke doelgroep(en) ze een sportbeleid uitstippelt.</w:t>
      </w:r>
    </w:p>
    <w:p w:rsidR="00C76823" w:rsidRPr="00C76823" w:rsidRDefault="00C76823" w:rsidP="00C76823">
      <w:pPr>
        <w:ind w:left="708"/>
        <w:rPr>
          <w:sz w:val="22"/>
          <w:szCs w:val="22"/>
        </w:rPr>
      </w:pPr>
      <w:r w:rsidRPr="00C76823">
        <w:rPr>
          <w:sz w:val="22"/>
          <w:szCs w:val="22"/>
        </w:rPr>
        <w:t>Uit dit onderzoek blijkt dat zowel inzake gegevensverzameling, betrokkenheid van de doelgroep en het formuleren van doelstellingen de doelgroep allochtonen het minst aan bod komt. Tevens werd aangegeven dat de Vlaamse overheid inzake doelgroepenbeleid een afzonderlijke inhoudelijke opdracht moet blijven formuleren wil er voldoende aandacht aan besteed worden, echter wel mits vrijheid van invulling inzake doelgroep. Met dit onderzoek werd rekening gehouden bij de opmaak van het nieuwe Sport voor Allen-decreet (zie vraag 4).</w:t>
      </w:r>
    </w:p>
    <w:p w:rsidR="00C76823" w:rsidRPr="00C76823" w:rsidRDefault="00C76823" w:rsidP="00C76823">
      <w:pPr>
        <w:rPr>
          <w:sz w:val="22"/>
          <w:szCs w:val="22"/>
        </w:rPr>
      </w:pPr>
    </w:p>
    <w:p w:rsidR="00C76823" w:rsidRPr="00C76823" w:rsidRDefault="00C76823" w:rsidP="00C76823">
      <w:pPr>
        <w:rPr>
          <w:sz w:val="22"/>
          <w:szCs w:val="22"/>
        </w:rPr>
      </w:pPr>
    </w:p>
    <w:p w:rsidR="00C76823" w:rsidRPr="00C76823" w:rsidRDefault="00C76823" w:rsidP="00C76823">
      <w:pPr>
        <w:pStyle w:val="StandaardSV"/>
        <w:numPr>
          <w:ilvl w:val="0"/>
          <w:numId w:val="2"/>
        </w:numPr>
        <w:tabs>
          <w:tab w:val="num" w:pos="360"/>
        </w:tabs>
        <w:ind w:left="360"/>
        <w:rPr>
          <w:rFonts w:ascii="Times New Roman" w:hAnsi="Times New Roman" w:cs="Times New Roman"/>
          <w:b/>
        </w:rPr>
      </w:pPr>
      <w:r w:rsidRPr="00C76823">
        <w:rPr>
          <w:rFonts w:ascii="Times New Roman" w:hAnsi="Times New Roman" w:cs="Times New Roman"/>
          <w:b/>
        </w:rPr>
        <w:t>Indien er geen monitoring is, op welke basis motiveert en onderbouwt de minister zijn/haar beleid ten aanzien van mensen van allochtone afkomst? Zal de minister in de toekomst dergelijke monitoring opzetten en op basis van welke definitie zal hij/zij dat doen?  </w:t>
      </w:r>
    </w:p>
    <w:p w:rsidR="00C76823" w:rsidRPr="00C76823" w:rsidRDefault="00C76823" w:rsidP="00C76823">
      <w:pPr>
        <w:rPr>
          <w:b/>
          <w:sz w:val="22"/>
          <w:szCs w:val="22"/>
        </w:rPr>
      </w:pPr>
    </w:p>
    <w:p w:rsidR="00C76823" w:rsidRPr="00C76823" w:rsidRDefault="00C76823" w:rsidP="00C76823">
      <w:pPr>
        <w:pStyle w:val="Lijstalinea"/>
        <w:rPr>
          <w:b/>
          <w:sz w:val="22"/>
          <w:szCs w:val="22"/>
        </w:rPr>
      </w:pPr>
    </w:p>
    <w:p w:rsidR="00C76823" w:rsidRPr="00C76823" w:rsidRDefault="00C76823" w:rsidP="00C76823">
      <w:pPr>
        <w:pStyle w:val="StandaardSV"/>
        <w:numPr>
          <w:ilvl w:val="0"/>
          <w:numId w:val="2"/>
        </w:numPr>
        <w:tabs>
          <w:tab w:val="num" w:pos="360"/>
        </w:tabs>
        <w:ind w:left="360"/>
        <w:rPr>
          <w:rFonts w:ascii="Times New Roman" w:hAnsi="Times New Roman" w:cs="Times New Roman"/>
          <w:b/>
        </w:rPr>
      </w:pPr>
      <w:r w:rsidRPr="00C76823">
        <w:rPr>
          <w:rFonts w:ascii="Times New Roman" w:hAnsi="Times New Roman" w:cs="Times New Roman"/>
          <w:b/>
        </w:rPr>
        <w:t xml:space="preserve">In welke mate houdt de minister al dan niet rekening met het gegeven “allochtone afkomst” binnen zijn/haar beleid? </w:t>
      </w:r>
    </w:p>
    <w:p w:rsidR="00C76823" w:rsidRPr="00C76823" w:rsidRDefault="00C76823" w:rsidP="00C76823">
      <w:pPr>
        <w:pStyle w:val="StandaardSV"/>
        <w:ind w:left="360"/>
        <w:rPr>
          <w:rFonts w:ascii="Times New Roman" w:hAnsi="Times New Roman" w:cs="Times New Roman"/>
          <w:b/>
        </w:rPr>
      </w:pPr>
    </w:p>
    <w:p w:rsidR="00C76823" w:rsidRPr="00C76823" w:rsidRDefault="00C76823" w:rsidP="00C76823">
      <w:pPr>
        <w:pStyle w:val="StandaardSV"/>
        <w:numPr>
          <w:ilvl w:val="0"/>
          <w:numId w:val="6"/>
        </w:numPr>
        <w:rPr>
          <w:rFonts w:ascii="Times New Roman" w:hAnsi="Times New Roman" w:cs="Times New Roman"/>
        </w:rPr>
      </w:pPr>
      <w:proofErr w:type="spellStart"/>
      <w:r w:rsidRPr="00C76823">
        <w:rPr>
          <w:rFonts w:ascii="Times New Roman" w:hAnsi="Times New Roman" w:cs="Times New Roman"/>
        </w:rPr>
        <w:t>Bloso</w:t>
      </w:r>
      <w:proofErr w:type="spellEnd"/>
      <w:r w:rsidRPr="00C76823">
        <w:rPr>
          <w:rFonts w:ascii="Times New Roman" w:hAnsi="Times New Roman" w:cs="Times New Roman"/>
        </w:rPr>
        <w:t xml:space="preserve"> houdt binnen haar personeelsbeleid zoals vermeld in vraag 1 en 2 rekening met het diversiteitbeleid van de Vlaamse regering en registreert de tewerkstelling van mensen van allochtone afkomst.</w:t>
      </w:r>
    </w:p>
    <w:p w:rsidR="00C76823" w:rsidRPr="00C76823" w:rsidRDefault="00C76823" w:rsidP="00C76823">
      <w:pPr>
        <w:pStyle w:val="StandaardSV"/>
        <w:ind w:left="720"/>
        <w:rPr>
          <w:rFonts w:ascii="Times New Roman" w:hAnsi="Times New Roman" w:cs="Times New Roman"/>
        </w:rPr>
      </w:pPr>
    </w:p>
    <w:p w:rsidR="00C76823" w:rsidRPr="00C76823" w:rsidRDefault="00C76823" w:rsidP="00C76823">
      <w:pPr>
        <w:pStyle w:val="StandaardSV"/>
        <w:numPr>
          <w:ilvl w:val="0"/>
          <w:numId w:val="6"/>
        </w:numPr>
        <w:rPr>
          <w:rFonts w:ascii="Times New Roman" w:hAnsi="Times New Roman" w:cs="Times New Roman"/>
        </w:rPr>
      </w:pPr>
      <w:r w:rsidRPr="00C76823">
        <w:rPr>
          <w:rFonts w:ascii="Times New Roman" w:hAnsi="Times New Roman" w:cs="Times New Roman"/>
        </w:rPr>
        <w:t>Het aanbod aan sportkaderopleidingen van de Vlaamse Trainersschool (</w:t>
      </w:r>
      <w:proofErr w:type="spellStart"/>
      <w:r w:rsidRPr="00C76823">
        <w:rPr>
          <w:rFonts w:ascii="Times New Roman" w:hAnsi="Times New Roman" w:cs="Times New Roman"/>
        </w:rPr>
        <w:t>Bloso</w:t>
      </w:r>
      <w:proofErr w:type="spellEnd"/>
      <w:r w:rsidRPr="00C76823">
        <w:rPr>
          <w:rFonts w:ascii="Times New Roman" w:hAnsi="Times New Roman" w:cs="Times New Roman"/>
        </w:rPr>
        <w:t>) wordt permanent afgestemd op deze doelgroep. Nochtans dient deze doelgroep dezelfde eindcompetenties te bereiken als de reguliere cursisten en gebeurt de afstemming vooral door specifieke promotie, aangepaste organisatievormen of studiebegeleiding.</w:t>
      </w:r>
    </w:p>
    <w:p w:rsidR="00C76823" w:rsidRPr="00C76823" w:rsidRDefault="00C76823" w:rsidP="00C76823">
      <w:pPr>
        <w:pStyle w:val="StandaardSV"/>
        <w:ind w:left="708"/>
        <w:rPr>
          <w:rFonts w:ascii="Times New Roman" w:hAnsi="Times New Roman" w:cs="Times New Roman"/>
        </w:rPr>
      </w:pPr>
      <w:r w:rsidRPr="00C76823">
        <w:rPr>
          <w:rFonts w:ascii="Times New Roman" w:hAnsi="Times New Roman" w:cs="Times New Roman"/>
        </w:rPr>
        <w:t xml:space="preserve">In  2011 boog een werkgroep van 11 experten uit zowel de sportsector als de integratiesector zich over de participatie van etnisch-culturele minderheden aan sport. Gedurende zes maanden werd op basis van zes thema’s nagedacht welke acties zouden kunnen ondernomen worden om de sport te versterken in het omgaan met etnisch-culturele diversiteit. De voorstellen uit deze werkgroep kregen hun neerslag in een </w:t>
      </w:r>
      <w:proofErr w:type="spellStart"/>
      <w:r w:rsidRPr="00C76823">
        <w:rPr>
          <w:rFonts w:ascii="Times New Roman" w:hAnsi="Times New Roman" w:cs="Times New Roman"/>
        </w:rPr>
        <w:t>expertennota</w:t>
      </w:r>
      <w:proofErr w:type="spellEnd"/>
      <w:r w:rsidRPr="00C76823">
        <w:rPr>
          <w:rFonts w:ascii="Times New Roman" w:hAnsi="Times New Roman" w:cs="Times New Roman"/>
        </w:rPr>
        <w:t xml:space="preserve"> sport en </w:t>
      </w:r>
      <w:proofErr w:type="spellStart"/>
      <w:r w:rsidRPr="00C76823">
        <w:rPr>
          <w:rFonts w:ascii="Times New Roman" w:hAnsi="Times New Roman" w:cs="Times New Roman"/>
        </w:rPr>
        <w:t>interculturaliteit</w:t>
      </w:r>
      <w:proofErr w:type="spellEnd"/>
      <w:r w:rsidRPr="00C76823">
        <w:rPr>
          <w:rFonts w:ascii="Times New Roman" w:hAnsi="Times New Roman" w:cs="Times New Roman"/>
        </w:rPr>
        <w:t>.</w:t>
      </w:r>
    </w:p>
    <w:p w:rsidR="00C76823" w:rsidRPr="00C76823" w:rsidRDefault="00C76823" w:rsidP="00C76823">
      <w:pPr>
        <w:pStyle w:val="StandaardSV"/>
        <w:ind w:left="708"/>
        <w:rPr>
          <w:rFonts w:ascii="Times New Roman" w:hAnsi="Times New Roman" w:cs="Times New Roman"/>
        </w:rPr>
      </w:pPr>
    </w:p>
    <w:p w:rsidR="00C76823" w:rsidRPr="00C76823" w:rsidRDefault="00C76823" w:rsidP="00C76823">
      <w:pPr>
        <w:pStyle w:val="StandaardSV"/>
        <w:numPr>
          <w:ilvl w:val="0"/>
          <w:numId w:val="6"/>
        </w:numPr>
        <w:rPr>
          <w:rFonts w:ascii="Times New Roman" w:hAnsi="Times New Roman" w:cs="Times New Roman"/>
        </w:rPr>
      </w:pPr>
      <w:r w:rsidRPr="00C76823">
        <w:rPr>
          <w:rFonts w:ascii="Times New Roman" w:hAnsi="Times New Roman" w:cs="Times New Roman"/>
        </w:rPr>
        <w:t>In het Sport voor Allen decreet van 9 maart 2007 worden de gemeenten verplicht een beleid uit te stippelen inzake de ondersteuning en stimulering van de toegankelijkheid tot en de diversiteit in de sport. Deze inhoudelijke opdracht mag door de gemeente ingevuld worden met een sportbeleid in functie van vier mogelijke doelgroepen waarvan mensen met allochtone afkomst er één van is.</w:t>
      </w:r>
    </w:p>
    <w:p w:rsidR="00C76823" w:rsidRPr="00C76823" w:rsidRDefault="00C76823" w:rsidP="00C76823">
      <w:pPr>
        <w:pStyle w:val="StandaardSV"/>
        <w:ind w:left="708"/>
        <w:rPr>
          <w:rFonts w:ascii="Times New Roman" w:hAnsi="Times New Roman" w:cs="Times New Roman"/>
        </w:rPr>
      </w:pPr>
      <w:r w:rsidRPr="00C76823">
        <w:rPr>
          <w:rFonts w:ascii="Times New Roman" w:hAnsi="Times New Roman" w:cs="Times New Roman"/>
        </w:rPr>
        <w:t>Naar aanleiding van het planlastendecreet wordt op dit moment het Sport voor Allen-decreet aangepast. Bedoeling is om in dit decreet ook een beleidsprioriteit op te nemen welke gericht is op het stimuleren van gemeenten tot het ontwikkelen van een lokaal beweeg- en sportbeleid dat groepen van mensen, die omwille van hun zwakke sociale situatie onvoldoende kans hebben om te participeren aan sport, aanzet tot bewegen en sporten. Binnen deze beleidsprioriteit is het dus mogelijk dat gemeenten een sportbeleid ontwikkelen in functie van mensen van allochtone afkomst die zich in dergelijke situatie bevinden.</w:t>
      </w:r>
    </w:p>
    <w:p w:rsidR="008E5231" w:rsidRPr="00C76823" w:rsidRDefault="008E5231" w:rsidP="008E5231">
      <w:pPr>
        <w:pStyle w:val="StandaardSV"/>
        <w:rPr>
          <w:rFonts w:ascii="Times New Roman" w:hAnsi="Times New Roman" w:cs="Times New Roman"/>
          <w:i/>
        </w:rPr>
      </w:pPr>
    </w:p>
    <w:sectPr w:rsidR="008E5231" w:rsidRPr="00C7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35B0"/>
    <w:multiLevelType w:val="hybridMultilevel"/>
    <w:tmpl w:val="C9FEC36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404F55C4"/>
    <w:multiLevelType w:val="hybridMultilevel"/>
    <w:tmpl w:val="00447272"/>
    <w:lvl w:ilvl="0" w:tplc="D95C44F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487D16B7"/>
    <w:multiLevelType w:val="hybridMultilevel"/>
    <w:tmpl w:val="4B94D2A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55AF56F1"/>
    <w:multiLevelType w:val="hybridMultilevel"/>
    <w:tmpl w:val="366AEC7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65A232E3"/>
    <w:multiLevelType w:val="hybridMultilevel"/>
    <w:tmpl w:val="6C8E04E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79D824D8"/>
    <w:multiLevelType w:val="hybridMultilevel"/>
    <w:tmpl w:val="5686A3C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31"/>
    <w:rsid w:val="00051C13"/>
    <w:rsid w:val="008E5231"/>
    <w:rsid w:val="00933EF4"/>
    <w:rsid w:val="00A34053"/>
    <w:rsid w:val="00C76823"/>
    <w:rsid w:val="00EC7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23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E5231"/>
    <w:pPr>
      <w:jc w:val="both"/>
    </w:pPr>
    <w:rPr>
      <w:b/>
      <w:smallCaps/>
      <w:sz w:val="22"/>
    </w:rPr>
  </w:style>
  <w:style w:type="character" w:customStyle="1" w:styleId="StandaardSVChar">
    <w:name w:val="Standaard SV Char"/>
    <w:basedOn w:val="Standaardalinea-lettertype"/>
    <w:link w:val="StandaardSV"/>
    <w:locked/>
    <w:rsid w:val="008E5231"/>
    <w:rPr>
      <w:lang w:val="nl-NL" w:eastAsia="nl-NL"/>
    </w:rPr>
  </w:style>
  <w:style w:type="paragraph" w:customStyle="1" w:styleId="StandaardSV">
    <w:name w:val="Standaard SV"/>
    <w:basedOn w:val="Standaard"/>
    <w:link w:val="StandaardSVChar"/>
    <w:rsid w:val="008E5231"/>
    <w:pPr>
      <w:jc w:val="both"/>
    </w:pPr>
    <w:rPr>
      <w:rFonts w:asciiTheme="minorHAnsi" w:eastAsiaTheme="minorHAnsi" w:hAnsiTheme="minorHAnsi" w:cstheme="minorBidi"/>
      <w:sz w:val="22"/>
      <w:szCs w:val="22"/>
    </w:rPr>
  </w:style>
  <w:style w:type="paragraph" w:styleId="Lijstalinea">
    <w:name w:val="List Paragraph"/>
    <w:basedOn w:val="Standaard"/>
    <w:uiPriority w:val="34"/>
    <w:qFormat/>
    <w:rsid w:val="00C76823"/>
    <w:pPr>
      <w:overflowPunct w:val="0"/>
      <w:autoSpaceDE w:val="0"/>
      <w:autoSpaceDN w:val="0"/>
      <w:adjustRightInd w:val="0"/>
      <w:ind w:left="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231"/>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E5231"/>
    <w:pPr>
      <w:jc w:val="both"/>
    </w:pPr>
    <w:rPr>
      <w:b/>
      <w:smallCaps/>
      <w:sz w:val="22"/>
    </w:rPr>
  </w:style>
  <w:style w:type="character" w:customStyle="1" w:styleId="StandaardSVChar">
    <w:name w:val="Standaard SV Char"/>
    <w:basedOn w:val="Standaardalinea-lettertype"/>
    <w:link w:val="StandaardSV"/>
    <w:locked/>
    <w:rsid w:val="008E5231"/>
    <w:rPr>
      <w:lang w:val="nl-NL" w:eastAsia="nl-NL"/>
    </w:rPr>
  </w:style>
  <w:style w:type="paragraph" w:customStyle="1" w:styleId="StandaardSV">
    <w:name w:val="Standaard SV"/>
    <w:basedOn w:val="Standaard"/>
    <w:link w:val="StandaardSVChar"/>
    <w:rsid w:val="008E5231"/>
    <w:pPr>
      <w:jc w:val="both"/>
    </w:pPr>
    <w:rPr>
      <w:rFonts w:asciiTheme="minorHAnsi" w:eastAsiaTheme="minorHAnsi" w:hAnsiTheme="minorHAnsi" w:cstheme="minorBidi"/>
      <w:sz w:val="22"/>
      <w:szCs w:val="22"/>
    </w:rPr>
  </w:style>
  <w:style w:type="paragraph" w:styleId="Lijstalinea">
    <w:name w:val="List Paragraph"/>
    <w:basedOn w:val="Standaard"/>
    <w:uiPriority w:val="34"/>
    <w:qFormat/>
    <w:rsid w:val="00C76823"/>
    <w:pPr>
      <w:overflowPunct w:val="0"/>
      <w:autoSpaceDE w:val="0"/>
      <w:autoSpaceDN w:val="0"/>
      <w:adjustRightInd w:val="0"/>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7013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lambresi</dc:creator>
  <cp:lastModifiedBy>Woumans, Kelly</cp:lastModifiedBy>
  <cp:revision>2</cp:revision>
  <dcterms:created xsi:type="dcterms:W3CDTF">2011-11-17T16:59:00Z</dcterms:created>
  <dcterms:modified xsi:type="dcterms:W3CDTF">2011-11-17T16:59:00Z</dcterms:modified>
</cp:coreProperties>
</file>