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D7" w:rsidRPr="00A8473D" w:rsidRDefault="006D06D7" w:rsidP="001F508A">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6D06D7" w:rsidRPr="00A8473D" w:rsidRDefault="006D06D7" w:rsidP="001F508A">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6D06D7" w:rsidRPr="00DE405B" w:rsidRDefault="006D06D7" w:rsidP="001F508A">
      <w:pPr>
        <w:pStyle w:val="StandaardSV"/>
        <w:pBdr>
          <w:bottom w:val="single" w:sz="4" w:space="1" w:color="auto"/>
        </w:pBdr>
        <w:rPr>
          <w:lang w:val="nl-BE"/>
        </w:rPr>
      </w:pPr>
    </w:p>
    <w:p w:rsidR="006D06D7" w:rsidRDefault="006D06D7" w:rsidP="001F508A">
      <w:pPr>
        <w:jc w:val="both"/>
        <w:rPr>
          <w:sz w:val="22"/>
        </w:rPr>
      </w:pPr>
    </w:p>
    <w:p w:rsidR="006D06D7" w:rsidRDefault="006D06D7" w:rsidP="001F508A">
      <w:pPr>
        <w:jc w:val="both"/>
        <w:outlineLvl w:val="0"/>
        <w:rPr>
          <w:sz w:val="22"/>
        </w:rPr>
      </w:pPr>
      <w:r w:rsidRPr="003E5FC2">
        <w:rPr>
          <w:b/>
          <w:smallCaps/>
          <w:sz w:val="22"/>
        </w:rPr>
        <w:t>antwoord</w:t>
      </w:r>
      <w:r>
        <w:rPr>
          <w:sz w:val="22"/>
        </w:rPr>
        <w:t xml:space="preserve"> </w:t>
      </w:r>
    </w:p>
    <w:p w:rsidR="006D06D7" w:rsidRDefault="006D06D7" w:rsidP="003E5FC2">
      <w:pPr>
        <w:jc w:val="both"/>
        <w:outlineLvl w:val="0"/>
        <w:rPr>
          <w:sz w:val="22"/>
        </w:rPr>
      </w:pPr>
      <w:r>
        <w:rPr>
          <w:sz w:val="22"/>
        </w:rPr>
        <w:t>op vraag nr. 451 van 15 september 2011</w:t>
      </w:r>
    </w:p>
    <w:p w:rsidR="006D06D7" w:rsidRDefault="006D06D7" w:rsidP="001F508A">
      <w:pPr>
        <w:jc w:val="both"/>
        <w:rPr>
          <w:b/>
          <w:sz w:val="22"/>
        </w:rPr>
      </w:pPr>
      <w:r>
        <w:rPr>
          <w:sz w:val="22"/>
        </w:rPr>
        <w:t xml:space="preserve">van </w:t>
      </w:r>
      <w:r>
        <w:rPr>
          <w:b/>
          <w:smallCaps/>
          <w:sz w:val="22"/>
        </w:rPr>
        <w:t>els robeyns</w:t>
      </w:r>
    </w:p>
    <w:p w:rsidR="006D06D7" w:rsidRDefault="006D06D7" w:rsidP="001F508A">
      <w:pPr>
        <w:pBdr>
          <w:bottom w:val="single" w:sz="4" w:space="1" w:color="auto"/>
        </w:pBdr>
        <w:jc w:val="both"/>
        <w:rPr>
          <w:sz w:val="22"/>
        </w:rPr>
      </w:pPr>
    </w:p>
    <w:p w:rsidR="006D06D7" w:rsidRDefault="006D06D7" w:rsidP="001F508A">
      <w:pPr>
        <w:pStyle w:val="StandaardSV"/>
      </w:pPr>
    </w:p>
    <w:p w:rsidR="006D06D7" w:rsidRDefault="006D06D7" w:rsidP="001F508A">
      <w:pPr>
        <w:pStyle w:val="StandaardSV"/>
        <w:rPr>
          <w:color w:val="000000"/>
          <w:szCs w:val="22"/>
        </w:rPr>
      </w:pPr>
    </w:p>
    <w:p w:rsidR="006D06D7" w:rsidRDefault="006D06D7" w:rsidP="002424A9">
      <w:pPr>
        <w:pStyle w:val="StandaardSV"/>
        <w:numPr>
          <w:ilvl w:val="0"/>
          <w:numId w:val="31"/>
        </w:numPr>
        <w:rPr>
          <w:szCs w:val="22"/>
        </w:rPr>
      </w:pPr>
      <w:r>
        <w:rPr>
          <w:szCs w:val="22"/>
        </w:rPr>
        <w:t xml:space="preserve">In een onderzoek van de Universiteit Gent (afdeling Mobiliteit en Ruimtelijke Planning) van 2007 werd het aantal bestaande volkstuinparken (en volkstuinen) geïnventariseerd in Vlaanderen en het Brussels Hoofdstedelijk Gewest. </w:t>
      </w:r>
    </w:p>
    <w:p w:rsidR="006D06D7" w:rsidRDefault="006D06D7" w:rsidP="002424A9">
      <w:pPr>
        <w:pStyle w:val="StandaardSV"/>
        <w:rPr>
          <w:szCs w:val="22"/>
        </w:rPr>
      </w:pPr>
    </w:p>
    <w:p w:rsidR="006D06D7" w:rsidRPr="002424A9" w:rsidRDefault="006D06D7" w:rsidP="002424A9">
      <w:pPr>
        <w:autoSpaceDE w:val="0"/>
        <w:autoSpaceDN w:val="0"/>
        <w:adjustRightInd w:val="0"/>
        <w:ind w:left="360"/>
        <w:jc w:val="both"/>
        <w:rPr>
          <w:sz w:val="22"/>
          <w:szCs w:val="22"/>
          <w:lang w:val="nl-BE" w:eastAsia="nl-BE"/>
        </w:rPr>
      </w:pPr>
      <w:r w:rsidRPr="002424A9">
        <w:rPr>
          <w:sz w:val="22"/>
          <w:szCs w:val="22"/>
          <w:lang w:val="nl-BE" w:eastAsia="nl-BE"/>
        </w:rPr>
        <w:t>Vlaanderen en het Brussels Hoofdstedelijk Gewest samen tellen ongeveer 4600 volkstuinen, ve</w:t>
      </w:r>
      <w:r w:rsidRPr="002424A9">
        <w:rPr>
          <w:sz w:val="22"/>
          <w:szCs w:val="22"/>
          <w:lang w:val="nl-BE" w:eastAsia="nl-BE"/>
        </w:rPr>
        <w:t>r</w:t>
      </w:r>
      <w:r w:rsidRPr="002424A9">
        <w:rPr>
          <w:sz w:val="22"/>
          <w:szCs w:val="22"/>
          <w:lang w:val="nl-BE" w:eastAsia="nl-BE"/>
        </w:rPr>
        <w:t>deeld over 114 volkstuinparken met een totale oppervlakte van 137 ha. De helft van alle volkstu</w:t>
      </w:r>
      <w:r w:rsidRPr="002424A9">
        <w:rPr>
          <w:sz w:val="22"/>
          <w:szCs w:val="22"/>
          <w:lang w:val="nl-BE" w:eastAsia="nl-BE"/>
        </w:rPr>
        <w:t>i</w:t>
      </w:r>
      <w:r w:rsidRPr="002424A9">
        <w:rPr>
          <w:sz w:val="22"/>
          <w:szCs w:val="22"/>
          <w:lang w:val="nl-BE" w:eastAsia="nl-BE"/>
        </w:rPr>
        <w:t>nen zijn gelegen in de provincie Antwerpen, waarvan het overgrote deel in het grootstedelijke g</w:t>
      </w:r>
      <w:r w:rsidRPr="002424A9">
        <w:rPr>
          <w:sz w:val="22"/>
          <w:szCs w:val="22"/>
          <w:lang w:val="nl-BE" w:eastAsia="nl-BE"/>
        </w:rPr>
        <w:t>e</w:t>
      </w:r>
      <w:r w:rsidRPr="002424A9">
        <w:rPr>
          <w:sz w:val="22"/>
          <w:szCs w:val="22"/>
          <w:lang w:val="nl-BE" w:eastAsia="nl-BE"/>
        </w:rPr>
        <w:t>bied Antwerpen.</w:t>
      </w:r>
    </w:p>
    <w:p w:rsidR="006D06D7" w:rsidRPr="002424A9" w:rsidRDefault="006D06D7" w:rsidP="002424A9">
      <w:pPr>
        <w:autoSpaceDE w:val="0"/>
        <w:autoSpaceDN w:val="0"/>
        <w:adjustRightInd w:val="0"/>
        <w:ind w:left="360"/>
        <w:jc w:val="both"/>
        <w:rPr>
          <w:i/>
          <w:iCs/>
          <w:sz w:val="22"/>
          <w:szCs w:val="22"/>
          <w:lang w:val="nl-BE" w:eastAsia="nl-BE"/>
        </w:rPr>
      </w:pPr>
    </w:p>
    <w:tbl>
      <w:tblPr>
        <w:tblW w:w="85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7"/>
        <w:gridCol w:w="1559"/>
        <w:gridCol w:w="1418"/>
        <w:gridCol w:w="1842"/>
        <w:gridCol w:w="851"/>
      </w:tblGrid>
      <w:tr w:rsidR="006D06D7" w:rsidRPr="002424A9" w:rsidTr="00A1167D">
        <w:tc>
          <w:tcPr>
            <w:tcW w:w="2867" w:type="dxa"/>
          </w:tcPr>
          <w:p w:rsidR="006D06D7" w:rsidRPr="00A1167D" w:rsidRDefault="006D06D7" w:rsidP="00A1167D">
            <w:pPr>
              <w:autoSpaceDE w:val="0"/>
              <w:autoSpaceDN w:val="0"/>
              <w:adjustRightInd w:val="0"/>
              <w:jc w:val="both"/>
              <w:rPr>
                <w:i/>
                <w:iCs/>
                <w:sz w:val="22"/>
                <w:szCs w:val="22"/>
                <w:lang w:val="nl-BE" w:eastAsia="nl-BE"/>
              </w:rPr>
            </w:pPr>
          </w:p>
        </w:tc>
        <w:tc>
          <w:tcPr>
            <w:tcW w:w="1559"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Aantal parken</w:t>
            </w:r>
          </w:p>
        </w:tc>
        <w:tc>
          <w:tcPr>
            <w:tcW w:w="1418"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Aantal tuinen</w:t>
            </w:r>
          </w:p>
        </w:tc>
        <w:tc>
          <w:tcPr>
            <w:tcW w:w="1842"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Bruto opp. (ha)</w:t>
            </w:r>
          </w:p>
        </w:tc>
        <w:tc>
          <w:tcPr>
            <w:tcW w:w="851"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w:t>
            </w:r>
          </w:p>
        </w:tc>
      </w:tr>
      <w:tr w:rsidR="006D06D7" w:rsidRPr="002424A9" w:rsidTr="00A1167D">
        <w:tc>
          <w:tcPr>
            <w:tcW w:w="2867"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Provincie Antwerpen</w:t>
            </w:r>
          </w:p>
        </w:tc>
        <w:tc>
          <w:tcPr>
            <w:tcW w:w="1559"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48</w:t>
            </w:r>
          </w:p>
        </w:tc>
        <w:tc>
          <w:tcPr>
            <w:tcW w:w="1418"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2.395</w:t>
            </w:r>
          </w:p>
        </w:tc>
        <w:tc>
          <w:tcPr>
            <w:tcW w:w="1842"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68,2</w:t>
            </w:r>
          </w:p>
        </w:tc>
        <w:tc>
          <w:tcPr>
            <w:tcW w:w="851"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50</w:t>
            </w:r>
          </w:p>
        </w:tc>
      </w:tr>
      <w:tr w:rsidR="006D06D7" w:rsidRPr="002424A9" w:rsidTr="00A1167D">
        <w:tc>
          <w:tcPr>
            <w:tcW w:w="2867"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Provincie Oost-Vlaanderen</w:t>
            </w:r>
          </w:p>
        </w:tc>
        <w:tc>
          <w:tcPr>
            <w:tcW w:w="1559"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21</w:t>
            </w:r>
          </w:p>
        </w:tc>
        <w:tc>
          <w:tcPr>
            <w:tcW w:w="1418"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1.016</w:t>
            </w:r>
          </w:p>
        </w:tc>
        <w:tc>
          <w:tcPr>
            <w:tcW w:w="1842"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29,5</w:t>
            </w:r>
          </w:p>
        </w:tc>
        <w:tc>
          <w:tcPr>
            <w:tcW w:w="851"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22</w:t>
            </w:r>
          </w:p>
        </w:tc>
      </w:tr>
      <w:tr w:rsidR="006D06D7" w:rsidRPr="002424A9" w:rsidTr="00A1167D">
        <w:tc>
          <w:tcPr>
            <w:tcW w:w="2867"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Provincie West-Vlaanderen</w:t>
            </w:r>
          </w:p>
        </w:tc>
        <w:tc>
          <w:tcPr>
            <w:tcW w:w="1559"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16</w:t>
            </w:r>
          </w:p>
        </w:tc>
        <w:tc>
          <w:tcPr>
            <w:tcW w:w="1418"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383</w:t>
            </w:r>
          </w:p>
        </w:tc>
        <w:tc>
          <w:tcPr>
            <w:tcW w:w="1842"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9,1</w:t>
            </w:r>
          </w:p>
        </w:tc>
        <w:tc>
          <w:tcPr>
            <w:tcW w:w="851"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7</w:t>
            </w:r>
          </w:p>
        </w:tc>
      </w:tr>
      <w:tr w:rsidR="006D06D7" w:rsidRPr="002424A9" w:rsidTr="00A1167D">
        <w:tc>
          <w:tcPr>
            <w:tcW w:w="2867"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Provincie Limburg</w:t>
            </w:r>
          </w:p>
        </w:tc>
        <w:tc>
          <w:tcPr>
            <w:tcW w:w="1559"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7</w:t>
            </w:r>
          </w:p>
        </w:tc>
        <w:tc>
          <w:tcPr>
            <w:tcW w:w="1418"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210</w:t>
            </w:r>
          </w:p>
        </w:tc>
        <w:tc>
          <w:tcPr>
            <w:tcW w:w="1842"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8,1</w:t>
            </w:r>
          </w:p>
        </w:tc>
        <w:tc>
          <w:tcPr>
            <w:tcW w:w="851"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6</w:t>
            </w:r>
          </w:p>
        </w:tc>
      </w:tr>
      <w:tr w:rsidR="006D06D7" w:rsidRPr="002424A9" w:rsidTr="00A1167D">
        <w:tc>
          <w:tcPr>
            <w:tcW w:w="2867"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Provincie Vlaams-Brabant en Brussel</w:t>
            </w:r>
          </w:p>
        </w:tc>
        <w:tc>
          <w:tcPr>
            <w:tcW w:w="1559"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22</w:t>
            </w:r>
          </w:p>
        </w:tc>
        <w:tc>
          <w:tcPr>
            <w:tcW w:w="1418"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597</w:t>
            </w:r>
          </w:p>
        </w:tc>
        <w:tc>
          <w:tcPr>
            <w:tcW w:w="1842"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22,0</w:t>
            </w:r>
          </w:p>
        </w:tc>
        <w:tc>
          <w:tcPr>
            <w:tcW w:w="851"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16</w:t>
            </w:r>
          </w:p>
        </w:tc>
      </w:tr>
      <w:tr w:rsidR="006D06D7" w:rsidRPr="002424A9" w:rsidTr="00A1167D">
        <w:tc>
          <w:tcPr>
            <w:tcW w:w="2867" w:type="dxa"/>
          </w:tcPr>
          <w:p w:rsidR="006D06D7" w:rsidRPr="00A1167D" w:rsidRDefault="006D06D7" w:rsidP="00A1167D">
            <w:pPr>
              <w:autoSpaceDE w:val="0"/>
              <w:autoSpaceDN w:val="0"/>
              <w:adjustRightInd w:val="0"/>
              <w:jc w:val="both"/>
              <w:rPr>
                <w:i/>
                <w:iCs/>
                <w:sz w:val="22"/>
                <w:szCs w:val="22"/>
                <w:lang w:val="nl-BE" w:eastAsia="nl-BE"/>
              </w:rPr>
            </w:pPr>
            <w:r w:rsidRPr="00A1167D">
              <w:rPr>
                <w:i/>
                <w:iCs/>
                <w:sz w:val="22"/>
                <w:szCs w:val="22"/>
                <w:lang w:val="nl-BE" w:eastAsia="nl-BE"/>
              </w:rPr>
              <w:t>Totaal</w:t>
            </w:r>
          </w:p>
        </w:tc>
        <w:tc>
          <w:tcPr>
            <w:tcW w:w="1559"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114</w:t>
            </w:r>
          </w:p>
        </w:tc>
        <w:tc>
          <w:tcPr>
            <w:tcW w:w="1418"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4.601</w:t>
            </w:r>
          </w:p>
        </w:tc>
        <w:tc>
          <w:tcPr>
            <w:tcW w:w="1842"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136,9</w:t>
            </w:r>
          </w:p>
        </w:tc>
        <w:tc>
          <w:tcPr>
            <w:tcW w:w="851" w:type="dxa"/>
          </w:tcPr>
          <w:p w:rsidR="006D06D7" w:rsidRPr="00A1167D" w:rsidRDefault="006D06D7" w:rsidP="00A1167D">
            <w:pPr>
              <w:autoSpaceDE w:val="0"/>
              <w:autoSpaceDN w:val="0"/>
              <w:adjustRightInd w:val="0"/>
              <w:jc w:val="center"/>
              <w:rPr>
                <w:i/>
                <w:iCs/>
                <w:sz w:val="22"/>
                <w:szCs w:val="22"/>
                <w:lang w:val="nl-BE" w:eastAsia="nl-BE"/>
              </w:rPr>
            </w:pPr>
            <w:r w:rsidRPr="00A1167D">
              <w:rPr>
                <w:i/>
                <w:iCs/>
                <w:sz w:val="22"/>
                <w:szCs w:val="22"/>
                <w:lang w:val="nl-BE" w:eastAsia="nl-BE"/>
              </w:rPr>
              <w:t>100</w:t>
            </w:r>
          </w:p>
        </w:tc>
      </w:tr>
    </w:tbl>
    <w:p w:rsidR="006D06D7" w:rsidRPr="002424A9" w:rsidRDefault="006D06D7" w:rsidP="002424A9">
      <w:pPr>
        <w:autoSpaceDE w:val="0"/>
        <w:autoSpaceDN w:val="0"/>
        <w:adjustRightInd w:val="0"/>
        <w:ind w:left="360"/>
        <w:jc w:val="both"/>
        <w:rPr>
          <w:sz w:val="22"/>
          <w:szCs w:val="22"/>
        </w:rPr>
      </w:pPr>
    </w:p>
    <w:p w:rsidR="006D06D7" w:rsidRPr="002424A9" w:rsidRDefault="006D06D7" w:rsidP="002424A9">
      <w:pPr>
        <w:autoSpaceDE w:val="0"/>
        <w:autoSpaceDN w:val="0"/>
        <w:adjustRightInd w:val="0"/>
        <w:ind w:left="360"/>
        <w:jc w:val="both"/>
        <w:rPr>
          <w:sz w:val="16"/>
          <w:szCs w:val="16"/>
        </w:rPr>
      </w:pPr>
      <w:r w:rsidRPr="002424A9">
        <w:rPr>
          <w:sz w:val="16"/>
          <w:szCs w:val="16"/>
        </w:rPr>
        <w:t>Bron: Toestandsbeschrijving van de volkstuinen in Vlaanderen vanuit een sociologische en ruimtelijke benadering, juli 2007. Univers</w:t>
      </w:r>
      <w:r w:rsidRPr="002424A9">
        <w:rPr>
          <w:sz w:val="16"/>
          <w:szCs w:val="16"/>
        </w:rPr>
        <w:t>i</w:t>
      </w:r>
      <w:r w:rsidRPr="002424A9">
        <w:rPr>
          <w:sz w:val="16"/>
          <w:szCs w:val="16"/>
        </w:rPr>
        <w:t>teit Gent, afdeling Mobiliteit en Ruimtelijke Planning in opdracht van het departement Landbouw en Visserij, afdeling Monitoring en Studie</w:t>
      </w:r>
    </w:p>
    <w:p w:rsidR="006D06D7" w:rsidRPr="002424A9" w:rsidRDefault="006D06D7" w:rsidP="002424A9">
      <w:pPr>
        <w:pStyle w:val="StandaardSV"/>
        <w:ind w:left="360"/>
        <w:rPr>
          <w:szCs w:val="22"/>
        </w:rPr>
      </w:pPr>
    </w:p>
    <w:p w:rsidR="006D06D7" w:rsidRDefault="006D06D7" w:rsidP="002424A9">
      <w:pPr>
        <w:pStyle w:val="StandaardSV"/>
        <w:numPr>
          <w:ilvl w:val="0"/>
          <w:numId w:val="31"/>
        </w:numPr>
      </w:pPr>
      <w:r>
        <w:t>De vraag naar volkstuinen in Vlaanderen blijft groot, zowel in grote steden als in kleinere gemee</w:t>
      </w:r>
      <w:r>
        <w:t>n</w:t>
      </w:r>
      <w:r>
        <w:t xml:space="preserve">ten. Dit wordt aangetoond in een onderzoek naar de behoeften uitgevoerd door de Universiteit van Gent (september 2010), waaruit blijkt dat er alleen al in tien geselecteerde centrumsteden nood is aan 95 extra ha bovenop de </w:t>
      </w:r>
      <w:smartTag w:uri="urn:schemas-microsoft-com:office:smarttags" w:element="metricconverter">
        <w:smartTagPr>
          <w:attr w:name="ProductID" w:val="76 ha"/>
        </w:smartTagPr>
        <w:r>
          <w:t>76 ha</w:t>
        </w:r>
      </w:smartTag>
      <w:r>
        <w:t xml:space="preserve"> die reeds voorhanden is. Eenzelfde oefening werd gemaakt voor veertig kleinere gemeenten: ook hier overtreft de bijkomende nood het huidig beschikbare areaal ruimschoots (</w:t>
      </w:r>
      <w:smartTag w:uri="urn:schemas-microsoft-com:office:smarttags" w:element="metricconverter">
        <w:smartTagPr>
          <w:attr w:name="ProductID" w:val="90 ha"/>
        </w:smartTagPr>
        <w:r>
          <w:t>90 ha</w:t>
        </w:r>
      </w:smartTag>
      <w:r>
        <w:t xml:space="preserve"> ten opzichte van </w:t>
      </w:r>
      <w:smartTag w:uri="urn:schemas-microsoft-com:office:smarttags" w:element="metricconverter">
        <w:smartTagPr>
          <w:attr w:name="ProductID" w:val="21 ha"/>
        </w:smartTagPr>
        <w:r>
          <w:t>21 ha</w:t>
        </w:r>
      </w:smartTag>
      <w:r>
        <w:t xml:space="preserve"> momenteel beschikbaar). Vooral de bevolkingsdich</w:t>
      </w:r>
      <w:r>
        <w:t>t</w:t>
      </w:r>
      <w:r>
        <w:t>heid is bepalend voor de vraag naar volkstuinen. Hoe groter de bevolkingsdichtheid, hoe groter de nood aan volkstuinen. Omdat de behoefteraming slechts op een beperkt aantal gemeenten is to</w:t>
      </w:r>
      <w:r>
        <w:t>e</w:t>
      </w:r>
      <w:r>
        <w:t>gepast, is een spreiding over de provincies niet beschikbaar. In het najaar zal een verdere vraag aan de gemeentebesturen worden gesteld naar beschikbaarheid en behoeften aan volkstuinparken in de gemeente.</w:t>
      </w:r>
    </w:p>
    <w:p w:rsidR="006D06D7" w:rsidRDefault="006D06D7" w:rsidP="002424A9">
      <w:pPr>
        <w:pStyle w:val="StandaardSV"/>
        <w:rPr>
          <w:szCs w:val="22"/>
        </w:rPr>
      </w:pPr>
    </w:p>
    <w:p w:rsidR="006D06D7" w:rsidRDefault="006D06D7" w:rsidP="002424A9">
      <w:pPr>
        <w:pStyle w:val="StandaardSV"/>
        <w:numPr>
          <w:ilvl w:val="0"/>
          <w:numId w:val="31"/>
        </w:numPr>
        <w:rPr>
          <w:szCs w:val="22"/>
        </w:rPr>
      </w:pPr>
      <w:r>
        <w:rPr>
          <w:szCs w:val="22"/>
        </w:rPr>
        <w:t>In de eerste plaats werd een onderzoek naar de behoeften voor een deel van de gemeenten uitg</w:t>
      </w:r>
      <w:r>
        <w:rPr>
          <w:szCs w:val="22"/>
        </w:rPr>
        <w:t>e</w:t>
      </w:r>
      <w:r>
        <w:rPr>
          <w:szCs w:val="22"/>
        </w:rPr>
        <w:t>voerd (Universiteit Gent, zie hoger), dit om een inschatting te kunnen maken van de grootteorde van de problematiek. Verder bestaat de mogelijkheid om in het kader van het PDPO II projec</w:t>
      </w:r>
      <w:r>
        <w:rPr>
          <w:szCs w:val="22"/>
        </w:rPr>
        <w:t>t</w:t>
      </w:r>
      <w:r>
        <w:rPr>
          <w:szCs w:val="22"/>
        </w:rPr>
        <w:t>voorstellen in te dienen die de inrichting van volkstuinparken kunnen ondersteunen, hiervan is al gebruik gemaakt in Betekom (Vlaams-Brabant). De VLM houdt in het kader van haar opdrachten inzake gebiedsgerichte inrichting (in het planvormingsproces) ook rekening met de mogelijke b</w:t>
      </w:r>
      <w:r>
        <w:rPr>
          <w:szCs w:val="22"/>
        </w:rPr>
        <w:t>e</w:t>
      </w:r>
      <w:r>
        <w:rPr>
          <w:szCs w:val="22"/>
        </w:rPr>
        <w:t>hoeften en potenties om volkstuinparken te integreren. Een dergelijke inrichting wordt momenteel concreet voorbereid in de stadsrand van Gent.</w:t>
      </w:r>
    </w:p>
    <w:p w:rsidR="006D06D7" w:rsidRDefault="006D06D7" w:rsidP="002424A9">
      <w:pPr>
        <w:pStyle w:val="StandaardSV"/>
        <w:rPr>
          <w:szCs w:val="22"/>
        </w:rPr>
      </w:pPr>
    </w:p>
    <w:p w:rsidR="006D06D7" w:rsidRDefault="006D06D7" w:rsidP="002424A9">
      <w:pPr>
        <w:pStyle w:val="StandaardSV"/>
        <w:numPr>
          <w:ilvl w:val="0"/>
          <w:numId w:val="31"/>
        </w:numPr>
        <w:rPr>
          <w:szCs w:val="22"/>
        </w:rPr>
      </w:pPr>
      <w:r>
        <w:rPr>
          <w:szCs w:val="22"/>
        </w:rPr>
        <w:t>In voorbereiding op het initiatief werden actoren bevraagd in kader van het onderzoek dat is uitg</w:t>
      </w:r>
      <w:r>
        <w:rPr>
          <w:szCs w:val="22"/>
        </w:rPr>
        <w:t>e</w:t>
      </w:r>
      <w:r>
        <w:rPr>
          <w:szCs w:val="22"/>
        </w:rPr>
        <w:t>voerd door de Universiteit Gent, afdeling Mobiliteit en Ruimtelijke Planning in 2010 in opdracht van de vzw Vlaamse Volkstuin en met financiële ondersteuning van de Vlaamse Overheid en we</w:t>
      </w:r>
      <w:r>
        <w:rPr>
          <w:szCs w:val="22"/>
        </w:rPr>
        <w:t>r</w:t>
      </w:r>
      <w:r>
        <w:rPr>
          <w:szCs w:val="22"/>
        </w:rPr>
        <w:t>den onder meer de vzw Vlaamse Volkstuin, de vzw VELT en de vzw VVSG geconsulteerd, om een beter inzicht te krijgen in het volkstuingebeuren, zowel kwantitatief als kwalitatief, ruimtelijk en sociologisch.</w:t>
      </w:r>
    </w:p>
    <w:p w:rsidR="006D06D7" w:rsidRDefault="006D06D7" w:rsidP="002424A9">
      <w:pPr>
        <w:pStyle w:val="StandaardSV"/>
        <w:rPr>
          <w:szCs w:val="22"/>
        </w:rPr>
      </w:pPr>
    </w:p>
    <w:p w:rsidR="006D06D7" w:rsidRDefault="006D06D7" w:rsidP="002424A9">
      <w:pPr>
        <w:pStyle w:val="StandaardSV"/>
        <w:numPr>
          <w:ilvl w:val="0"/>
          <w:numId w:val="31"/>
        </w:numPr>
        <w:rPr>
          <w:szCs w:val="22"/>
        </w:rPr>
      </w:pPr>
      <w:r>
        <w:rPr>
          <w:szCs w:val="22"/>
        </w:rPr>
        <w:t>De minister heeft op 12 juli aangekondigd om het aanbod van volkstuinen in de eerste plaats te stimuleren door de VLM te belasten met het faciliteren van de aankoop van gronden op vraag en in samenspraak met de gemeenten waar er zich een behoefte voordoet inzake volkstuinparken. De VLM heeft  onder meer expertise in het coördineren en administratief verwerken van grondaank</w:t>
      </w:r>
      <w:r>
        <w:rPr>
          <w:szCs w:val="22"/>
        </w:rPr>
        <w:t>o</w:t>
      </w:r>
      <w:r>
        <w:rPr>
          <w:szCs w:val="22"/>
        </w:rPr>
        <w:t>pen, ook ten behoeve van derden (in dit geval de gemeenten).</w:t>
      </w:r>
    </w:p>
    <w:p w:rsidR="006D06D7" w:rsidRDefault="006D06D7" w:rsidP="002424A9">
      <w:pPr>
        <w:pStyle w:val="StandaardSV"/>
        <w:rPr>
          <w:szCs w:val="22"/>
        </w:rPr>
      </w:pPr>
    </w:p>
    <w:p w:rsidR="006D06D7" w:rsidRDefault="006D06D7" w:rsidP="002424A9">
      <w:pPr>
        <w:pStyle w:val="StandaardSV"/>
        <w:numPr>
          <w:ilvl w:val="0"/>
          <w:numId w:val="31"/>
        </w:numPr>
        <w:rPr>
          <w:szCs w:val="22"/>
        </w:rPr>
      </w:pPr>
      <w:r>
        <w:rPr>
          <w:szCs w:val="22"/>
        </w:rPr>
        <w:t>In eerste instantie is er beslist om nog in 2011 105.000 euro te voorzien als prefinanciering voor de aankoop van geschikte terreinen. Dit wordt verder opgevolgd, afhankelijk van de concrete vraag van de gemeenten.</w:t>
      </w:r>
    </w:p>
    <w:p w:rsidR="006D06D7" w:rsidRDefault="006D06D7" w:rsidP="002424A9">
      <w:pPr>
        <w:pStyle w:val="StandaardSV"/>
        <w:rPr>
          <w:szCs w:val="22"/>
        </w:rPr>
      </w:pPr>
    </w:p>
    <w:p w:rsidR="006D06D7" w:rsidRDefault="006D06D7" w:rsidP="002424A9">
      <w:pPr>
        <w:pStyle w:val="StandaardSV"/>
        <w:numPr>
          <w:ilvl w:val="0"/>
          <w:numId w:val="31"/>
        </w:numPr>
        <w:rPr>
          <w:szCs w:val="22"/>
        </w:rPr>
      </w:pPr>
      <w:r>
        <w:rPr>
          <w:szCs w:val="22"/>
        </w:rPr>
        <w:t>Het initiatief om bijkomende volkstuinen te realiseren, blijft in de eerste plaats een gemeentelijke opdracht. De minister zal een bedrag ter beschikking stellen dat als rollend fonds voor de pref</w:t>
      </w:r>
      <w:r>
        <w:rPr>
          <w:szCs w:val="22"/>
        </w:rPr>
        <w:t>i</w:t>
      </w:r>
      <w:r>
        <w:rPr>
          <w:szCs w:val="22"/>
        </w:rPr>
        <w:t>nanciering ten behoeve van de aankoop van volkstuinen door de VLM zal beheerd worden. In 2011 wordt gestart met een bedrag van 105.000 euro.</w:t>
      </w:r>
    </w:p>
    <w:p w:rsidR="006D06D7" w:rsidRDefault="006D06D7" w:rsidP="002424A9">
      <w:pPr>
        <w:pStyle w:val="StandaardSV"/>
        <w:rPr>
          <w:szCs w:val="22"/>
        </w:rPr>
      </w:pPr>
    </w:p>
    <w:p w:rsidR="006D06D7" w:rsidRPr="00E908CE" w:rsidRDefault="006D06D7" w:rsidP="002424A9">
      <w:pPr>
        <w:pStyle w:val="StandaardSV"/>
        <w:numPr>
          <w:ilvl w:val="0"/>
          <w:numId w:val="31"/>
        </w:numPr>
        <w:rPr>
          <w:szCs w:val="22"/>
        </w:rPr>
      </w:pPr>
      <w:r>
        <w:t>Er is reeds overleg met verschillende gemeenten door de VLM over mogelijke aankopen. Verder wordt op vraag van gemeentebesturen bijkomende informatie verstrekt over het initiatief van de minister. In enkele provincies is ook reeds contact opgenomen met de provinciebesturen, wat zal uitgebreid worden naar alle provinciebesturen.</w:t>
      </w:r>
    </w:p>
    <w:sectPr w:rsidR="006D06D7" w:rsidRPr="00E908CE" w:rsidSect="00A423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D7" w:rsidRDefault="006D06D7">
      <w:r>
        <w:separator/>
      </w:r>
    </w:p>
  </w:endnote>
  <w:endnote w:type="continuationSeparator" w:id="0">
    <w:p w:rsidR="006D06D7" w:rsidRDefault="006D0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D7" w:rsidRDefault="006D06D7">
      <w:r>
        <w:separator/>
      </w:r>
    </w:p>
  </w:footnote>
  <w:footnote w:type="continuationSeparator" w:id="0">
    <w:p w:rsidR="006D06D7" w:rsidRDefault="006D0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2632F88"/>
    <w:multiLevelType w:val="hybridMultilevel"/>
    <w:tmpl w:val="406E20B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0B11BFD"/>
    <w:multiLevelType w:val="hybridMultilevel"/>
    <w:tmpl w:val="85A6A6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5C152CE"/>
    <w:multiLevelType w:val="hybridMultilevel"/>
    <w:tmpl w:val="8BCE08B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35C86B6A"/>
    <w:multiLevelType w:val="hybridMultilevel"/>
    <w:tmpl w:val="2E389E8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1">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6ECD09A3"/>
    <w:multiLevelType w:val="hybridMultilevel"/>
    <w:tmpl w:val="A600EB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23"/>
  </w:num>
  <w:num w:numId="5">
    <w:abstractNumId w:val="18"/>
  </w:num>
  <w:num w:numId="6">
    <w:abstractNumId w:val="4"/>
  </w:num>
  <w:num w:numId="7">
    <w:abstractNumId w:val="26"/>
  </w:num>
  <w:num w:numId="8">
    <w:abstractNumId w:val="17"/>
  </w:num>
  <w:num w:numId="9">
    <w:abstractNumId w:val="14"/>
  </w:num>
  <w:num w:numId="10">
    <w:abstractNumId w:val="3"/>
  </w:num>
  <w:num w:numId="11">
    <w:abstractNumId w:val="13"/>
  </w:num>
  <w:num w:numId="12">
    <w:abstractNumId w:val="8"/>
  </w:num>
  <w:num w:numId="13">
    <w:abstractNumId w:val="10"/>
  </w:num>
  <w:num w:numId="14">
    <w:abstractNumId w:val="20"/>
  </w:num>
  <w:num w:numId="15">
    <w:abstractNumId w:val="11"/>
  </w:num>
  <w:num w:numId="16">
    <w:abstractNumId w:val="29"/>
  </w:num>
  <w:num w:numId="17">
    <w:abstractNumId w:val="16"/>
  </w:num>
  <w:num w:numId="18">
    <w:abstractNumId w:val="9"/>
  </w:num>
  <w:num w:numId="19">
    <w:abstractNumId w:val="21"/>
  </w:num>
  <w:num w:numId="20">
    <w:abstractNumId w:val="15"/>
  </w:num>
  <w:num w:numId="21">
    <w:abstractNumId w:val="24"/>
  </w:num>
  <w:num w:numId="22">
    <w:abstractNumId w:val="27"/>
  </w:num>
  <w:num w:numId="23">
    <w:abstractNumId w:val="2"/>
  </w:num>
  <w:num w:numId="24">
    <w:abstractNumId w:val="25"/>
  </w:num>
  <w:num w:numId="25">
    <w:abstractNumId w:val="22"/>
  </w:num>
  <w:num w:numId="26">
    <w:abstractNumId w:val="19"/>
  </w:num>
  <w:num w:numId="27">
    <w:abstractNumId w:val="7"/>
  </w:num>
  <w:num w:numId="28">
    <w:abstractNumId w:val="28"/>
  </w:num>
  <w:num w:numId="29">
    <w:abstractNumId w:val="12"/>
  </w:num>
  <w:num w:numId="30">
    <w:abstractNumId w:val="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04C51"/>
    <w:rsid w:val="00010B84"/>
    <w:rsid w:val="0007072B"/>
    <w:rsid w:val="00102476"/>
    <w:rsid w:val="001058E4"/>
    <w:rsid w:val="001561C9"/>
    <w:rsid w:val="0016148B"/>
    <w:rsid w:val="00174BB0"/>
    <w:rsid w:val="001755B2"/>
    <w:rsid w:val="001C0B52"/>
    <w:rsid w:val="001D50C6"/>
    <w:rsid w:val="001F508A"/>
    <w:rsid w:val="001F713E"/>
    <w:rsid w:val="00202FA9"/>
    <w:rsid w:val="002424A9"/>
    <w:rsid w:val="002536A1"/>
    <w:rsid w:val="002B65A3"/>
    <w:rsid w:val="002F1544"/>
    <w:rsid w:val="00321F10"/>
    <w:rsid w:val="0032261D"/>
    <w:rsid w:val="00323B6B"/>
    <w:rsid w:val="0034616F"/>
    <w:rsid w:val="003468E1"/>
    <w:rsid w:val="003750D5"/>
    <w:rsid w:val="003B6A5C"/>
    <w:rsid w:val="003E5FC2"/>
    <w:rsid w:val="00403981"/>
    <w:rsid w:val="00423F29"/>
    <w:rsid w:val="00431EA3"/>
    <w:rsid w:val="0046761C"/>
    <w:rsid w:val="0047032B"/>
    <w:rsid w:val="00472C97"/>
    <w:rsid w:val="00477EB3"/>
    <w:rsid w:val="004A2D43"/>
    <w:rsid w:val="004A56C3"/>
    <w:rsid w:val="004D21E2"/>
    <w:rsid w:val="004D4E8A"/>
    <w:rsid w:val="004F3708"/>
    <w:rsid w:val="00512E83"/>
    <w:rsid w:val="00540203"/>
    <w:rsid w:val="00540740"/>
    <w:rsid w:val="005B3194"/>
    <w:rsid w:val="005C53B1"/>
    <w:rsid w:val="005E76AA"/>
    <w:rsid w:val="0062492E"/>
    <w:rsid w:val="0068304B"/>
    <w:rsid w:val="006A5A3E"/>
    <w:rsid w:val="006D06D7"/>
    <w:rsid w:val="006F445E"/>
    <w:rsid w:val="007408E7"/>
    <w:rsid w:val="00766C70"/>
    <w:rsid w:val="00780632"/>
    <w:rsid w:val="007A44F3"/>
    <w:rsid w:val="007C2DDA"/>
    <w:rsid w:val="00813923"/>
    <w:rsid w:val="008346BD"/>
    <w:rsid w:val="00842183"/>
    <w:rsid w:val="008A6DA3"/>
    <w:rsid w:val="008E3430"/>
    <w:rsid w:val="00951335"/>
    <w:rsid w:val="00960BE6"/>
    <w:rsid w:val="00995A04"/>
    <w:rsid w:val="00995F79"/>
    <w:rsid w:val="009A6335"/>
    <w:rsid w:val="00A1167D"/>
    <w:rsid w:val="00A423F2"/>
    <w:rsid w:val="00A66ED0"/>
    <w:rsid w:val="00A8473D"/>
    <w:rsid w:val="00A85270"/>
    <w:rsid w:val="00A90B46"/>
    <w:rsid w:val="00AA50FF"/>
    <w:rsid w:val="00AD549A"/>
    <w:rsid w:val="00B16D19"/>
    <w:rsid w:val="00BB2A82"/>
    <w:rsid w:val="00BB38B7"/>
    <w:rsid w:val="00BB4BD2"/>
    <w:rsid w:val="00BB6E27"/>
    <w:rsid w:val="00BD5A05"/>
    <w:rsid w:val="00BE315B"/>
    <w:rsid w:val="00C2040B"/>
    <w:rsid w:val="00C625C9"/>
    <w:rsid w:val="00CE2DB2"/>
    <w:rsid w:val="00CE5C0A"/>
    <w:rsid w:val="00D04D8F"/>
    <w:rsid w:val="00D5568D"/>
    <w:rsid w:val="00D61A12"/>
    <w:rsid w:val="00DB1CDB"/>
    <w:rsid w:val="00DE405B"/>
    <w:rsid w:val="00E839E8"/>
    <w:rsid w:val="00E908CE"/>
    <w:rsid w:val="00EA3160"/>
    <w:rsid w:val="00EB0A62"/>
    <w:rsid w:val="00ED6030"/>
    <w:rsid w:val="00F366D2"/>
    <w:rsid w:val="00F8592D"/>
    <w:rsid w:val="00FD176E"/>
    <w:rsid w:val="00FF7DB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F2"/>
    <w:rPr>
      <w:sz w:val="24"/>
      <w:szCs w:val="20"/>
      <w:lang w:val="nl-NL" w:eastAsia="nl-NL"/>
    </w:rPr>
  </w:style>
  <w:style w:type="paragraph" w:styleId="Heading1">
    <w:name w:val="heading 1"/>
    <w:basedOn w:val="Normal"/>
    <w:next w:val="Normal"/>
    <w:link w:val="Heading1Char"/>
    <w:uiPriority w:val="99"/>
    <w:qFormat/>
    <w:rsid w:val="00A423F2"/>
    <w:pPr>
      <w:keepNext/>
      <w:numPr>
        <w:numId w:val="2"/>
      </w:numPr>
      <w:jc w:val="both"/>
      <w:outlineLvl w:val="0"/>
    </w:pPr>
    <w:rPr>
      <w:b/>
      <w:caps/>
    </w:rPr>
  </w:style>
  <w:style w:type="paragraph" w:styleId="Heading2">
    <w:name w:val="heading 2"/>
    <w:basedOn w:val="Normal"/>
    <w:next w:val="Normal"/>
    <w:link w:val="Heading2Char"/>
    <w:uiPriority w:val="99"/>
    <w:qFormat/>
    <w:rsid w:val="00A423F2"/>
    <w:pPr>
      <w:keepNext/>
      <w:tabs>
        <w:tab w:val="num" w:pos="567"/>
      </w:tabs>
      <w:ind w:left="567" w:hanging="567"/>
      <w:outlineLvl w:val="1"/>
    </w:pPr>
    <w:rPr>
      <w:b/>
    </w:rPr>
  </w:style>
  <w:style w:type="paragraph" w:styleId="Heading3">
    <w:name w:val="heading 3"/>
    <w:basedOn w:val="Normal"/>
    <w:next w:val="Normal"/>
    <w:link w:val="Heading3Char"/>
    <w:uiPriority w:val="99"/>
    <w:qFormat/>
    <w:rsid w:val="00A423F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072B"/>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07072B"/>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07072B"/>
    <w:rPr>
      <w:rFonts w:ascii="Cambria" w:hAnsi="Cambria" w:cs="Times New Roman"/>
      <w:b/>
      <w:bCs/>
      <w:sz w:val="26"/>
      <w:szCs w:val="26"/>
      <w:lang w:val="nl-NL" w:eastAsia="nl-NL"/>
    </w:rPr>
  </w:style>
  <w:style w:type="paragraph" w:styleId="EnvelopeAddress">
    <w:name w:val="envelope address"/>
    <w:basedOn w:val="Normal"/>
    <w:uiPriority w:val="99"/>
    <w:rsid w:val="00A423F2"/>
    <w:pPr>
      <w:framePr w:w="7920" w:h="1980" w:hRule="exact" w:hSpace="141" w:wrap="auto" w:hAnchor="page" w:xAlign="center" w:yAlign="bottom"/>
      <w:ind w:left="2880"/>
    </w:pPr>
  </w:style>
  <w:style w:type="paragraph" w:styleId="EnvelopeReturn">
    <w:name w:val="envelope return"/>
    <w:basedOn w:val="Normal"/>
    <w:uiPriority w:val="99"/>
    <w:rsid w:val="00A423F2"/>
  </w:style>
  <w:style w:type="paragraph" w:styleId="TOC1">
    <w:name w:val="toc 1"/>
    <w:basedOn w:val="Normal"/>
    <w:next w:val="Normal"/>
    <w:autoRedefine/>
    <w:uiPriority w:val="99"/>
    <w:semiHidden/>
    <w:rsid w:val="00A423F2"/>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A423F2"/>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A423F2"/>
    <w:pPr>
      <w:tabs>
        <w:tab w:val="right" w:leader="dot" w:pos="9741"/>
      </w:tabs>
      <w:spacing w:before="40" w:after="40"/>
      <w:ind w:left="1701" w:hanging="567"/>
    </w:pPr>
    <w:rPr>
      <w:i/>
    </w:rPr>
  </w:style>
  <w:style w:type="paragraph" w:styleId="BodyText2">
    <w:name w:val="Body Text 2"/>
    <w:basedOn w:val="Normal"/>
    <w:link w:val="BodyText2Char"/>
    <w:uiPriority w:val="99"/>
    <w:rsid w:val="00A423F2"/>
    <w:pPr>
      <w:jc w:val="both"/>
    </w:pPr>
    <w:rPr>
      <w:i/>
      <w:sz w:val="22"/>
    </w:rPr>
  </w:style>
  <w:style w:type="character" w:customStyle="1" w:styleId="BodyText2Char">
    <w:name w:val="Body Text 2 Char"/>
    <w:basedOn w:val="DefaultParagraphFont"/>
    <w:link w:val="BodyText2"/>
    <w:uiPriority w:val="99"/>
    <w:semiHidden/>
    <w:locked/>
    <w:rsid w:val="0007072B"/>
    <w:rPr>
      <w:rFonts w:cs="Times New Roman"/>
      <w:sz w:val="20"/>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A423F2"/>
    <w:pPr>
      <w:jc w:val="both"/>
    </w:pPr>
    <w:rPr>
      <w:b/>
      <w:smallCaps/>
      <w:sz w:val="22"/>
    </w:rPr>
  </w:style>
  <w:style w:type="paragraph" w:customStyle="1" w:styleId="SVTitel">
    <w:name w:val="SV Titel"/>
    <w:basedOn w:val="Normal"/>
    <w:uiPriority w:val="99"/>
    <w:rsid w:val="00A423F2"/>
    <w:pPr>
      <w:jc w:val="both"/>
    </w:pPr>
    <w:rPr>
      <w:i/>
      <w:sz w:val="22"/>
    </w:rPr>
  </w:style>
  <w:style w:type="paragraph" w:customStyle="1" w:styleId="StandaardSV">
    <w:name w:val="Standaard SV"/>
    <w:basedOn w:val="Normal"/>
    <w:link w:val="StandaardSVChar"/>
    <w:uiPriority w:val="99"/>
    <w:rsid w:val="00A423F2"/>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locked/>
    <w:rsid w:val="0007072B"/>
    <w:rPr>
      <w:rFonts w:cs="Times New Roman"/>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7072B"/>
    <w:rPr>
      <w:rFonts w:cs="Times New Roman"/>
      <w:sz w:val="2"/>
      <w:lang w:val="nl-NL" w:eastAsia="nl-NL"/>
    </w:rPr>
  </w:style>
  <w:style w:type="paragraph" w:styleId="BalloonText">
    <w:name w:val="Balloon Text"/>
    <w:basedOn w:val="Normal"/>
    <w:link w:val="BalloonTextChar"/>
    <w:uiPriority w:val="99"/>
    <w:semiHidden/>
    <w:rsid w:val="002424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4A9"/>
    <w:rPr>
      <w:rFonts w:ascii="Tahoma" w:hAnsi="Tahoma" w:cs="Tahoma"/>
      <w:sz w:val="16"/>
      <w:szCs w:val="16"/>
      <w:lang w:val="nl-NL" w:eastAsia="nl-NL"/>
    </w:rPr>
  </w:style>
  <w:style w:type="character" w:customStyle="1" w:styleId="StandaardSVChar">
    <w:name w:val="Standaard SV Char"/>
    <w:basedOn w:val="DefaultParagraphFont"/>
    <w:link w:val="StandaardSV"/>
    <w:uiPriority w:val="99"/>
    <w:locked/>
    <w:rsid w:val="002424A9"/>
    <w:rPr>
      <w:rFonts w:cs="Times New Roman"/>
      <w:sz w:val="20"/>
      <w:szCs w:val="20"/>
      <w:lang w:val="nl-NL" w:eastAsia="nl-NL"/>
    </w:rPr>
  </w:style>
  <w:style w:type="table" w:styleId="TableGrid">
    <w:name w:val="Table Grid"/>
    <w:basedOn w:val="TableNormal"/>
    <w:uiPriority w:val="99"/>
    <w:locked/>
    <w:rsid w:val="002424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1422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736</Words>
  <Characters>4050</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2</cp:revision>
  <cp:lastPrinted>2011-10-14T11:58:00Z</cp:lastPrinted>
  <dcterms:created xsi:type="dcterms:W3CDTF">2011-10-14T11:58:00Z</dcterms:created>
  <dcterms:modified xsi:type="dcterms:W3CDTF">2011-10-14T11:58:00Z</dcterms:modified>
</cp:coreProperties>
</file>