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E562F8" w:rsidRPr="00DD4121" w:rsidRDefault="00E562F8"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philippe muyters</w:t>
      </w:r>
      <w:r>
        <w:rPr>
          <w:szCs w:val="22"/>
        </w:rPr>
        <w:fldChar w:fldCharType="end"/>
      </w:r>
      <w:bookmarkEnd w:id="0"/>
    </w:p>
    <w:bookmarkStart w:id="1" w:name="Text2"/>
    <w:p w:rsidR="00E562F8" w:rsidRPr="00015BF7" w:rsidRDefault="00E562F8"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financiën, begroting, werk, ruimtelijke ordening en sport</w:t>
      </w:r>
      <w:r>
        <w:fldChar w:fldCharType="end"/>
      </w:r>
      <w:bookmarkEnd w:id="1"/>
    </w:p>
    <w:p w:rsidR="00E562F8" w:rsidRPr="00015BF7" w:rsidRDefault="00E562F8" w:rsidP="000976E9">
      <w:pPr>
        <w:rPr>
          <w:szCs w:val="22"/>
        </w:rPr>
      </w:pPr>
    </w:p>
    <w:p w:rsidR="00E562F8" w:rsidRPr="00DB41C0" w:rsidRDefault="00E562F8" w:rsidP="000976E9">
      <w:pPr>
        <w:pStyle w:val="A-Lijn"/>
      </w:pPr>
    </w:p>
    <w:p w:rsidR="00E562F8" w:rsidRDefault="00E562F8" w:rsidP="000976E9">
      <w:pPr>
        <w:pStyle w:val="A-Type"/>
        <w:sectPr w:rsidR="00E562F8">
          <w:pgSz w:w="11906" w:h="16838"/>
          <w:pgMar w:top="1417" w:right="1417" w:bottom="1417" w:left="1417" w:header="708" w:footer="708" w:gutter="0"/>
          <w:cols w:space="708"/>
          <w:rtlGutter/>
          <w:docGrid w:linePitch="360"/>
        </w:sectPr>
      </w:pPr>
    </w:p>
    <w:p w:rsidR="00E562F8" w:rsidRDefault="00E562F8" w:rsidP="00787964">
      <w:pPr>
        <w:pStyle w:val="A-Type"/>
        <w:outlineLvl w:val="0"/>
        <w:sectPr w:rsidR="00E562F8" w:rsidSect="000976E9">
          <w:type w:val="continuous"/>
          <w:pgSz w:w="11906" w:h="16838"/>
          <w:pgMar w:top="1417" w:right="1417" w:bottom="1417" w:left="1417" w:header="708" w:footer="708" w:gutter="0"/>
          <w:cols w:space="708"/>
          <w:formProt w:val="0"/>
          <w:docGrid w:linePitch="360"/>
        </w:sectPr>
      </w:pPr>
      <w:r>
        <w:t>gecoördineerd a</w:t>
      </w:r>
      <w:r w:rsidRPr="00E31F4D">
        <w:t>ntwoord</w:t>
      </w:r>
      <w:r>
        <w:t xml:space="preserve"> </w:t>
      </w:r>
    </w:p>
    <w:p w:rsidR="00E562F8" w:rsidRPr="00326A58" w:rsidRDefault="00E562F8"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489</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6"/>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E562F8" w:rsidRDefault="00E562F8"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filip watteeuw</w:t>
      </w:r>
      <w:r w:rsidRPr="009D7043">
        <w:rPr>
          <w:rStyle w:val="AntwoordNaamMinisterChar"/>
          <w:sz w:val="22"/>
        </w:rPr>
        <w:fldChar w:fldCharType="end"/>
      </w:r>
    </w:p>
    <w:p w:rsidR="00E562F8" w:rsidRPr="00015BF7" w:rsidRDefault="00E562F8" w:rsidP="000976E9">
      <w:pPr>
        <w:rPr>
          <w:szCs w:val="22"/>
        </w:rPr>
      </w:pPr>
    </w:p>
    <w:p w:rsidR="00E562F8" w:rsidRPr="00DB41C0" w:rsidRDefault="00E562F8" w:rsidP="000976E9">
      <w:pPr>
        <w:pStyle w:val="A-Lijn"/>
      </w:pPr>
    </w:p>
    <w:p w:rsidR="00E562F8" w:rsidRPr="00DB41C0" w:rsidRDefault="00E562F8" w:rsidP="000976E9">
      <w:pPr>
        <w:pStyle w:val="A-Lijn"/>
      </w:pPr>
    </w:p>
    <w:p w:rsidR="00E562F8" w:rsidRDefault="00E562F8" w:rsidP="00DB41C0">
      <w:pPr>
        <w:sectPr w:rsidR="00E562F8" w:rsidSect="000976E9">
          <w:type w:val="continuous"/>
          <w:pgSz w:w="11906" w:h="16838"/>
          <w:pgMar w:top="1417" w:right="1417" w:bottom="1417" w:left="1417" w:header="708" w:footer="708" w:gutter="0"/>
          <w:cols w:space="708"/>
          <w:rtlGutter/>
          <w:docGrid w:linePitch="360"/>
        </w:sectPr>
      </w:pPr>
    </w:p>
    <w:p w:rsidR="00E562F8" w:rsidRDefault="00E562F8" w:rsidP="007C32B5">
      <w:pPr>
        <w:rPr>
          <w:szCs w:val="22"/>
        </w:rPr>
      </w:pPr>
      <w:r>
        <w:rPr>
          <w:szCs w:val="22"/>
        </w:rPr>
        <w:t>In antwoord op uw vragen kan ik het volgende meedelen:</w:t>
      </w:r>
    </w:p>
    <w:p w:rsidR="00E562F8" w:rsidRDefault="00E562F8" w:rsidP="007C32B5">
      <w:pPr>
        <w:rPr>
          <w:szCs w:val="22"/>
        </w:rPr>
      </w:pPr>
    </w:p>
    <w:p w:rsidR="00E562F8" w:rsidRPr="004161EB" w:rsidRDefault="00E562F8" w:rsidP="006265DC">
      <w:pPr>
        <w:numPr>
          <w:ilvl w:val="0"/>
          <w:numId w:val="14"/>
        </w:numPr>
        <w:jc w:val="both"/>
        <w:rPr>
          <w:szCs w:val="22"/>
        </w:rPr>
      </w:pPr>
      <w:r w:rsidRPr="004161EB">
        <w:rPr>
          <w:szCs w:val="22"/>
        </w:rPr>
        <w:t>Mijn administratie beschikt niet over deze gegevens. De watertoets is een belangrijk criterium bij de beoordeling van vergunningaanvragen maar de ligging in overstromingsgevoelig gebied wordt niet als dusdanig geregistreerd in het dossieropvolgingssysteem.</w:t>
      </w:r>
    </w:p>
    <w:p w:rsidR="00E562F8" w:rsidRPr="00415FAE" w:rsidRDefault="00E562F8" w:rsidP="006265DC">
      <w:pPr>
        <w:ind w:left="360"/>
        <w:jc w:val="both"/>
        <w:rPr>
          <w:szCs w:val="22"/>
        </w:rPr>
      </w:pPr>
    </w:p>
    <w:p w:rsidR="00E562F8" w:rsidRPr="00415FAE" w:rsidRDefault="00E562F8" w:rsidP="006265DC">
      <w:pPr>
        <w:numPr>
          <w:ilvl w:val="0"/>
          <w:numId w:val="14"/>
        </w:numPr>
        <w:jc w:val="both"/>
        <w:rPr>
          <w:szCs w:val="22"/>
        </w:rPr>
      </w:pPr>
      <w:r w:rsidRPr="00415FAE">
        <w:rPr>
          <w:szCs w:val="22"/>
        </w:rPr>
        <w:t xml:space="preserve">Behoudens een dossiermatige bevraging van de gemeenten, beschikt mijn administratie niet over deze gegevens. Gezien de werklast die verbonden is aan </w:t>
      </w:r>
      <w:r>
        <w:rPr>
          <w:szCs w:val="22"/>
        </w:rPr>
        <w:t>de gevraagde opzoeking</w:t>
      </w:r>
      <w:r w:rsidRPr="00415FAE">
        <w:rPr>
          <w:szCs w:val="22"/>
        </w:rPr>
        <w:t>, kan geen sluitend antwoord geformuleerd worden binnen het gegeven tijdsbestek.</w:t>
      </w:r>
    </w:p>
    <w:p w:rsidR="00E562F8" w:rsidRDefault="00E562F8" w:rsidP="006265DC">
      <w:pPr>
        <w:tabs>
          <w:tab w:val="num" w:pos="360"/>
        </w:tabs>
        <w:ind w:left="360"/>
        <w:jc w:val="both"/>
        <w:rPr>
          <w:szCs w:val="22"/>
        </w:rPr>
      </w:pPr>
    </w:p>
    <w:p w:rsidR="00E562F8" w:rsidRPr="00415FAE" w:rsidRDefault="00E562F8" w:rsidP="006265DC">
      <w:pPr>
        <w:tabs>
          <w:tab w:val="num" w:pos="360"/>
        </w:tabs>
        <w:ind w:left="360"/>
        <w:jc w:val="both"/>
        <w:rPr>
          <w:szCs w:val="22"/>
        </w:rPr>
      </w:pPr>
      <w:r>
        <w:rPr>
          <w:szCs w:val="22"/>
        </w:rPr>
        <w:t>Na de overstromingen van</w:t>
      </w:r>
      <w:r w:rsidRPr="00415FAE">
        <w:rPr>
          <w:szCs w:val="22"/>
        </w:rPr>
        <w:t xml:space="preserve"> november 201</w:t>
      </w:r>
      <w:r>
        <w:rPr>
          <w:szCs w:val="22"/>
        </w:rPr>
        <w:t>0 en januari 2011</w:t>
      </w:r>
      <w:r w:rsidRPr="00415FAE">
        <w:rPr>
          <w:szCs w:val="22"/>
        </w:rPr>
        <w:t xml:space="preserve"> werd een analyse uitgevoerd van de recent afgeleverde verkavelingsvergunningen bij 14 </w:t>
      </w:r>
      <w:r>
        <w:rPr>
          <w:szCs w:val="22"/>
        </w:rPr>
        <w:t>Oost-Vlaamse en Vlaams-</w:t>
      </w:r>
      <w:r w:rsidRPr="00415FAE">
        <w:rPr>
          <w:szCs w:val="22"/>
        </w:rPr>
        <w:t xml:space="preserve">Brabantse gemeenten die toen met wateroverlast kampten. </w:t>
      </w:r>
      <w:r>
        <w:rPr>
          <w:szCs w:val="22"/>
        </w:rPr>
        <w:t xml:space="preserve">Dit onderzoek gebeurde in nauw overleg tussen mijn administratie en de CIW Werkgroep Watertoets. </w:t>
      </w:r>
      <w:r w:rsidRPr="00415FAE">
        <w:rPr>
          <w:szCs w:val="22"/>
        </w:rPr>
        <w:t xml:space="preserve">De resultaten van dit onderzoek werden </w:t>
      </w:r>
      <w:r>
        <w:rPr>
          <w:szCs w:val="22"/>
        </w:rPr>
        <w:t>goedgekeurd door de CIW op 12 mei 2011</w:t>
      </w:r>
      <w:r w:rsidRPr="00415FAE">
        <w:rPr>
          <w:szCs w:val="22"/>
        </w:rPr>
        <w:t xml:space="preserve">, maar kunnen uiteraard niet veralgemeend worden voor </w:t>
      </w:r>
      <w:r>
        <w:rPr>
          <w:szCs w:val="22"/>
        </w:rPr>
        <w:t xml:space="preserve">alle </w:t>
      </w:r>
      <w:r w:rsidRPr="00415FAE">
        <w:rPr>
          <w:szCs w:val="22"/>
        </w:rPr>
        <w:t xml:space="preserve">Vlaamse </w:t>
      </w:r>
      <w:r>
        <w:rPr>
          <w:szCs w:val="22"/>
        </w:rPr>
        <w:t>gemeenten</w:t>
      </w:r>
      <w:r w:rsidRPr="00415FAE">
        <w:rPr>
          <w:szCs w:val="22"/>
        </w:rPr>
        <w:t>.</w:t>
      </w:r>
      <w:bookmarkStart w:id="6" w:name="_GoBack"/>
      <w:bookmarkEnd w:id="6"/>
    </w:p>
    <w:p w:rsidR="00E562F8" w:rsidRDefault="00E562F8" w:rsidP="006265DC">
      <w:pPr>
        <w:tabs>
          <w:tab w:val="num" w:pos="360"/>
        </w:tabs>
        <w:ind w:left="360"/>
        <w:jc w:val="both"/>
        <w:rPr>
          <w:szCs w:val="22"/>
        </w:rPr>
      </w:pPr>
    </w:p>
    <w:p w:rsidR="00E562F8" w:rsidRDefault="00E562F8" w:rsidP="009C58E1">
      <w:pPr>
        <w:ind w:left="360"/>
        <w:jc w:val="both"/>
      </w:pPr>
      <w:r w:rsidRPr="007C32B5">
        <w:t>Wat betreft de nieuwe verkaveling Akersloot voor 16 woningen te Evergem</w:t>
      </w:r>
      <w:r>
        <w:t>,</w:t>
      </w:r>
      <w:r w:rsidRPr="007C32B5">
        <w:t xml:space="preserve"> waar u</w:t>
      </w:r>
      <w:r>
        <w:t xml:space="preserve"> in uw vraag</w:t>
      </w:r>
      <w:r w:rsidRPr="007C32B5">
        <w:t xml:space="preserve"> naar verwijst, heeft mijn administratie nagegaan in hoeverre de watertoets hier correct is verlopen</w:t>
      </w:r>
      <w:r>
        <w:t xml:space="preserve">. </w:t>
      </w:r>
      <w:r w:rsidRPr="007C32B5">
        <w:t xml:space="preserve">De verkaveling </w:t>
      </w:r>
      <w:r>
        <w:t>werd</w:t>
      </w:r>
      <w:r w:rsidRPr="007C32B5">
        <w:t xml:space="preserve"> door het gemeentebestuur vergund op 19 oktober 2009. Deze verkaveling is niet gelegen in overstromingsgevoelig gebied volgens de </w:t>
      </w:r>
      <w:r>
        <w:t>toen</w:t>
      </w:r>
      <w:r w:rsidRPr="007C32B5">
        <w:t xml:space="preserve"> geldende watertoetskaarten. Het college heeft zich in zijn beslissing gebaseerd op een gemotiveerd gunstig advies van de bevoegde waterbeheerder, de </w:t>
      </w:r>
      <w:r>
        <w:t>W</w:t>
      </w:r>
      <w:r w:rsidRPr="007C32B5">
        <w:t xml:space="preserve">atering </w:t>
      </w:r>
      <w:r>
        <w:t>“</w:t>
      </w:r>
      <w:r w:rsidRPr="007C32B5">
        <w:t>De Burggravenstroom</w:t>
      </w:r>
      <w:r>
        <w:t>”</w:t>
      </w:r>
      <w:r w:rsidRPr="007C32B5">
        <w:t>. In dit advies wordt gesteld dat het gebied niet gelegen is op de kaart van de overstromingsgevoelig gebieden</w:t>
      </w:r>
      <w:r>
        <w:t>. H</w:t>
      </w:r>
      <w:r w:rsidRPr="007C32B5">
        <w:t xml:space="preserve">et gebied </w:t>
      </w:r>
      <w:r>
        <w:t xml:space="preserve">is </w:t>
      </w:r>
      <w:r w:rsidRPr="007C32B5">
        <w:t>door de watering wel gekend als overstromingsgevoelig</w:t>
      </w:r>
      <w:r>
        <w:t xml:space="preserve"> en</w:t>
      </w:r>
      <w:r w:rsidRPr="007C32B5">
        <w:t xml:space="preserve"> daarom </w:t>
      </w:r>
      <w:r>
        <w:t xml:space="preserve">zijn </w:t>
      </w:r>
      <w:r w:rsidRPr="007C32B5">
        <w:t>compenserende maatregelen nodig</w:t>
      </w:r>
      <w:r>
        <w:t>. Volgens het advies van de watering voldoet</w:t>
      </w:r>
      <w:r w:rsidRPr="007C32B5">
        <w:t xml:space="preserve"> het verkavelingsontwerp ruimschoots aan deze maatregelen.</w:t>
      </w:r>
    </w:p>
    <w:p w:rsidR="00E562F8" w:rsidRDefault="00E562F8" w:rsidP="003554F8">
      <w:pPr>
        <w:ind w:left="360"/>
      </w:pPr>
    </w:p>
    <w:p w:rsidR="00E562F8" w:rsidRDefault="00E562F8" w:rsidP="009C58E1">
      <w:pPr>
        <w:ind w:left="360"/>
        <w:jc w:val="both"/>
      </w:pPr>
      <w:r>
        <w:t>De Vlaamse Regering heeft op 10 juni 2011 de wijziging van het watertoetsbesluit principieel definitief vastgesteld na advies van SERV en Minaraad met het oog op adviesvraag aan de Raad van State. In bijlage bij dit besluit zit een geactualiseerde kaart met de overstromingsgevoelige gebieden. De actualisatie houdt rekening met nieuwe modelleringen en recente overstromingen (inclusief de overstromingen van november 2010 en januari 2011). De betrokken verkaveling Akersloot ligt volgens deze nieuwe kaart deels in effectief en deels in overstromingsgevoelig gebied. Dat betekent evenwel niet dat er geen verkavelingsvergunning kan verleend worden, maar wel dat er advies aan de waterbeheerder moet gevraagd worden. Vermits het gemeentebestuur in dit specifieke geval zelf advies heeft gevraagd zonder de formele verplichting in het bestaande watertoetsbesluit en het advies van de waterbeheerder werd gevolgd, maakt dat dus de facto geen verschil uit.</w:t>
      </w:r>
    </w:p>
    <w:p w:rsidR="00E562F8" w:rsidRPr="007C32B5" w:rsidRDefault="00E562F8" w:rsidP="003554F8">
      <w:pPr>
        <w:ind w:left="360"/>
      </w:pPr>
    </w:p>
    <w:p w:rsidR="00E562F8" w:rsidRDefault="00E562F8" w:rsidP="009C58E1">
      <w:pPr>
        <w:ind w:left="360"/>
        <w:jc w:val="both"/>
      </w:pPr>
      <w:r w:rsidRPr="007C32B5">
        <w:t>Voor dit specifieke geval kan derhalve gesteld worden dat het gemeentebestuur hier een beslissing heeft genomen in overeenstemming met het ruimtelijk beleid dat ik wens te voeren, namelijk een beleid waarbij men zich voor gevallen waar een mogelijk schadelijk effect op het watersysteem verwacht kan worden, baseert op het advies van de bevoegde waterbeheerder.</w:t>
      </w:r>
    </w:p>
    <w:p w:rsidR="00E562F8" w:rsidRDefault="00E562F8" w:rsidP="006265DC">
      <w:pPr>
        <w:tabs>
          <w:tab w:val="num" w:pos="360"/>
        </w:tabs>
        <w:ind w:left="360"/>
        <w:jc w:val="both"/>
        <w:rPr>
          <w:szCs w:val="22"/>
        </w:rPr>
      </w:pPr>
    </w:p>
    <w:p w:rsidR="00E562F8" w:rsidRPr="009C58E1" w:rsidRDefault="00E562F8" w:rsidP="009D77F0">
      <w:pPr>
        <w:numPr>
          <w:ilvl w:val="0"/>
          <w:numId w:val="14"/>
        </w:numPr>
        <w:jc w:val="both"/>
      </w:pPr>
      <w:r>
        <w:rPr>
          <w:szCs w:val="22"/>
        </w:rPr>
        <w:t xml:space="preserve">De discussie wordt vaak verengd tot het wel of niet bouwen in overstromingsgevoelige gebieden. We moeten er vooral over waken dat, via de correcte toepassing van de watertoets en een aangepaste stedenbouwkundige verordening, de schadelijke effecten worden vermeden. Essentieel zijn twee elementen. Het drietrapsprincipe vasthouden-bergen-afvoeren wordt bij voorkeur maximaal toegepast. Hemelwater moet waar mogelijk ofwel kunnen infiltreren in de bodem ofwel hergebruikt worden. Op die manier wordt de versnelde toevoer van bijkomend water tijdens piekdebieten voorkomen. In tweede instantie moet maximaal ruimte voor water behouden blijven (of hersteld worden). </w:t>
      </w:r>
    </w:p>
    <w:p w:rsidR="00E562F8" w:rsidRPr="009C58E1" w:rsidRDefault="00E562F8" w:rsidP="009C58E1">
      <w:pPr>
        <w:jc w:val="both"/>
      </w:pPr>
    </w:p>
    <w:p w:rsidR="00E562F8" w:rsidRPr="003554F8" w:rsidRDefault="00E562F8" w:rsidP="00BA3567">
      <w:pPr>
        <w:ind w:left="360"/>
        <w:jc w:val="both"/>
      </w:pPr>
      <w:r>
        <w:rPr>
          <w:szCs w:val="22"/>
        </w:rPr>
        <w:t>Een bouwverbod in overstromingsgevoelige gebieden is echter een te verregaande en ongenuan</w:t>
      </w:r>
      <w:r>
        <w:rPr>
          <w:szCs w:val="22"/>
        </w:rPr>
        <w:softHyphen/>
        <w:t>ceerde maatregel. Bij de vergunningverlening moet er wel over gewaakt worden dat er geen ruimte om water te bergen verloren gaat. De insteek van de watertoetsadviezen is daarbij essentieel. Het is in veel gevallen mogelijk, via een aangepast ontwerp of via voorwaarden die in de vergunning kunnen opgelegd worden, te garanderen dat de nieuwe gebouwen voldoende hoog gebouwd worden (dat kan zowel via bouwen op palen, op overstroombare kruipkelders als via het ophogen van het deel van het perceel waar het gebouw wordt voorzien) en dat de bestaande ruimte voor water niet wordt verminderd (bv. door het op te hogen deel te compenseren door een ander deel van het perceel af te graven). Mijn administratie bereidt op dit moment samen met de waterbeheerders binnen de CIW een aangepaste stedenbouwkundige verordening hemelwater voor. Ik ben van plan, zodra binnen de CIW hierover een consensus wordt bereikt, deze aangepaste verordening te agenderen op de Vlaamse Regering</w:t>
      </w:r>
    </w:p>
    <w:p w:rsidR="00E562F8" w:rsidRDefault="00E562F8" w:rsidP="003554F8">
      <w:pPr>
        <w:jc w:val="both"/>
        <w:rPr>
          <w:szCs w:val="22"/>
        </w:rPr>
      </w:pPr>
    </w:p>
    <w:p w:rsidR="00E562F8" w:rsidRPr="00533E65" w:rsidRDefault="00E562F8" w:rsidP="003D0C84">
      <w:pPr>
        <w:pStyle w:val="ListParagraph"/>
        <w:numPr>
          <w:ilvl w:val="0"/>
          <w:numId w:val="16"/>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533E65">
        <w:rPr>
          <w:rFonts w:ascii="Times New Roman" w:hAnsi="Times New Roman"/>
          <w:sz w:val="22"/>
          <w:szCs w:val="22"/>
          <w:lang w:eastAsia="nl-NL"/>
        </w:rPr>
        <w:t xml:space="preserve">Uit de recente evaluaties van het instrument watertoets door de Coördinatiecommissie Intergraal Waterbeleid is duidelijk naar voor gekomen dat er twee initiatieven essentieel zijn voor een betere werking ervan: de vereenvoudiging van de watertoets procedures en de omkadering van de watertoets ten behoeve van initiatiefnemers, vergunningverleners en adviesverleners. Als eerste initiatief </w:t>
      </w:r>
      <w:r>
        <w:rPr>
          <w:rFonts w:ascii="Times New Roman" w:hAnsi="Times New Roman"/>
          <w:sz w:val="22"/>
          <w:szCs w:val="22"/>
          <w:lang w:eastAsia="nl-NL"/>
        </w:rPr>
        <w:t xml:space="preserve">werd </w:t>
      </w:r>
      <w:r w:rsidRPr="00533E65">
        <w:rPr>
          <w:rFonts w:ascii="Times New Roman" w:hAnsi="Times New Roman"/>
          <w:sz w:val="22"/>
          <w:szCs w:val="22"/>
          <w:lang w:eastAsia="nl-NL"/>
        </w:rPr>
        <w:t>een voorstel tot aanpassing van het uitvoeringsbesluit watert</w:t>
      </w:r>
      <w:r>
        <w:rPr>
          <w:rFonts w:ascii="Times New Roman" w:hAnsi="Times New Roman"/>
          <w:sz w:val="22"/>
          <w:szCs w:val="22"/>
          <w:lang w:eastAsia="nl-NL"/>
        </w:rPr>
        <w:t>oets voorgelegd aan de Vlaamse R</w:t>
      </w:r>
      <w:r w:rsidRPr="00533E65">
        <w:rPr>
          <w:rFonts w:ascii="Times New Roman" w:hAnsi="Times New Roman"/>
          <w:sz w:val="22"/>
          <w:szCs w:val="22"/>
          <w:lang w:eastAsia="nl-NL"/>
        </w:rPr>
        <w:t xml:space="preserve">egering, die op 10 juni 2011 haar tweede principiële goedkeuring aan dit voorstel verleende. De toepassing van de watertoets zal voor vergunningverleners een stuk eenvoudiger worden en voor alle betrokken partijen ook transparanter. </w:t>
      </w:r>
    </w:p>
    <w:p w:rsidR="00E562F8" w:rsidRPr="003D67D1" w:rsidRDefault="00E562F8" w:rsidP="003D0C84">
      <w:pPr>
        <w:ind w:left="417"/>
        <w:jc w:val="both"/>
        <w:rPr>
          <w:szCs w:val="22"/>
        </w:rPr>
      </w:pPr>
      <w:r w:rsidRPr="00532560">
        <w:rPr>
          <w:szCs w:val="22"/>
        </w:rPr>
        <w:t>Als tweede initiatief wordt momenteel een kader uitgewerkt voor een betere toepassing van de watertoets. Dit kader houdt naast opleidingen onder meer een aanpassing en uitbreiding van het watertoets</w:t>
      </w:r>
      <w:r>
        <w:rPr>
          <w:szCs w:val="22"/>
        </w:rPr>
        <w:t>-internet-instrument en de watertoets-</w:t>
      </w:r>
      <w:r w:rsidRPr="00532560">
        <w:rPr>
          <w:szCs w:val="22"/>
        </w:rPr>
        <w:t>website in, zodat niet alleen vergunningverleners via dit instrument beter worden ondersteund bij de toepassing van de watertoets, maar ook de andere betrokken partijen</w:t>
      </w:r>
      <w:r>
        <w:rPr>
          <w:szCs w:val="22"/>
        </w:rPr>
        <w:t>,</w:t>
      </w:r>
      <w:r w:rsidRPr="00532560">
        <w:rPr>
          <w:szCs w:val="22"/>
        </w:rPr>
        <w:t xml:space="preserve"> zoals initiatiefnemers, ontwerpers en adviesverleners. Finaal zal ook de bewustwording en de verantwoordelijkheid van de initiatiefnemer moeten versterkt worden, met het oog op het zo vroeg mogelijk in het beslissingsproces rekening houden met de kenmerken van het watersysteem. Ook daar lopen verschillende initiatieven in </w:t>
      </w:r>
      <w:r>
        <w:rPr>
          <w:szCs w:val="22"/>
        </w:rPr>
        <w:t>samenspraak met de verschillende betrokken ministers.</w:t>
      </w:r>
    </w:p>
    <w:sectPr w:rsidR="00E562F8" w:rsidRPr="003D67D1"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F523A6"/>
    <w:multiLevelType w:val="hybridMultilevel"/>
    <w:tmpl w:val="87983D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19976174"/>
    <w:multiLevelType w:val="hybridMultilevel"/>
    <w:tmpl w:val="D578E80C"/>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3">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2CC766B"/>
    <w:multiLevelType w:val="hybridMultilevel"/>
    <w:tmpl w:val="F1EA295C"/>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5">
    <w:nsid w:val="385667D8"/>
    <w:multiLevelType w:val="hybridMultilevel"/>
    <w:tmpl w:val="1FD6C56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4098593A"/>
    <w:multiLevelType w:val="hybridMultilevel"/>
    <w:tmpl w:val="D560636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4CBD3C06"/>
    <w:multiLevelType w:val="hybridMultilevel"/>
    <w:tmpl w:val="F46A44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nsid w:val="4E2403CC"/>
    <w:multiLevelType w:val="hybridMultilevel"/>
    <w:tmpl w:val="C856166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nsid w:val="51032C68"/>
    <w:multiLevelType w:val="hybridMultilevel"/>
    <w:tmpl w:val="4692B2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55624B64"/>
    <w:multiLevelType w:val="hybridMultilevel"/>
    <w:tmpl w:val="18EC961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5F86501F"/>
    <w:multiLevelType w:val="hybridMultilevel"/>
    <w:tmpl w:val="12EAE824"/>
    <w:lvl w:ilvl="0" w:tplc="F6BA024A">
      <w:start w:val="4"/>
      <w:numFmt w:val="decimal"/>
      <w:lvlText w:val="%1."/>
      <w:lvlJc w:val="left"/>
      <w:pPr>
        <w:ind w:left="417" w:hanging="360"/>
      </w:pPr>
      <w:rPr>
        <w:rFonts w:cs="Times New Roman"/>
      </w:rPr>
    </w:lvl>
    <w:lvl w:ilvl="1" w:tplc="08130019">
      <w:start w:val="1"/>
      <w:numFmt w:val="decimal"/>
      <w:lvlText w:val="%2."/>
      <w:lvlJc w:val="left"/>
      <w:pPr>
        <w:tabs>
          <w:tab w:val="num" w:pos="1440"/>
        </w:tabs>
        <w:ind w:left="1440" w:hanging="360"/>
      </w:pPr>
      <w:rPr>
        <w:rFonts w:cs="Times New Roman"/>
      </w:rPr>
    </w:lvl>
    <w:lvl w:ilvl="2" w:tplc="0813001B">
      <w:start w:val="1"/>
      <w:numFmt w:val="decimal"/>
      <w:lvlText w:val="%3."/>
      <w:lvlJc w:val="left"/>
      <w:pPr>
        <w:tabs>
          <w:tab w:val="num" w:pos="2160"/>
        </w:tabs>
        <w:ind w:left="2160" w:hanging="360"/>
      </w:pPr>
      <w:rPr>
        <w:rFonts w:cs="Times New Roman"/>
      </w:rPr>
    </w:lvl>
    <w:lvl w:ilvl="3" w:tplc="0813000F">
      <w:start w:val="1"/>
      <w:numFmt w:val="decimal"/>
      <w:lvlText w:val="%4."/>
      <w:lvlJc w:val="left"/>
      <w:pPr>
        <w:tabs>
          <w:tab w:val="num" w:pos="2880"/>
        </w:tabs>
        <w:ind w:left="2880" w:hanging="360"/>
      </w:pPr>
      <w:rPr>
        <w:rFonts w:cs="Times New Roman"/>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12">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3">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4"/>
  </w:num>
  <w:num w:numId="4">
    <w:abstractNumId w:val="9"/>
  </w:num>
  <w:num w:numId="5">
    <w:abstractNumId w:val="13"/>
  </w:num>
  <w:num w:numId="6">
    <w:abstractNumId w:val="0"/>
  </w:num>
  <w:num w:numId="7">
    <w:abstractNumId w:val="3"/>
  </w:num>
  <w:num w:numId="8">
    <w:abstractNumId w:val="10"/>
  </w:num>
  <w:num w:numId="9">
    <w:abstractNumId w:val="7"/>
  </w:num>
  <w:num w:numId="10">
    <w:abstractNumId w:val="1"/>
  </w:num>
  <w:num w:numId="11">
    <w:abstractNumId w:val="5"/>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2B5"/>
    <w:rsid w:val="00015BF7"/>
    <w:rsid w:val="0008172E"/>
    <w:rsid w:val="000976E9"/>
    <w:rsid w:val="000C4E8C"/>
    <w:rsid w:val="000F3532"/>
    <w:rsid w:val="001764EC"/>
    <w:rsid w:val="00210C07"/>
    <w:rsid w:val="00266E3B"/>
    <w:rsid w:val="00296256"/>
    <w:rsid w:val="00326A58"/>
    <w:rsid w:val="00336BBF"/>
    <w:rsid w:val="00347B09"/>
    <w:rsid w:val="003554F8"/>
    <w:rsid w:val="003D0C84"/>
    <w:rsid w:val="003D67D1"/>
    <w:rsid w:val="00415FAE"/>
    <w:rsid w:val="004161EB"/>
    <w:rsid w:val="005208D5"/>
    <w:rsid w:val="00532560"/>
    <w:rsid w:val="00533E65"/>
    <w:rsid w:val="005C4464"/>
    <w:rsid w:val="005C74F7"/>
    <w:rsid w:val="005E38CA"/>
    <w:rsid w:val="006265DC"/>
    <w:rsid w:val="0064659D"/>
    <w:rsid w:val="006548DD"/>
    <w:rsid w:val="0071248C"/>
    <w:rsid w:val="00722E58"/>
    <w:rsid w:val="007252C7"/>
    <w:rsid w:val="00735E21"/>
    <w:rsid w:val="00752009"/>
    <w:rsid w:val="00787964"/>
    <w:rsid w:val="007A1490"/>
    <w:rsid w:val="007C32B5"/>
    <w:rsid w:val="008A713D"/>
    <w:rsid w:val="008D5DB4"/>
    <w:rsid w:val="00924D85"/>
    <w:rsid w:val="009347E0"/>
    <w:rsid w:val="009C58E1"/>
    <w:rsid w:val="009D7043"/>
    <w:rsid w:val="009D77F0"/>
    <w:rsid w:val="009E72BD"/>
    <w:rsid w:val="00A41A6A"/>
    <w:rsid w:val="00AF64E1"/>
    <w:rsid w:val="00AF6E4D"/>
    <w:rsid w:val="00B45EB2"/>
    <w:rsid w:val="00B659B0"/>
    <w:rsid w:val="00BA3567"/>
    <w:rsid w:val="00BB7612"/>
    <w:rsid w:val="00BE425A"/>
    <w:rsid w:val="00C15BA8"/>
    <w:rsid w:val="00CE1141"/>
    <w:rsid w:val="00D71D99"/>
    <w:rsid w:val="00D754F2"/>
    <w:rsid w:val="00DB41C0"/>
    <w:rsid w:val="00DC00E1"/>
    <w:rsid w:val="00DC4DB6"/>
    <w:rsid w:val="00DD4121"/>
    <w:rsid w:val="00E31F4D"/>
    <w:rsid w:val="00E55200"/>
    <w:rsid w:val="00E562F8"/>
    <w:rsid w:val="00F10CD5"/>
    <w:rsid w:val="00F31EBD"/>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BFB"/>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BC4BFB"/>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BC4BFB"/>
    <w:rPr>
      <w:rFonts w:asciiTheme="majorHAnsi" w:eastAsiaTheme="majorEastAsia" w:hAnsiTheme="majorHAnsi" w:cstheme="majorBidi"/>
      <w:b/>
      <w:bCs/>
      <w:sz w:val="26"/>
      <w:szCs w:val="26"/>
      <w:lang w:val="nl-NL" w:eastAsia="nl-NL"/>
    </w:rPr>
  </w:style>
  <w:style w:type="paragraph" w:customStyle="1" w:styleId="SVTitel">
    <w:name w:val="SV Titel"/>
    <w:basedOn w:val="Normal"/>
    <w:uiPriority w:val="99"/>
    <w:rsid w:val="00735E21"/>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BC4BFB"/>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character" w:styleId="Hyperlink">
    <w:name w:val="Hyperlink"/>
    <w:basedOn w:val="DefaultParagraphFont"/>
    <w:uiPriority w:val="99"/>
    <w:rsid w:val="00735E21"/>
    <w:rPr>
      <w:rFonts w:cs="Times New Roman"/>
      <w:color w:val="0000FF"/>
      <w:u w:val="single"/>
    </w:rPr>
  </w:style>
  <w:style w:type="paragraph" w:styleId="DocumentMap">
    <w:name w:val="Document Map"/>
    <w:basedOn w:val="Normal"/>
    <w:link w:val="DocumentMapChar"/>
    <w:uiPriority w:val="99"/>
    <w:semiHidden/>
    <w:rsid w:val="007879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C4BFB"/>
    <w:rPr>
      <w:sz w:val="0"/>
      <w:szCs w:val="0"/>
      <w:lang w:val="nl-NL" w:eastAsia="nl-NL"/>
    </w:rPr>
  </w:style>
  <w:style w:type="paragraph" w:customStyle="1" w:styleId="Tekstbrief">
    <w:name w:val="Tekst brief"/>
    <w:basedOn w:val="CommentText"/>
    <w:uiPriority w:val="99"/>
    <w:semiHidden/>
    <w:rsid w:val="007A1490"/>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7A14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7A1490"/>
    <w:rPr>
      <w:sz w:val="20"/>
      <w:szCs w:val="20"/>
    </w:rPr>
  </w:style>
  <w:style w:type="character" w:customStyle="1" w:styleId="CommentTextChar">
    <w:name w:val="Comment Text Char"/>
    <w:basedOn w:val="DefaultParagraphFont"/>
    <w:link w:val="CommentText"/>
    <w:uiPriority w:val="99"/>
    <w:semiHidden/>
    <w:rsid w:val="00BC4BFB"/>
    <w:rPr>
      <w:sz w:val="20"/>
      <w:szCs w:val="20"/>
      <w:lang w:val="nl-NL" w:eastAsia="nl-NL"/>
    </w:rPr>
  </w:style>
  <w:style w:type="paragraph" w:customStyle="1" w:styleId="StandaardSV">
    <w:name w:val="Standaard SV"/>
    <w:basedOn w:val="Normal"/>
    <w:uiPriority w:val="99"/>
    <w:rsid w:val="007C32B5"/>
    <w:pPr>
      <w:jc w:val="both"/>
    </w:pPr>
    <w:rPr>
      <w:szCs w:val="20"/>
    </w:rPr>
  </w:style>
  <w:style w:type="paragraph" w:styleId="ListParagraph">
    <w:name w:val="List Paragraph"/>
    <w:basedOn w:val="Normal"/>
    <w:uiPriority w:val="99"/>
    <w:qFormat/>
    <w:rsid w:val="004161EB"/>
    <w:pPr>
      <w:tabs>
        <w:tab w:val="left" w:pos="284"/>
        <w:tab w:val="left" w:pos="567"/>
        <w:tab w:val="left" w:pos="851"/>
        <w:tab w:val="left" w:pos="1134"/>
        <w:tab w:val="center" w:pos="4253"/>
        <w:tab w:val="right" w:pos="8278"/>
      </w:tabs>
      <w:suppressAutoHyphens/>
      <w:ind w:left="720"/>
      <w:contextualSpacing/>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852381334">
      <w:marLeft w:val="0"/>
      <w:marRight w:val="0"/>
      <w:marTop w:val="0"/>
      <w:marBottom w:val="0"/>
      <w:divBdr>
        <w:top w:val="none" w:sz="0" w:space="0" w:color="auto"/>
        <w:left w:val="none" w:sz="0" w:space="0" w:color="auto"/>
        <w:bottom w:val="none" w:sz="0" w:space="0" w:color="auto"/>
        <w:right w:val="none" w:sz="0" w:space="0" w:color="auto"/>
      </w:divBdr>
    </w:div>
    <w:div w:id="852381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vdwalljp\Application%20Data\Microsoft\Templates\antwoord%20schriftelijke%20vraag%20-%20ph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schriftelijke vraag - phm</Template>
  <TotalTime>7</TotalTime>
  <Pages>2</Pages>
  <Words>1034</Words>
  <Characters>5688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Definitief antwoord op Schriftelijke Vraag</dc:title>
  <dc:subject>Antwoord op Schriftelijke Vraag</dc:subject>
  <dc:creator>vdwalljp</dc:creator>
  <cp:keywords/>
  <dc:description/>
  <cp:lastModifiedBy>Nathalie De Keyzer</cp:lastModifiedBy>
  <cp:revision>5</cp:revision>
  <cp:lastPrinted>2011-06-20T09:30:00Z</cp:lastPrinted>
  <dcterms:created xsi:type="dcterms:W3CDTF">2011-06-30T15:00:00Z</dcterms:created>
  <dcterms:modified xsi:type="dcterms:W3CDTF">2011-07-05T06:36:00Z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2011-06-17T00:00:00Z</vt:lpwstr>
  </property>
  <property fmtid="{D5CDD505-2E9C-101B-9397-08002B2CF9AE}" pid="3" name="Kenmerk">
    <vt:lpwstr/>
  </property>
  <property fmtid="{D5CDD505-2E9C-101B-9397-08002B2CF9AE}" pid="4" name="NaamAfzender">
    <vt:lpwstr>Johan Vandewalle</vt:lpwstr>
  </property>
  <property fmtid="{D5CDD505-2E9C-101B-9397-08002B2CF9AE}" pid="5" name="AardVanVerzoek">
    <vt:lpwstr>;#Voor ontwerp van antwoord (op papier en per elektronische drager) door de minister te ondertekenen;#</vt:lpwstr>
  </property>
  <property fmtid="{D5CDD505-2E9C-101B-9397-08002B2CF9AE}" pid="6" name="Extra Opmerkingen">
    <vt:lpwstr>&lt;div&gt;&lt;/div&gt;</vt:lpwstr>
  </property>
  <property fmtid="{D5CDD505-2E9C-101B-9397-08002B2CF9AE}" pid="7" name="ContentTypeId">
    <vt:lpwstr>0x01010048A8B8501DB10F40A45D19CD041E950903001EA6A9587636CB4F887F70990F164C51</vt:lpwstr>
  </property>
  <property fmtid="{D5CDD505-2E9C-101B-9397-08002B2CF9AE}" pid="8" name="Finaal Antwoord">
    <vt:lpwstr>0</vt:lpwstr>
  </property>
  <property fmtid="{D5CDD505-2E9C-101B-9397-08002B2CF9AE}" pid="9" name="ContentType">
    <vt:lpwstr>Antwoord schriftelijke vraag - Muyters</vt:lpwstr>
  </property>
  <property fmtid="{D5CDD505-2E9C-101B-9397-08002B2CF9AE}" pid="10" name="AanduidenVanInstantie">
    <vt:lpwstr>;#Departement RWO;#</vt:lpwstr>
  </property>
  <property fmtid="{D5CDD505-2E9C-101B-9397-08002B2CF9AE}" pid="11" name="AntwoordBinnenDertigDagen">
    <vt:lpwstr>0</vt:lpwstr>
  </property>
</Properties>
</file>