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1" w:rsidRDefault="00E67361" w:rsidP="00DB48A8">
      <w:pPr>
        <w:jc w:val="both"/>
        <w:outlineLvl w:val="0"/>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E67361" w:rsidRDefault="00E67361" w:rsidP="00DB48A8">
      <w:pPr>
        <w:jc w:val="both"/>
        <w:outlineLvl w:val="0"/>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E67361" w:rsidRDefault="00E67361" w:rsidP="00DB48A8">
      <w:pPr>
        <w:pStyle w:val="StandaardSV"/>
        <w:pBdr>
          <w:bottom w:val="single" w:sz="4" w:space="1" w:color="auto"/>
        </w:pBdr>
        <w:rPr>
          <w:lang w:val="nl-BE"/>
        </w:rPr>
      </w:pPr>
    </w:p>
    <w:p w:rsidR="00E67361" w:rsidRDefault="00E67361" w:rsidP="00DB48A8">
      <w:pPr>
        <w:jc w:val="both"/>
        <w:rPr>
          <w:sz w:val="22"/>
        </w:rPr>
      </w:pPr>
    </w:p>
    <w:p w:rsidR="00E67361" w:rsidRPr="003E54B4" w:rsidRDefault="00E67361" w:rsidP="00266479">
      <w:pPr>
        <w:jc w:val="both"/>
        <w:outlineLvl w:val="0"/>
        <w:rPr>
          <w:rFonts w:ascii="Times New Roman Vet" w:hAnsi="Times New Roman Vet"/>
          <w:b/>
          <w:smallCaps/>
          <w:sz w:val="22"/>
        </w:rPr>
      </w:pPr>
      <w:r>
        <w:rPr>
          <w:rFonts w:ascii="Times New Roman Vet" w:hAnsi="Times New Roman Vet"/>
          <w:b/>
          <w:smallCaps/>
          <w:sz w:val="22"/>
        </w:rPr>
        <w:t>a</w:t>
      </w:r>
      <w:r w:rsidRPr="003E54B4">
        <w:rPr>
          <w:rFonts w:ascii="Times New Roman Vet" w:hAnsi="Times New Roman Vet"/>
          <w:b/>
          <w:smallCaps/>
          <w:sz w:val="22"/>
        </w:rPr>
        <w:t xml:space="preserve">ntwoord </w:t>
      </w:r>
    </w:p>
    <w:p w:rsidR="00E67361" w:rsidRDefault="00E67361" w:rsidP="00266479">
      <w:pPr>
        <w:jc w:val="both"/>
        <w:outlineLvl w:val="0"/>
        <w:rPr>
          <w:sz w:val="22"/>
        </w:rPr>
      </w:pPr>
      <w:r>
        <w:rPr>
          <w:sz w:val="22"/>
        </w:rPr>
        <w:t>op vraag nr. 415 van 8 april 2011</w:t>
      </w:r>
    </w:p>
    <w:p w:rsidR="00E67361" w:rsidRDefault="00E67361" w:rsidP="00DB48A8">
      <w:pPr>
        <w:jc w:val="both"/>
        <w:rPr>
          <w:b/>
          <w:sz w:val="22"/>
        </w:rPr>
      </w:pPr>
      <w:r>
        <w:rPr>
          <w:sz w:val="22"/>
        </w:rPr>
        <w:t xml:space="preserve">van </w:t>
      </w:r>
      <w:r>
        <w:rPr>
          <w:b/>
          <w:smallCaps/>
          <w:sz w:val="22"/>
        </w:rPr>
        <w:t>matthias diependaele</w:t>
      </w:r>
    </w:p>
    <w:p w:rsidR="00E67361" w:rsidRDefault="00E67361" w:rsidP="00DB48A8">
      <w:pPr>
        <w:pBdr>
          <w:bottom w:val="single" w:sz="4" w:space="1" w:color="auto"/>
        </w:pBdr>
        <w:jc w:val="both"/>
        <w:rPr>
          <w:sz w:val="22"/>
        </w:rPr>
      </w:pPr>
    </w:p>
    <w:p w:rsidR="00E67361" w:rsidRDefault="00E67361" w:rsidP="00DB48A8">
      <w:pPr>
        <w:pStyle w:val="StandaardSV"/>
      </w:pPr>
    </w:p>
    <w:p w:rsidR="00E67361" w:rsidRDefault="00E67361" w:rsidP="00DB48A8">
      <w:pPr>
        <w:pStyle w:val="StandaardSV"/>
      </w:pPr>
    </w:p>
    <w:p w:rsidR="00E67361" w:rsidRDefault="00E67361" w:rsidP="007E460A">
      <w:pPr>
        <w:pStyle w:val="StandaardSV"/>
        <w:numPr>
          <w:ilvl w:val="0"/>
          <w:numId w:val="1"/>
        </w:numPr>
        <w:tabs>
          <w:tab w:val="num" w:pos="360"/>
        </w:tabs>
        <w:ind w:left="360"/>
        <w:rPr>
          <w:szCs w:val="22"/>
        </w:rPr>
      </w:pPr>
      <w:r w:rsidRPr="007E460A">
        <w:t>Ik kan mij niet echt vinden in de veronderstelling die u maakt, dat de doelstellingen die we afspreken in het kader van de EAD-convenants niet realistisch zouden zijn. U refereert naar de regio Zuid-Oost Vlaanderen om aan te geven dat de doelstellingen daar moeilijk haalbaar zouden zijn. Zoals u weet gaat het bij het stimuleren van een diversiteitsbeleid in bedrijfsorganisaties om bedrijven waar een personeelsbeleid gevoerd en geoptimaliseerd kan worden. In 2008 telde de Resoc-regio Zuid-Oost-Vlaanderen 8.377 vestigingen met loontrekkende tewerkstelling. Het gaat hierbij om vestigingen, zij kunnen dus deel uitmaken van één groter bedrijf. Van deze ruim 8000 vestigingen heeft ruim 37% (3109) meer dan 5 werknemers in dienst. Als ik daar de gerealiseerde en ingediende 209 diversiteitplannen voor de regio in de periode 2000-2010 tegenover zet, lijkt het me dat er nog ruimte is voor prospecties en potentieel van realisaties op het vlak van diversiteits</w:t>
      </w:r>
      <w:r>
        <w:softHyphen/>
      </w:r>
      <w:r w:rsidRPr="007E460A">
        <w:t>beleid. Op jaarbasis worden er 18 nieuwe diversiteitsplannen verwacht per projectontwikkelaar. In de regio Zuid-Oost-Vlaanderen worden er momenteel 3 projectontwikkelaars ingeschakeld. Op jaarbasis gaat dat inderdaad om een streefdoel van 54 nieuwe diversiteitplannen op organisatie</w:t>
      </w:r>
      <w:r>
        <w:softHyphen/>
      </w:r>
      <w:r w:rsidRPr="007E460A">
        <w:t>niveau. Dit lijkt me een realistisch en haalbaar streven.</w:t>
      </w:r>
    </w:p>
    <w:p w:rsidR="00E67361" w:rsidRDefault="00E67361" w:rsidP="007E460A">
      <w:pPr>
        <w:pStyle w:val="StandaardSV"/>
        <w:ind w:left="360"/>
        <w:rPr>
          <w:szCs w:val="22"/>
        </w:rPr>
      </w:pPr>
    </w:p>
    <w:p w:rsidR="00E67361" w:rsidRPr="00266479" w:rsidRDefault="00E67361" w:rsidP="003E54B4">
      <w:pPr>
        <w:pStyle w:val="StandaardSV"/>
        <w:numPr>
          <w:ilvl w:val="0"/>
          <w:numId w:val="1"/>
        </w:numPr>
        <w:tabs>
          <w:tab w:val="clear" w:pos="720"/>
          <w:tab w:val="num" w:pos="360"/>
        </w:tabs>
        <w:ind w:left="360"/>
      </w:pPr>
      <w:r w:rsidRPr="00266479">
        <w:rPr>
          <w:szCs w:val="22"/>
        </w:rPr>
        <w:t>Op basis van elke convenant die ik met de RESOC-SERR regio’s afspreek wil ik bekijken welke doelstellingen haalbaar en realistisch zijn. In het geval van Zuid-Oost-Vlaanderen zie ik op basis van de eerder vermelde cijfers niet meteen aanleiding om aan de doelstelling te wijzigen, maar ik zal er met het oog op de voorbereiding van 2012 en volgende jaren zeker naar willen kijken of doelstellingen aangepast of uitgebreid moeten worden.</w:t>
      </w:r>
    </w:p>
    <w:p w:rsidR="00E67361" w:rsidRDefault="00E67361" w:rsidP="00266479">
      <w:pPr>
        <w:pStyle w:val="ListParagraph"/>
      </w:pPr>
    </w:p>
    <w:p w:rsidR="00E67361" w:rsidRDefault="00E67361" w:rsidP="003E54B4">
      <w:pPr>
        <w:pStyle w:val="StandaardSV"/>
        <w:numPr>
          <w:ilvl w:val="0"/>
          <w:numId w:val="1"/>
        </w:numPr>
        <w:tabs>
          <w:tab w:val="clear" w:pos="720"/>
          <w:tab w:val="num" w:pos="360"/>
        </w:tabs>
        <w:ind w:left="360"/>
      </w:pPr>
      <w:r>
        <w:t xml:space="preserve">De tabel hieronder geeft het aantal bereikte organisaties met diversiteitsplannen weer voor de jaren 2008, 2009 en 2010, per provincie. Voor de globale cijfers over een langere periode (2002-2009) wil ik verwijzen naar de monitoringgegevens die u terug vindt op de website </w:t>
      </w:r>
      <w:hyperlink r:id="rId5" w:history="1">
        <w:r w:rsidRPr="008E40BD">
          <w:rPr>
            <w:rStyle w:val="Hyperlink"/>
          </w:rPr>
          <w:t>www.werk.be</w:t>
        </w:r>
      </w:hyperlink>
      <w:r>
        <w:t xml:space="preserve"> (</w:t>
      </w:r>
      <w:hyperlink r:id="rId6" w:history="1">
        <w:r w:rsidRPr="00F01AA5">
          <w:rPr>
            <w:rStyle w:val="Hyperlink"/>
          </w:rPr>
          <w:t>http://www.werk.be/c-en-o/cijfers/beleidsopvolging/maatregelen_en_programmas/Diversiteits</w:t>
        </w:r>
        <w:r w:rsidRPr="00F01AA5">
          <w:rPr>
            <w:rStyle w:val="Hyperlink"/>
          </w:rPr>
          <w:softHyphen/>
          <w:t>plannen.htm</w:t>
        </w:r>
      </w:hyperlink>
      <w:r>
        <w:t>)</w:t>
      </w:r>
    </w:p>
    <w:p w:rsidR="00E67361" w:rsidRDefault="00E67361" w:rsidP="00266479">
      <w:pPr>
        <w:pStyle w:val="ListParagraph"/>
      </w:pPr>
    </w:p>
    <w:p w:rsidR="00E67361" w:rsidRDefault="00E67361" w:rsidP="003E54B4">
      <w:pPr>
        <w:pStyle w:val="StandaardSV"/>
        <w:ind w:left="360"/>
      </w:pPr>
      <w:r>
        <w:t>De gegevens bij de waarde BNCTO zijn het aantal bereikte organisaties in het Brussels Hoofdstedelijk Gewest. Deze werden begeleid door projectontwikkelaars van het Brussels Nederlandstalig Comité voor Tewerkstelling en Opleiding (BNCTO).</w:t>
      </w:r>
    </w:p>
    <w:p w:rsidR="00E67361" w:rsidRDefault="00E67361" w:rsidP="00266479">
      <w:pPr>
        <w:pStyle w:val="StandaardSV"/>
        <w:ind w:left="720"/>
      </w:pPr>
    </w:p>
    <w:p w:rsidR="00E67361" w:rsidRDefault="00E67361" w:rsidP="00266479">
      <w:pPr>
        <w:pStyle w:val="StandaardSV"/>
        <w:ind w:left="720"/>
      </w:pPr>
      <w:r w:rsidRPr="0005587C">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ek 1" o:spid="_x0000_i1025" type="#_x0000_t75" style="width:455.25pt;height:2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nbx92gAAAAUBAAAPAAAAZHJzL2Rvd25y&#10;ZXYueG1sTI/NTsMwEITvSLyDtZW4UTsVgTTEqapWcKdU4rqNNz9qvI5iN03fHsMFLiuNZjTzbbGZ&#10;bS8mGn3nWEOyVCCIK2c6bjQcP98eMxA+IBvsHZOGG3nYlPd3BebGXfmDpkNoRCxhn6OGNoQhl9JX&#10;LVn0SzcQR692o8UQ5dhIM+I1ltterpR6lhY7jgstDrRrqTofLlbDdvf15N+P07rj/Ut646zem6TW&#10;+mExb19BBJrDXxh+8CM6lJHp5C5svOg1xEfC743eOlEpiJOGdJUpkGUh/9OX3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LmLhAg+AQAA4QEA&#10;ACAAAABkcnMvY2hhcnRzL19yZWxzL2NoYXJ0MS54bWwucmVsc4SRX0vDMBTF3wW/Qwno25a0gvhn&#10;7dhohcHmwE33EhixvW0z0yQkUTo/vXeisIHgy+Uccu/vXk5G475T0Qc4L41OSTxkJAJdmkrqJiXP&#10;64fBDYl8ELoSymhIyR48GWfnZ6MnUCLgkG+l9RFStE9JG4K9o9SXLXTCD40FjS+1cZ0IaF1DrSjf&#10;RAM0YeyaumMGyU6Y0axKiZtVMYnWe4ub/2ebupYl5KZ870CHP1ZQo2D5uoMyIFS4BkJKaqkAT6ac&#10;T4vHySpfMJa88GIznW8nG56DFS7AgbfdrAo+qStQmM1FwqagQFZ8DaJDl1+Kzt7nS86uDk5+RxpA&#10;Bn6kvVVCa9A8YTHjc7nzAY3B3k9ZtqhxVAgdhELx04sKs7oZYLnFErNhr3z/e//CVBhN0QdwWihC&#10;sxE9+ZjsCwAA//8DAFBLAwQUAAYACAAAACEAivnPyBwFAACzFwAAFQAAAGRycy9jaGFydHMvY2hh&#10;cnQxLnhtbOxY32/iOBB+P+n+h1zU1y4EKLRRYQW0e1qpe612ez3p3kxiIFfHjmxD4b+/8a84CYX2&#10;2Fb30pckHk/GM998njhz+XmTk2CNucgYHYbRp3YYYJqwNKOLYfjn/ZfT8zAQEtEUEUbxMNxiEX4e&#10;/frLZRInS8TljwIlOAAjVMTJMFxKWcStlkiWOEfiEyswhbk54zmSMOSLVsrRExjPSavTbvdb2kho&#10;DaAjDOQoo+59/pr32XyeJfiKJascU2m84JggCQiIZVaIcATBEUQXwRqRYUjJ6eQ6bCmhdlY9yEwS&#10;rB826sqzZDm6RPGMpds7DqooJkL+kFuC9aBQkuKOq1uK59+1TqsUaTm/44FatLIgiuVojKhEJJhh&#10;jrNHiQOAENFMgLdYBDmWQZrp7EmcSVGAAYrpJZiWI3UFy2oZuDon4UFqnwnaspUE95TEhbPO8FP3&#10;Soc0povxxiAQqehBzc8WhMkxx0hploaSeIZ492qqaKEmYHSVcWMiYcRAuOBsVUD+rZishITQUjMp&#10;MDicxFlqF+4aMeMptnbaRmJCEJJ/x3P1xnw0ISiNfjsZn/Sj+GQCV+WwngOtKQI+Kr1CTtmKykpY&#10;ShbAgsOwHSqN9WhM5RPmQFwdsg68UGgmsbdkBnpxeDTepDczIpQJsWRPD5AzzR6HXTmbIA0OXeVN&#10;36cnZ4P45Bqupe+gVfpuNtGUpXj0O6aYI6LV9NbS0mZ8Fr1mfLDtzuuheQwiiwHoXOzT6ZQ6Ubuu&#10;A1B4h83AQWSjBkgUQs8GrxJ3XU2ctwWZ9GH+VPBRr+HzbuxRZy88LvRo0LByIHIdMsxbbjcpfrZD&#10;cc0YR6rnKd7VFO/q/GvG/UeKT/6Y3t/u5O6D3qoMuBx32m9Mb0ga0Nsn7T3ovZ+6bmefdep59/x3&#10;gfcaGsdze7DD7c7L5ftMc/vsaG7fZPlsxRf1KNX+K/eIGbjK9FG8FQX0980z0uTcQfSa4g1pA3b7&#10;tHlbb1m8+/W0evI6esOHa5+K43fU79VVjid4ZPlcOaDYj+6BA8qgrRhuviBHHVBumZCnDwTBoRyO&#10;Th/HFHVoUxlVLPaMcOl+6zqu0nddTd+7ML2rvxPPxeWYfuAk40KPOno/eis/wfTdc0rvxVo+0OeU&#10;gf/k+Rqs8vTyUVyRPBenE45m8Bu0s2u9OQgMBq5efZR0sxkOpPsVJV1lD4jus/ceRL9o1GK/fx3P&#10;92uUNG/+zxyI+4XTeMf+X1YKuiX+oYJ+rgu6/ms4qqD/hT8Kuird69H/8d85gPQBz3363oPn0SsK&#10;+mDvXiiZ3tNtjWMKetl/ONydEEtUYNub2ZJMnTBMmUebr6mRd/udfu+ib3dKTX7ejbr9pr5WhC1Z&#10;bw5BARrrPlTNQMWwSBCsv1C8YDyDTp1u0BkX8ox+Qxu1kCr8XhFt7pgwKjPjBuTySy4D3z4YhrZ/&#10;AG1NtuIJvsnoI06h9WleyNE/jN9nyeM3xB+NKQqNTzMpQQ5dnnIRijfynpm5hDMhXMcMMKpgoaeg&#10;XacbQmgl2d+Y27fUyMjt+mRGxmRBjSyRFn2Q3s7nAtp92kbUdqCWMIL8GTwrTlRgejWeKSYYeo5m&#10;TRNmBWLb0XtniEvwmwBXuHIAYD01wdDSwxbUmRmocIA9Fjd4qvU08QLTVHGP6Kcy49KgUPY84T2j&#10;oY+e0BV9yMQtJdsaZmkmCuhP0kcxtiRYoMKuX7aUgUqYU0SukEQBhx7oMORfU9c+1Gq61z76FwAA&#10;//8DAFBLAQItABQABgAIAAAAIQCk8pWRHAEAAF4CAAATAAAAAAAAAAAAAAAAAAAAAABbQ29udGVu&#10;dF9UeXBlc10ueG1sUEsBAi0AFAAGAAgAAAAhADj9If/WAAAAlAEAAAsAAAAAAAAAAAAAAAAATQEA&#10;AF9yZWxzLy5yZWxzUEsBAi0AFAAGAAgAAAAhAM+dvH3aAAAABQEAAA8AAAAAAAAAAAAAAAAATAIA&#10;AGRycy9kb3ducmV2LnhtbFBLAQItABQABgAIAAAAIQAZnoJjCQEAADQCAAAOAAAAAAAAAAAAAAAA&#10;AFMDAABkcnMvZTJvRG9jLnhtbFBLAQItABQABgAIAAAAIQCrFs1GuQAAACIBAAAZAAAAAAAAAAAA&#10;AAAAAIgEAABkcnMvX3JlbHMvZTJvRG9jLnhtbC5yZWxzUEsBAi0AFAAGAAgAAAAhALmLhAg+AQAA&#10;4QEAACAAAAAAAAAAAAAAAAAAeAUAAGRycy9jaGFydHMvX3JlbHMvY2hhcnQxLnhtbC5yZWxzUEsB&#10;Ai0AFAAGAAgAAAAhAIr5z8gcBQAAsxcAABUAAAAAAAAAAAAAAAAA9AYAAGRycy9jaGFydHMvY2hh&#10;cnQxLnhtbFBLBQYAAAAABwAHAMsBAABDDAAAAAA=&#10;">
            <v:imagedata r:id="rId7" o:title="" cropbottom="-50f"/>
            <o:lock v:ext="edit" aspectratio="f"/>
          </v:shape>
        </w:pict>
      </w:r>
    </w:p>
    <w:p w:rsidR="00E67361" w:rsidRDefault="00E67361" w:rsidP="00266479">
      <w:pPr>
        <w:pStyle w:val="StandaardSV"/>
        <w:ind w:left="720"/>
      </w:pPr>
    </w:p>
    <w:p w:rsidR="00E67361" w:rsidRDefault="00E67361" w:rsidP="003E54B4">
      <w:pPr>
        <w:pStyle w:val="StandaardSV"/>
        <w:ind w:left="360"/>
      </w:pPr>
      <w:r>
        <w:t>Het totaal aantal bereikte organisaties bedroeg in 2008 674 organisaties, in 2009 waren dat 788 en in 2010 750.</w:t>
      </w:r>
    </w:p>
    <w:p w:rsidR="00E67361" w:rsidRDefault="00E67361" w:rsidP="00266479">
      <w:pPr>
        <w:pStyle w:val="StandaardSV"/>
        <w:ind w:left="720"/>
      </w:pPr>
    </w:p>
    <w:p w:rsidR="00E67361" w:rsidRDefault="00E67361" w:rsidP="003E54B4">
      <w:pPr>
        <w:pStyle w:val="StandaardSV"/>
        <w:ind w:left="360"/>
      </w:pPr>
      <w:r>
        <w:t>In de volgende tabel worden de organisaties die in 2008,2009 en 2010 een diversiteitsplan hadden, opgedeeld per sector.</w:t>
      </w:r>
    </w:p>
    <w:p w:rsidR="00E67361" w:rsidRDefault="00E67361" w:rsidP="00266479">
      <w:pPr>
        <w:pStyle w:val="StandaardSV"/>
        <w:ind w:left="720"/>
      </w:pPr>
    </w:p>
    <w:tbl>
      <w:tblPr>
        <w:tblW w:w="6545" w:type="dxa"/>
        <w:tblInd w:w="55" w:type="dxa"/>
        <w:tblCellMar>
          <w:left w:w="70" w:type="dxa"/>
          <w:right w:w="70" w:type="dxa"/>
        </w:tblCellMar>
        <w:tblLook w:val="00A0"/>
      </w:tblPr>
      <w:tblGrid>
        <w:gridCol w:w="3805"/>
        <w:gridCol w:w="820"/>
        <w:gridCol w:w="960"/>
        <w:gridCol w:w="960"/>
      </w:tblGrid>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rPr>
                <w:rFonts w:ascii="Calibri" w:hAnsi="Calibri" w:cs="Calibri"/>
                <w:b/>
                <w:bCs/>
                <w:color w:val="FFFFFF"/>
                <w:szCs w:val="22"/>
                <w:lang w:val="nl-BE" w:eastAsia="nl-BE"/>
              </w:rPr>
            </w:pPr>
            <w:r w:rsidRPr="003774CE">
              <w:rPr>
                <w:rFonts w:ascii="Calibri" w:hAnsi="Calibri" w:cs="Calibri"/>
                <w:b/>
                <w:bCs/>
                <w:color w:val="FFFFFF"/>
                <w:sz w:val="22"/>
                <w:szCs w:val="22"/>
                <w:lang w:val="nl-BE" w:eastAsia="nl-BE"/>
              </w:rPr>
              <w:t>#org/sector</w:t>
            </w:r>
          </w:p>
        </w:tc>
        <w:tc>
          <w:tcPr>
            <w:tcW w:w="82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rPr>
                <w:rFonts w:ascii="Calibri" w:hAnsi="Calibri" w:cs="Calibri"/>
                <w:b/>
                <w:bCs/>
                <w:color w:val="FFFFFF"/>
                <w:szCs w:val="22"/>
                <w:lang w:val="nl-BE" w:eastAsia="nl-BE"/>
              </w:rPr>
            </w:pPr>
            <w:r w:rsidRPr="003774CE">
              <w:rPr>
                <w:rFonts w:ascii="Calibri" w:hAnsi="Calibri" w:cs="Calibri"/>
                <w:b/>
                <w:bCs/>
                <w:color w:val="FFFFFF"/>
                <w:sz w:val="22"/>
                <w:szCs w:val="22"/>
                <w:lang w:val="nl-BE" w:eastAsia="nl-BE"/>
              </w:rPr>
              <w:t>2008</w:t>
            </w:r>
          </w:p>
        </w:tc>
        <w:tc>
          <w:tcPr>
            <w:tcW w:w="96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rPr>
                <w:rFonts w:ascii="Calibri" w:hAnsi="Calibri" w:cs="Calibri"/>
                <w:b/>
                <w:bCs/>
                <w:color w:val="FFFFFF"/>
                <w:szCs w:val="22"/>
                <w:lang w:val="nl-BE" w:eastAsia="nl-BE"/>
              </w:rPr>
            </w:pPr>
            <w:r w:rsidRPr="003774CE">
              <w:rPr>
                <w:rFonts w:ascii="Calibri" w:hAnsi="Calibri" w:cs="Calibri"/>
                <w:b/>
                <w:bCs/>
                <w:color w:val="FFFFFF"/>
                <w:sz w:val="22"/>
                <w:szCs w:val="22"/>
                <w:lang w:val="nl-BE" w:eastAsia="nl-BE"/>
              </w:rPr>
              <w:t>2009</w:t>
            </w:r>
          </w:p>
        </w:tc>
        <w:tc>
          <w:tcPr>
            <w:tcW w:w="96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rPr>
                <w:rFonts w:ascii="Calibri" w:hAnsi="Calibri" w:cs="Calibri"/>
                <w:b/>
                <w:bCs/>
                <w:color w:val="FFFFFF"/>
                <w:szCs w:val="22"/>
                <w:lang w:val="nl-BE" w:eastAsia="nl-BE"/>
              </w:rPr>
            </w:pPr>
            <w:r w:rsidRPr="003774CE">
              <w:rPr>
                <w:rFonts w:ascii="Calibri" w:hAnsi="Calibri" w:cs="Calibri"/>
                <w:b/>
                <w:bCs/>
                <w:color w:val="FFFFFF"/>
                <w:sz w:val="22"/>
                <w:szCs w:val="22"/>
                <w:lang w:val="nl-BE" w:eastAsia="nl-BE"/>
              </w:rPr>
              <w:t>2010</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Pr>
                <w:rFonts w:ascii="Calibri" w:hAnsi="Calibri" w:cs="Calibri"/>
                <w:color w:val="000000"/>
                <w:sz w:val="22"/>
                <w:szCs w:val="22"/>
                <w:lang w:val="nl-BE" w:eastAsia="nl-BE"/>
              </w:rPr>
              <w:t>B</w:t>
            </w:r>
            <w:r w:rsidRPr="003774CE">
              <w:rPr>
                <w:rFonts w:ascii="Calibri" w:hAnsi="Calibri" w:cs="Calibri"/>
                <w:color w:val="000000"/>
                <w:sz w:val="22"/>
                <w:szCs w:val="22"/>
                <w:lang w:val="nl-BE" w:eastAsia="nl-BE"/>
              </w:rPr>
              <w:t>ouw</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25</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45</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41</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Chemie &amp; petroleum</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14</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15</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14</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Diensten aan ondernemingen &amp; personen</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60</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79</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95</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Distributie</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49</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41</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43</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Financiële Sector</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 </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Arial" w:hAnsi="Arial" w:cs="Arial"/>
                <w:sz w:val="20"/>
                <w:lang w:val="nl-BE" w:eastAsia="nl-BE"/>
              </w:rPr>
            </w:pPr>
            <w:r w:rsidRPr="003774CE">
              <w:rPr>
                <w:rFonts w:ascii="Arial" w:hAnsi="Arial" w:cs="Arial"/>
                <w:sz w:val="20"/>
                <w:lang w:val="nl-BE" w:eastAsia="nl-BE"/>
              </w:rPr>
              <w:t> </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20</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Horeca, sport &amp; ontspanning</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22</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21</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27</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Pr>
                <w:rFonts w:ascii="Calibri" w:hAnsi="Calibri" w:cs="Calibri"/>
                <w:color w:val="000000"/>
                <w:sz w:val="22"/>
                <w:szCs w:val="22"/>
                <w:lang w:val="nl-BE" w:eastAsia="nl-BE"/>
              </w:rPr>
              <w:t>H</w:t>
            </w:r>
            <w:r w:rsidRPr="003774CE">
              <w:rPr>
                <w:rFonts w:ascii="Calibri" w:hAnsi="Calibri" w:cs="Calibri"/>
                <w:color w:val="000000"/>
                <w:sz w:val="22"/>
                <w:szCs w:val="22"/>
                <w:lang w:val="nl-BE" w:eastAsia="nl-BE"/>
              </w:rPr>
              <w:t>outnijverheid</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13</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7</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14</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Kleding- en textielindustrie</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13</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15</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20</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Land- en tuinbouw, bosbouw &amp; zeevisserij</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9</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7</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10</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Media, drukkerij- en uitgeverijsector</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8</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14</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5</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Pr>
                <w:rFonts w:ascii="Calibri" w:hAnsi="Calibri" w:cs="Calibri"/>
                <w:color w:val="000000"/>
                <w:sz w:val="22"/>
                <w:szCs w:val="22"/>
                <w:lang w:val="nl-BE" w:eastAsia="nl-BE"/>
              </w:rPr>
              <w:t>M</w:t>
            </w:r>
            <w:r w:rsidRPr="003774CE">
              <w:rPr>
                <w:rFonts w:ascii="Calibri" w:hAnsi="Calibri" w:cs="Calibri"/>
                <w:color w:val="000000"/>
                <w:sz w:val="22"/>
                <w:szCs w:val="22"/>
                <w:lang w:val="nl-BE" w:eastAsia="nl-BE"/>
              </w:rPr>
              <w:t>etaalindustrie</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94</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83</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66</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Overheid/ geen PC</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43</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96</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39</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Pr>
                <w:rFonts w:ascii="Calibri" w:hAnsi="Calibri" w:cs="Calibri"/>
                <w:color w:val="000000"/>
                <w:sz w:val="22"/>
                <w:szCs w:val="22"/>
                <w:lang w:val="nl-BE" w:eastAsia="nl-BE"/>
              </w:rPr>
              <w:t>O</w:t>
            </w:r>
            <w:r w:rsidRPr="003774CE">
              <w:rPr>
                <w:rFonts w:ascii="Calibri" w:hAnsi="Calibri" w:cs="Calibri"/>
                <w:color w:val="000000"/>
                <w:sz w:val="22"/>
                <w:szCs w:val="22"/>
                <w:lang w:val="nl-BE" w:eastAsia="nl-BE"/>
              </w:rPr>
              <w:t>verige</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49</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44</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62</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Papier- en kartonsector</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3</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3</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Pr>
                <w:rFonts w:ascii="Calibri" w:hAnsi="Calibri" w:cs="Calibri"/>
                <w:color w:val="000000"/>
                <w:sz w:val="22"/>
                <w:szCs w:val="22"/>
                <w:lang w:val="nl-BE" w:eastAsia="nl-BE"/>
              </w:rPr>
              <w:t>S</w:t>
            </w:r>
            <w:r w:rsidRPr="003774CE">
              <w:rPr>
                <w:rFonts w:ascii="Calibri" w:hAnsi="Calibri" w:cs="Calibri"/>
                <w:color w:val="000000"/>
                <w:sz w:val="22"/>
                <w:szCs w:val="22"/>
                <w:lang w:val="nl-BE" w:eastAsia="nl-BE"/>
              </w:rPr>
              <w:t>ocial profit</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185</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215</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203</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Steen- en glasindustrie</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4</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8</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6</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Vervoer, transport &amp; logistiek</w:t>
            </w:r>
          </w:p>
        </w:tc>
        <w:tc>
          <w:tcPr>
            <w:tcW w:w="82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52</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61</w:t>
            </w:r>
          </w:p>
        </w:tc>
        <w:tc>
          <w:tcPr>
            <w:tcW w:w="960" w:type="dxa"/>
            <w:tcBorders>
              <w:top w:val="single" w:sz="4" w:space="0" w:color="auto"/>
              <w:left w:val="single" w:sz="4" w:space="0" w:color="auto"/>
              <w:bottom w:val="single" w:sz="4" w:space="0" w:color="auto"/>
              <w:right w:val="single" w:sz="4" w:space="0" w:color="auto"/>
            </w:tcBorders>
            <w:shd w:val="clear" w:color="B8CCE4" w:fill="B8CCE4"/>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48</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rPr>
                <w:rFonts w:ascii="Calibri" w:hAnsi="Calibri" w:cs="Calibri"/>
                <w:color w:val="000000"/>
                <w:szCs w:val="22"/>
                <w:lang w:val="nl-BE" w:eastAsia="nl-BE"/>
              </w:rPr>
            </w:pPr>
            <w:r w:rsidRPr="003774CE">
              <w:rPr>
                <w:rFonts w:ascii="Calibri" w:hAnsi="Calibri" w:cs="Calibri"/>
                <w:color w:val="000000"/>
                <w:sz w:val="22"/>
                <w:szCs w:val="22"/>
                <w:lang w:val="nl-BE" w:eastAsia="nl-BE"/>
              </w:rPr>
              <w:t>Voedingsindustrie</w:t>
            </w:r>
          </w:p>
        </w:tc>
        <w:tc>
          <w:tcPr>
            <w:tcW w:w="82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33</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Arial" w:hAnsi="Arial" w:cs="Arial"/>
                <w:sz w:val="20"/>
                <w:lang w:val="nl-BE" w:eastAsia="nl-BE"/>
              </w:rPr>
            </w:pPr>
            <w:r w:rsidRPr="003774CE">
              <w:rPr>
                <w:rFonts w:ascii="Arial" w:hAnsi="Arial" w:cs="Arial"/>
                <w:sz w:val="20"/>
                <w:lang w:val="nl-BE" w:eastAsia="nl-BE"/>
              </w:rPr>
              <w:t>34</w:t>
            </w:r>
          </w:p>
        </w:tc>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7361" w:rsidRPr="003774CE" w:rsidRDefault="00E67361" w:rsidP="00B52DBB">
            <w:pPr>
              <w:jc w:val="right"/>
              <w:rPr>
                <w:rFonts w:ascii="Calibri" w:hAnsi="Calibri" w:cs="Calibri"/>
                <w:color w:val="000000"/>
                <w:szCs w:val="22"/>
                <w:lang w:val="nl-BE" w:eastAsia="nl-BE"/>
              </w:rPr>
            </w:pPr>
            <w:r w:rsidRPr="003774CE">
              <w:rPr>
                <w:rFonts w:ascii="Calibri" w:hAnsi="Calibri" w:cs="Calibri"/>
                <w:color w:val="000000"/>
                <w:sz w:val="22"/>
                <w:szCs w:val="22"/>
                <w:lang w:val="nl-BE" w:eastAsia="nl-BE"/>
              </w:rPr>
              <w:t>34</w:t>
            </w:r>
          </w:p>
        </w:tc>
      </w:tr>
      <w:tr w:rsidR="00E67361" w:rsidRPr="003774CE" w:rsidTr="00B52DBB">
        <w:trPr>
          <w:trHeight w:val="300"/>
        </w:trPr>
        <w:tc>
          <w:tcPr>
            <w:tcW w:w="3805"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rPr>
                <w:rFonts w:ascii="Calibri" w:hAnsi="Calibri" w:cs="Calibri"/>
                <w:b/>
                <w:bCs/>
                <w:color w:val="FFFFFF"/>
                <w:szCs w:val="22"/>
                <w:lang w:val="nl-BE" w:eastAsia="nl-BE"/>
              </w:rPr>
            </w:pPr>
            <w:r w:rsidRPr="003774CE">
              <w:rPr>
                <w:rFonts w:ascii="Calibri" w:hAnsi="Calibri" w:cs="Calibri"/>
                <w:b/>
                <w:bCs/>
                <w:color w:val="FFFFFF"/>
                <w:sz w:val="22"/>
                <w:szCs w:val="22"/>
                <w:lang w:val="nl-BE" w:eastAsia="nl-BE"/>
              </w:rPr>
              <w:t>Totaal</w:t>
            </w:r>
          </w:p>
        </w:tc>
        <w:tc>
          <w:tcPr>
            <w:tcW w:w="82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jc w:val="right"/>
              <w:rPr>
                <w:rFonts w:ascii="Calibri" w:hAnsi="Calibri" w:cs="Calibri"/>
                <w:b/>
                <w:bCs/>
                <w:color w:val="FFFFFF"/>
                <w:szCs w:val="22"/>
                <w:lang w:val="nl-BE" w:eastAsia="nl-BE"/>
              </w:rPr>
            </w:pPr>
            <w:r w:rsidRPr="003774CE">
              <w:rPr>
                <w:rFonts w:ascii="Calibri" w:hAnsi="Calibri" w:cs="Calibri"/>
                <w:b/>
                <w:bCs/>
                <w:color w:val="FFFFFF"/>
                <w:sz w:val="22"/>
                <w:szCs w:val="22"/>
                <w:lang w:val="nl-BE" w:eastAsia="nl-BE"/>
              </w:rPr>
              <w:t>674</w:t>
            </w:r>
          </w:p>
        </w:tc>
        <w:tc>
          <w:tcPr>
            <w:tcW w:w="96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jc w:val="right"/>
              <w:rPr>
                <w:rFonts w:ascii="Arial" w:hAnsi="Arial" w:cs="Arial"/>
                <w:b/>
                <w:bCs/>
                <w:color w:val="FFFFFF"/>
                <w:sz w:val="20"/>
                <w:lang w:val="nl-BE" w:eastAsia="nl-BE"/>
              </w:rPr>
            </w:pPr>
            <w:r w:rsidRPr="003774CE">
              <w:rPr>
                <w:rFonts w:ascii="Arial" w:hAnsi="Arial" w:cs="Arial"/>
                <w:b/>
                <w:bCs/>
                <w:color w:val="FFFFFF"/>
                <w:sz w:val="20"/>
                <w:lang w:val="nl-BE" w:eastAsia="nl-BE"/>
              </w:rPr>
              <w:t>788</w:t>
            </w:r>
          </w:p>
        </w:tc>
        <w:tc>
          <w:tcPr>
            <w:tcW w:w="96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E67361" w:rsidRPr="003774CE" w:rsidRDefault="00E67361" w:rsidP="00B52DBB">
            <w:pPr>
              <w:jc w:val="right"/>
              <w:rPr>
                <w:rFonts w:ascii="Calibri" w:hAnsi="Calibri" w:cs="Calibri"/>
                <w:b/>
                <w:bCs/>
                <w:color w:val="FFFFFF"/>
                <w:szCs w:val="22"/>
                <w:lang w:val="nl-BE" w:eastAsia="nl-BE"/>
              </w:rPr>
            </w:pPr>
            <w:r w:rsidRPr="003774CE">
              <w:rPr>
                <w:rFonts w:ascii="Calibri" w:hAnsi="Calibri" w:cs="Calibri"/>
                <w:b/>
                <w:bCs/>
                <w:color w:val="FFFFFF"/>
                <w:sz w:val="22"/>
                <w:szCs w:val="22"/>
                <w:lang w:val="nl-BE" w:eastAsia="nl-BE"/>
              </w:rPr>
              <w:t>750</w:t>
            </w:r>
          </w:p>
        </w:tc>
      </w:tr>
    </w:tbl>
    <w:p w:rsidR="00E67361" w:rsidRDefault="00E67361"/>
    <w:sectPr w:rsidR="00E67361" w:rsidSect="00E96B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75AE9"/>
    <w:multiLevelType w:val="hybridMultilevel"/>
    <w:tmpl w:val="D9C8718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8A8"/>
    <w:rsid w:val="00017682"/>
    <w:rsid w:val="0005587C"/>
    <w:rsid w:val="001124AA"/>
    <w:rsid w:val="001C2BBE"/>
    <w:rsid w:val="00234B64"/>
    <w:rsid w:val="00266479"/>
    <w:rsid w:val="00274251"/>
    <w:rsid w:val="003774CE"/>
    <w:rsid w:val="003E54B4"/>
    <w:rsid w:val="005638E7"/>
    <w:rsid w:val="007E460A"/>
    <w:rsid w:val="008032F9"/>
    <w:rsid w:val="008E40BD"/>
    <w:rsid w:val="009A5344"/>
    <w:rsid w:val="00A675C1"/>
    <w:rsid w:val="00B36508"/>
    <w:rsid w:val="00B52DBB"/>
    <w:rsid w:val="00B91162"/>
    <w:rsid w:val="00DB2937"/>
    <w:rsid w:val="00DB48A8"/>
    <w:rsid w:val="00E67361"/>
    <w:rsid w:val="00E96B10"/>
    <w:rsid w:val="00F01AA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A8"/>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DB48A8"/>
    <w:pPr>
      <w:jc w:val="both"/>
    </w:pPr>
    <w:rPr>
      <w:b/>
      <w:smallCaps/>
      <w:sz w:val="22"/>
    </w:rPr>
  </w:style>
  <w:style w:type="paragraph" w:customStyle="1" w:styleId="StandaardSV">
    <w:name w:val="Standaard SV"/>
    <w:basedOn w:val="Normal"/>
    <w:uiPriority w:val="99"/>
    <w:rsid w:val="00DB48A8"/>
    <w:pPr>
      <w:jc w:val="both"/>
    </w:pPr>
    <w:rPr>
      <w:sz w:val="22"/>
    </w:rPr>
  </w:style>
  <w:style w:type="paragraph" w:styleId="BalloonText">
    <w:name w:val="Balloon Text"/>
    <w:basedOn w:val="Normal"/>
    <w:link w:val="BalloonTextChar"/>
    <w:uiPriority w:val="99"/>
    <w:semiHidden/>
    <w:rsid w:val="007E4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60A"/>
    <w:rPr>
      <w:rFonts w:ascii="Tahoma" w:hAnsi="Tahoma" w:cs="Tahoma"/>
      <w:sz w:val="16"/>
      <w:szCs w:val="16"/>
      <w:lang w:val="nl-NL" w:eastAsia="nl-NL"/>
    </w:rPr>
  </w:style>
  <w:style w:type="character" w:styleId="Hyperlink">
    <w:name w:val="Hyperlink"/>
    <w:basedOn w:val="DefaultParagraphFont"/>
    <w:uiPriority w:val="99"/>
    <w:rsid w:val="00266479"/>
    <w:rPr>
      <w:rFonts w:cs="Times New Roman"/>
      <w:color w:val="0000FF"/>
      <w:u w:val="single"/>
    </w:rPr>
  </w:style>
  <w:style w:type="paragraph" w:styleId="ListParagraph">
    <w:name w:val="List Paragraph"/>
    <w:basedOn w:val="Normal"/>
    <w:uiPriority w:val="99"/>
    <w:qFormat/>
    <w:rsid w:val="00266479"/>
    <w:pPr>
      <w:ind w:left="720"/>
      <w:contextualSpacing/>
    </w:pPr>
  </w:style>
</w:styles>
</file>

<file path=word/webSettings.xml><?xml version="1.0" encoding="utf-8"?>
<w:webSettings xmlns:r="http://schemas.openxmlformats.org/officeDocument/2006/relationships" xmlns:w="http://schemas.openxmlformats.org/wordprocessingml/2006/main">
  <w:divs>
    <w:div w:id="108468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k.be/c-en-o/cijfers/beleidsopvolging/maatregelen_en_programmas/Diversiteitsplannen.htm" TargetMode="External"/><Relationship Id="rId5" Type="http://schemas.openxmlformats.org/officeDocument/2006/relationships/hyperlink" Target="http://www.werk.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545</Words>
  <Characters>3002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Nathalie De Keyzer</cp:lastModifiedBy>
  <cp:revision>3</cp:revision>
  <cp:lastPrinted>2011-05-03T13:57:00Z</cp:lastPrinted>
  <dcterms:created xsi:type="dcterms:W3CDTF">2011-05-05T16:37:00Z</dcterms:created>
  <dcterms:modified xsi:type="dcterms:W3CDTF">2011-05-10T08:27:00Z</dcterms:modified>
</cp:coreProperties>
</file>