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E2F1C" w:rsidRPr="00DD4121" w:rsidRDefault="003E2F1C"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3E2F1C" w:rsidRPr="00015BF7" w:rsidRDefault="003E2F1C"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3E2F1C" w:rsidRPr="00015BF7" w:rsidRDefault="003E2F1C" w:rsidP="000976E9">
      <w:pPr>
        <w:rPr>
          <w:szCs w:val="22"/>
        </w:rPr>
      </w:pPr>
    </w:p>
    <w:p w:rsidR="003E2F1C" w:rsidRPr="00DB41C0" w:rsidRDefault="003E2F1C" w:rsidP="000976E9">
      <w:pPr>
        <w:pStyle w:val="A-Lijn"/>
      </w:pPr>
    </w:p>
    <w:p w:rsidR="003E2F1C" w:rsidRDefault="003E2F1C" w:rsidP="000976E9">
      <w:pPr>
        <w:pStyle w:val="A-Type"/>
        <w:sectPr w:rsidR="003E2F1C">
          <w:pgSz w:w="11906" w:h="16838"/>
          <w:pgMar w:top="1417" w:right="1417" w:bottom="1417" w:left="1417" w:header="708" w:footer="708" w:gutter="0"/>
          <w:cols w:space="708"/>
          <w:rtlGutter/>
          <w:docGrid w:linePitch="360"/>
        </w:sectPr>
      </w:pPr>
    </w:p>
    <w:p w:rsidR="003E2F1C" w:rsidRDefault="003E2F1C" w:rsidP="000976E9">
      <w:pPr>
        <w:pStyle w:val="A-Type"/>
        <w:sectPr w:rsidR="003E2F1C"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E2F1C" w:rsidRPr="00326A58" w:rsidRDefault="003E2F1C"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260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E2F1C" w:rsidRDefault="003E2F1C"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els robeyns</w:t>
      </w:r>
      <w:r w:rsidRPr="009D7043">
        <w:rPr>
          <w:rStyle w:val="AntwoordNaamMinisterChar"/>
          <w:sz w:val="22"/>
        </w:rPr>
        <w:fldChar w:fldCharType="end"/>
      </w:r>
    </w:p>
    <w:p w:rsidR="003E2F1C" w:rsidRPr="00015BF7" w:rsidRDefault="003E2F1C" w:rsidP="000976E9">
      <w:pPr>
        <w:rPr>
          <w:szCs w:val="22"/>
        </w:rPr>
      </w:pPr>
    </w:p>
    <w:p w:rsidR="003E2F1C" w:rsidRPr="00DB41C0" w:rsidRDefault="003E2F1C" w:rsidP="000976E9">
      <w:pPr>
        <w:pStyle w:val="A-Lijn"/>
      </w:pPr>
    </w:p>
    <w:p w:rsidR="003E2F1C" w:rsidRPr="00DB41C0" w:rsidRDefault="003E2F1C" w:rsidP="000976E9">
      <w:pPr>
        <w:pStyle w:val="A-Lijn"/>
      </w:pPr>
    </w:p>
    <w:p w:rsidR="003E2F1C" w:rsidRDefault="003E2F1C" w:rsidP="00DB41C0">
      <w:pPr>
        <w:sectPr w:rsidR="003E2F1C" w:rsidSect="000976E9">
          <w:type w:val="continuous"/>
          <w:pgSz w:w="11906" w:h="16838"/>
          <w:pgMar w:top="1417" w:right="1417" w:bottom="1417" w:left="1417" w:header="708" w:footer="708" w:gutter="0"/>
          <w:cols w:space="708"/>
          <w:rtlGutter/>
          <w:docGrid w:linePitch="360"/>
        </w:sectPr>
      </w:pPr>
    </w:p>
    <w:p w:rsidR="003E2F1C" w:rsidRDefault="003E2F1C" w:rsidP="006857ED">
      <w:pPr>
        <w:pStyle w:val="StandaardSV"/>
        <w:numPr>
          <w:ilvl w:val="0"/>
          <w:numId w:val="3"/>
        </w:numPr>
      </w:pPr>
      <w:r>
        <w:t>In 2010 waren er 586 lopende agromilieuverbintenissen “verwarringstechniek pitfruitteelt”. Zie hieronder voor een overzicht van het aantal verbintenissen per provincie. Het is niet mogelijk om een specificatie naar bedrijfstypen weer te geven.</w:t>
      </w:r>
    </w:p>
    <w:p w:rsidR="003E2F1C" w:rsidRDefault="003E2F1C" w:rsidP="006857ED">
      <w:pPr>
        <w:pStyle w:val="StandaardSV"/>
        <w:ind w:left="360"/>
      </w:pPr>
    </w:p>
    <w:p w:rsidR="003E2F1C" w:rsidRPr="006A3A5E" w:rsidRDefault="003E2F1C" w:rsidP="006857ED">
      <w:pPr>
        <w:pStyle w:val="StandaardSV"/>
        <w:ind w:left="360"/>
        <w:rPr>
          <w:szCs w:val="22"/>
        </w:rPr>
      </w:pPr>
      <w:r w:rsidRPr="006A3A5E">
        <w:rPr>
          <w:szCs w:val="22"/>
        </w:rPr>
        <w:t>Tabel 1. Overzicht van de verbintenissen en oppervlaktes “verwarringstechniek pitfruitteelt” per provincie (verzamelaanvraag 2010)</w:t>
      </w:r>
    </w:p>
    <w:p w:rsidR="003E2F1C" w:rsidRPr="000A538B" w:rsidRDefault="003E2F1C" w:rsidP="006857ED">
      <w:pPr>
        <w:pStyle w:val="StandaardSV"/>
        <w:rPr>
          <w:szCs w:val="22"/>
          <w:u w:val="single"/>
        </w:rPr>
      </w:pPr>
    </w:p>
    <w:tbl>
      <w:tblPr>
        <w:tblW w:w="63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410"/>
        <w:gridCol w:w="1842"/>
      </w:tblGrid>
      <w:tr w:rsidR="003E2F1C" w:rsidRPr="000A538B" w:rsidTr="00E563B1">
        <w:trPr>
          <w:trHeight w:val="366"/>
        </w:trPr>
        <w:tc>
          <w:tcPr>
            <w:tcW w:w="2126" w:type="dxa"/>
          </w:tcPr>
          <w:p w:rsidR="003E2F1C" w:rsidRPr="00E563B1" w:rsidRDefault="003E2F1C" w:rsidP="00C5377E">
            <w:pPr>
              <w:rPr>
                <w:lang w:eastAsia="nl-BE"/>
              </w:rPr>
            </w:pPr>
            <w:r w:rsidRPr="00E563B1">
              <w:rPr>
                <w:szCs w:val="22"/>
              </w:rPr>
              <w:t>Locatie bedrijfszetel</w:t>
            </w:r>
          </w:p>
        </w:tc>
        <w:tc>
          <w:tcPr>
            <w:tcW w:w="2410" w:type="dxa"/>
          </w:tcPr>
          <w:p w:rsidR="003E2F1C" w:rsidRPr="00E563B1" w:rsidRDefault="003E2F1C" w:rsidP="00E563B1">
            <w:pPr>
              <w:jc w:val="center"/>
              <w:rPr>
                <w:lang w:eastAsia="nl-BE"/>
              </w:rPr>
            </w:pPr>
            <w:r w:rsidRPr="00E563B1">
              <w:rPr>
                <w:szCs w:val="22"/>
                <w:lang w:eastAsia="nl-BE"/>
              </w:rPr>
              <w:t>Aantal verbintenissen</w:t>
            </w:r>
          </w:p>
        </w:tc>
        <w:tc>
          <w:tcPr>
            <w:tcW w:w="1842" w:type="dxa"/>
          </w:tcPr>
          <w:p w:rsidR="003E2F1C" w:rsidRPr="00E563B1" w:rsidRDefault="003E2F1C" w:rsidP="00E563B1">
            <w:pPr>
              <w:jc w:val="center"/>
              <w:rPr>
                <w:lang w:eastAsia="nl-BE"/>
              </w:rPr>
            </w:pPr>
            <w:r w:rsidRPr="00E563B1">
              <w:rPr>
                <w:szCs w:val="22"/>
                <w:lang w:eastAsia="nl-BE"/>
              </w:rPr>
              <w:t>Areaal (ha)</w:t>
            </w:r>
          </w:p>
        </w:tc>
      </w:tr>
      <w:tr w:rsidR="003E2F1C" w:rsidRPr="000A538B" w:rsidTr="00E563B1">
        <w:trPr>
          <w:trHeight w:val="300"/>
        </w:trPr>
        <w:tc>
          <w:tcPr>
            <w:tcW w:w="2126" w:type="dxa"/>
          </w:tcPr>
          <w:p w:rsidR="003E2F1C" w:rsidRPr="00E563B1" w:rsidRDefault="003E2F1C" w:rsidP="00C5377E">
            <w:pPr>
              <w:rPr>
                <w:lang w:eastAsia="nl-BE"/>
              </w:rPr>
            </w:pPr>
            <w:r w:rsidRPr="00E563B1">
              <w:rPr>
                <w:szCs w:val="22"/>
                <w:lang w:eastAsia="nl-BE"/>
              </w:rPr>
              <w:t>Antwerpen</w:t>
            </w:r>
          </w:p>
        </w:tc>
        <w:tc>
          <w:tcPr>
            <w:tcW w:w="2410" w:type="dxa"/>
            <w:vAlign w:val="bottom"/>
          </w:tcPr>
          <w:p w:rsidR="003E2F1C" w:rsidRPr="00E563B1" w:rsidRDefault="003E2F1C" w:rsidP="00E563B1">
            <w:pPr>
              <w:jc w:val="center"/>
              <w:rPr>
                <w:color w:val="000000"/>
              </w:rPr>
            </w:pPr>
            <w:r w:rsidRPr="00E563B1">
              <w:rPr>
                <w:color w:val="000000"/>
                <w:szCs w:val="22"/>
              </w:rPr>
              <w:t>25</w:t>
            </w:r>
          </w:p>
        </w:tc>
        <w:tc>
          <w:tcPr>
            <w:tcW w:w="1842" w:type="dxa"/>
            <w:vAlign w:val="bottom"/>
          </w:tcPr>
          <w:p w:rsidR="003E2F1C" w:rsidRPr="00E563B1" w:rsidRDefault="003E2F1C" w:rsidP="00E563B1">
            <w:pPr>
              <w:jc w:val="center"/>
              <w:rPr>
                <w:color w:val="000000"/>
              </w:rPr>
            </w:pPr>
            <w:r w:rsidRPr="00E563B1">
              <w:rPr>
                <w:color w:val="000000"/>
                <w:szCs w:val="22"/>
              </w:rPr>
              <w:t>317,11</w:t>
            </w:r>
          </w:p>
        </w:tc>
      </w:tr>
      <w:tr w:rsidR="003E2F1C" w:rsidRPr="000A538B" w:rsidTr="00E563B1">
        <w:trPr>
          <w:trHeight w:val="75"/>
        </w:trPr>
        <w:tc>
          <w:tcPr>
            <w:tcW w:w="2126" w:type="dxa"/>
          </w:tcPr>
          <w:p w:rsidR="003E2F1C" w:rsidRPr="00E563B1" w:rsidRDefault="003E2F1C" w:rsidP="00C5377E">
            <w:pPr>
              <w:rPr>
                <w:lang w:eastAsia="nl-BE"/>
              </w:rPr>
            </w:pPr>
            <w:r w:rsidRPr="00E563B1">
              <w:rPr>
                <w:szCs w:val="22"/>
                <w:lang w:eastAsia="nl-BE"/>
              </w:rPr>
              <w:t>Vlaams-Brabant</w:t>
            </w:r>
          </w:p>
        </w:tc>
        <w:tc>
          <w:tcPr>
            <w:tcW w:w="2410" w:type="dxa"/>
            <w:vAlign w:val="bottom"/>
          </w:tcPr>
          <w:p w:rsidR="003E2F1C" w:rsidRPr="00E563B1" w:rsidRDefault="003E2F1C" w:rsidP="00E563B1">
            <w:pPr>
              <w:jc w:val="center"/>
              <w:rPr>
                <w:color w:val="000000"/>
              </w:rPr>
            </w:pPr>
            <w:r w:rsidRPr="00E563B1">
              <w:rPr>
                <w:color w:val="000000"/>
                <w:szCs w:val="22"/>
              </w:rPr>
              <w:t>166</w:t>
            </w:r>
          </w:p>
        </w:tc>
        <w:tc>
          <w:tcPr>
            <w:tcW w:w="1842" w:type="dxa"/>
            <w:vAlign w:val="bottom"/>
          </w:tcPr>
          <w:p w:rsidR="003E2F1C" w:rsidRPr="00E563B1" w:rsidRDefault="003E2F1C" w:rsidP="00E563B1">
            <w:pPr>
              <w:jc w:val="center"/>
              <w:rPr>
                <w:color w:val="000000"/>
              </w:rPr>
            </w:pPr>
            <w:r w:rsidRPr="00E563B1">
              <w:rPr>
                <w:color w:val="000000"/>
                <w:szCs w:val="22"/>
              </w:rPr>
              <w:t>2386,93</w:t>
            </w:r>
          </w:p>
        </w:tc>
      </w:tr>
      <w:tr w:rsidR="003E2F1C" w:rsidRPr="000A538B" w:rsidTr="00E563B1">
        <w:trPr>
          <w:trHeight w:val="300"/>
        </w:trPr>
        <w:tc>
          <w:tcPr>
            <w:tcW w:w="2126" w:type="dxa"/>
          </w:tcPr>
          <w:p w:rsidR="003E2F1C" w:rsidRPr="00E563B1" w:rsidRDefault="003E2F1C" w:rsidP="00C5377E">
            <w:pPr>
              <w:rPr>
                <w:lang w:eastAsia="nl-BE"/>
              </w:rPr>
            </w:pPr>
            <w:r w:rsidRPr="00E563B1">
              <w:rPr>
                <w:szCs w:val="22"/>
                <w:lang w:eastAsia="nl-BE"/>
              </w:rPr>
              <w:t>West-Vlaanderen</w:t>
            </w:r>
          </w:p>
        </w:tc>
        <w:tc>
          <w:tcPr>
            <w:tcW w:w="2410" w:type="dxa"/>
            <w:vAlign w:val="bottom"/>
          </w:tcPr>
          <w:p w:rsidR="003E2F1C" w:rsidRPr="00E563B1" w:rsidRDefault="003E2F1C" w:rsidP="00E563B1">
            <w:pPr>
              <w:jc w:val="center"/>
              <w:rPr>
                <w:color w:val="000000"/>
              </w:rPr>
            </w:pPr>
            <w:r w:rsidRPr="00E563B1">
              <w:rPr>
                <w:color w:val="000000"/>
                <w:szCs w:val="22"/>
              </w:rPr>
              <w:t>15</w:t>
            </w:r>
          </w:p>
        </w:tc>
        <w:tc>
          <w:tcPr>
            <w:tcW w:w="1842" w:type="dxa"/>
            <w:vAlign w:val="bottom"/>
          </w:tcPr>
          <w:p w:rsidR="003E2F1C" w:rsidRPr="00E563B1" w:rsidRDefault="003E2F1C" w:rsidP="00E563B1">
            <w:pPr>
              <w:jc w:val="center"/>
              <w:rPr>
                <w:color w:val="000000"/>
              </w:rPr>
            </w:pPr>
            <w:r w:rsidRPr="00E563B1">
              <w:rPr>
                <w:color w:val="000000"/>
                <w:szCs w:val="22"/>
              </w:rPr>
              <w:t>244,05</w:t>
            </w:r>
          </w:p>
        </w:tc>
      </w:tr>
      <w:tr w:rsidR="003E2F1C" w:rsidRPr="000A538B" w:rsidTr="00E563B1">
        <w:trPr>
          <w:trHeight w:val="300"/>
        </w:trPr>
        <w:tc>
          <w:tcPr>
            <w:tcW w:w="2126" w:type="dxa"/>
          </w:tcPr>
          <w:p w:rsidR="003E2F1C" w:rsidRPr="00E563B1" w:rsidRDefault="003E2F1C" w:rsidP="00C5377E">
            <w:pPr>
              <w:rPr>
                <w:lang w:eastAsia="nl-BE"/>
              </w:rPr>
            </w:pPr>
            <w:r w:rsidRPr="00E563B1">
              <w:rPr>
                <w:szCs w:val="22"/>
                <w:lang w:eastAsia="nl-BE"/>
              </w:rPr>
              <w:t>Oost-Vlaanderen</w:t>
            </w:r>
          </w:p>
        </w:tc>
        <w:tc>
          <w:tcPr>
            <w:tcW w:w="2410" w:type="dxa"/>
            <w:vAlign w:val="bottom"/>
          </w:tcPr>
          <w:p w:rsidR="003E2F1C" w:rsidRPr="00E563B1" w:rsidRDefault="003E2F1C" w:rsidP="00E563B1">
            <w:pPr>
              <w:jc w:val="center"/>
              <w:rPr>
                <w:color w:val="000000"/>
              </w:rPr>
            </w:pPr>
            <w:r w:rsidRPr="00E563B1">
              <w:rPr>
                <w:color w:val="000000"/>
                <w:szCs w:val="22"/>
              </w:rPr>
              <w:t>71</w:t>
            </w:r>
          </w:p>
        </w:tc>
        <w:tc>
          <w:tcPr>
            <w:tcW w:w="1842" w:type="dxa"/>
            <w:vAlign w:val="bottom"/>
          </w:tcPr>
          <w:p w:rsidR="003E2F1C" w:rsidRPr="00E563B1" w:rsidRDefault="003E2F1C" w:rsidP="00E563B1">
            <w:pPr>
              <w:jc w:val="center"/>
              <w:rPr>
                <w:color w:val="000000"/>
              </w:rPr>
            </w:pPr>
            <w:r w:rsidRPr="00E563B1">
              <w:rPr>
                <w:color w:val="000000"/>
                <w:szCs w:val="22"/>
              </w:rPr>
              <w:t>795,91</w:t>
            </w:r>
          </w:p>
        </w:tc>
      </w:tr>
      <w:tr w:rsidR="003E2F1C" w:rsidRPr="000A538B" w:rsidTr="00E563B1">
        <w:trPr>
          <w:trHeight w:val="300"/>
        </w:trPr>
        <w:tc>
          <w:tcPr>
            <w:tcW w:w="2126" w:type="dxa"/>
          </w:tcPr>
          <w:p w:rsidR="003E2F1C" w:rsidRPr="00E563B1" w:rsidRDefault="003E2F1C" w:rsidP="00C5377E">
            <w:pPr>
              <w:rPr>
                <w:lang w:eastAsia="nl-BE"/>
              </w:rPr>
            </w:pPr>
            <w:r w:rsidRPr="00E563B1">
              <w:rPr>
                <w:szCs w:val="22"/>
                <w:lang w:eastAsia="nl-BE"/>
              </w:rPr>
              <w:t>Limburg</w:t>
            </w:r>
          </w:p>
        </w:tc>
        <w:tc>
          <w:tcPr>
            <w:tcW w:w="2410" w:type="dxa"/>
            <w:vAlign w:val="bottom"/>
          </w:tcPr>
          <w:p w:rsidR="003E2F1C" w:rsidRPr="00E563B1" w:rsidRDefault="003E2F1C" w:rsidP="00E563B1">
            <w:pPr>
              <w:jc w:val="center"/>
              <w:rPr>
                <w:color w:val="000000"/>
              </w:rPr>
            </w:pPr>
            <w:r w:rsidRPr="00E563B1">
              <w:rPr>
                <w:color w:val="000000"/>
                <w:szCs w:val="22"/>
              </w:rPr>
              <w:t>309</w:t>
            </w:r>
          </w:p>
        </w:tc>
        <w:tc>
          <w:tcPr>
            <w:tcW w:w="1842" w:type="dxa"/>
            <w:vAlign w:val="bottom"/>
          </w:tcPr>
          <w:p w:rsidR="003E2F1C" w:rsidRPr="00E563B1" w:rsidRDefault="003E2F1C" w:rsidP="00E563B1">
            <w:pPr>
              <w:jc w:val="center"/>
              <w:rPr>
                <w:color w:val="000000"/>
              </w:rPr>
            </w:pPr>
            <w:r w:rsidRPr="00E563B1">
              <w:rPr>
                <w:color w:val="000000"/>
                <w:szCs w:val="22"/>
              </w:rPr>
              <w:t>3740,85</w:t>
            </w:r>
          </w:p>
        </w:tc>
      </w:tr>
      <w:tr w:rsidR="003E2F1C" w:rsidRPr="000A538B" w:rsidTr="00E563B1">
        <w:trPr>
          <w:trHeight w:val="300"/>
        </w:trPr>
        <w:tc>
          <w:tcPr>
            <w:tcW w:w="2126" w:type="dxa"/>
          </w:tcPr>
          <w:p w:rsidR="003E2F1C" w:rsidRPr="00E563B1" w:rsidRDefault="003E2F1C" w:rsidP="00C5377E">
            <w:pPr>
              <w:rPr>
                <w:b/>
                <w:lang w:eastAsia="nl-BE"/>
              </w:rPr>
            </w:pPr>
            <w:r w:rsidRPr="00E563B1">
              <w:rPr>
                <w:b/>
                <w:szCs w:val="22"/>
                <w:lang w:eastAsia="nl-BE"/>
              </w:rPr>
              <w:t>Totaal</w:t>
            </w:r>
          </w:p>
        </w:tc>
        <w:tc>
          <w:tcPr>
            <w:tcW w:w="2410" w:type="dxa"/>
            <w:vAlign w:val="bottom"/>
          </w:tcPr>
          <w:p w:rsidR="003E2F1C" w:rsidRPr="00E563B1" w:rsidRDefault="003E2F1C" w:rsidP="00E563B1">
            <w:pPr>
              <w:jc w:val="center"/>
              <w:rPr>
                <w:b/>
              </w:rPr>
            </w:pPr>
            <w:r w:rsidRPr="00E563B1">
              <w:rPr>
                <w:b/>
                <w:szCs w:val="22"/>
              </w:rPr>
              <w:t>586</w:t>
            </w:r>
          </w:p>
        </w:tc>
        <w:tc>
          <w:tcPr>
            <w:tcW w:w="1842" w:type="dxa"/>
            <w:vAlign w:val="bottom"/>
          </w:tcPr>
          <w:p w:rsidR="003E2F1C" w:rsidRPr="00E563B1" w:rsidRDefault="003E2F1C" w:rsidP="00E563B1">
            <w:pPr>
              <w:jc w:val="center"/>
              <w:rPr>
                <w:b/>
              </w:rPr>
            </w:pPr>
            <w:r w:rsidRPr="00E563B1">
              <w:rPr>
                <w:b/>
                <w:szCs w:val="22"/>
              </w:rPr>
              <w:t>7484,85</w:t>
            </w:r>
          </w:p>
        </w:tc>
      </w:tr>
    </w:tbl>
    <w:p w:rsidR="003E2F1C" w:rsidRDefault="003E2F1C" w:rsidP="006857ED">
      <w:pPr>
        <w:pStyle w:val="StandaardSV"/>
        <w:ind w:left="360"/>
      </w:pPr>
    </w:p>
    <w:p w:rsidR="003E2F1C" w:rsidRDefault="003E2F1C" w:rsidP="006857ED">
      <w:pPr>
        <w:pStyle w:val="StandaardSV"/>
        <w:numPr>
          <w:ilvl w:val="0"/>
          <w:numId w:val="3"/>
        </w:numPr>
      </w:pPr>
      <w:r>
        <w:t>Er zijn op dit ogenblik nog geen betalingen uitgevoerd voor deze agromilieumaatregel. Deze betaling wordt uitgevoerd op 30 april 2011.</w:t>
      </w:r>
    </w:p>
    <w:p w:rsidR="003E2F1C" w:rsidRDefault="003E2F1C" w:rsidP="006857ED">
      <w:pPr>
        <w:pStyle w:val="StandaardSV"/>
        <w:ind w:left="360"/>
      </w:pPr>
      <w:r>
        <w:t>Louter i</w:t>
      </w:r>
      <w:bookmarkStart w:id="6" w:name="_GoBack"/>
      <w:bookmarkEnd w:id="6"/>
      <w:r>
        <w:t xml:space="preserve">ndicatief, d.i. abstractie makend van kortingen en uitsluitingen ingevolge niet-naleving van de voorwaarden,  kan gesteld worden dat het totale subsidiebedrag maximaal </w:t>
      </w:r>
      <w:smartTag w:uri="urn:schemas-microsoft-com:office:smarttags" w:element="metricconverter">
        <w:smartTagPr>
          <w:attr w:name="ProductID" w:val="7.484,85 ha"/>
        </w:smartTagPr>
        <w:r>
          <w:t>7.484,85 ha</w:t>
        </w:r>
      </w:smartTag>
      <w:r>
        <w:t xml:space="preserve"> x 250 €/ha = 1.871.212 € kan bedragen.</w:t>
      </w:r>
    </w:p>
    <w:p w:rsidR="003E2F1C" w:rsidRDefault="003E2F1C" w:rsidP="006857ED">
      <w:pPr>
        <w:pStyle w:val="StandaardSV"/>
      </w:pPr>
    </w:p>
    <w:p w:rsidR="003E2F1C" w:rsidRDefault="003E2F1C" w:rsidP="006857ED">
      <w:pPr>
        <w:pStyle w:val="StandaardSV"/>
        <w:numPr>
          <w:ilvl w:val="0"/>
          <w:numId w:val="3"/>
        </w:numPr>
      </w:pPr>
      <w:r>
        <w:t>In 2010 werd bij 47 landbouwers op 527 percelen een controle uitgevoerd op de agromilieu</w:t>
      </w:r>
      <w:r>
        <w:softHyphen/>
        <w:t xml:space="preserve">verbintenis ‘Verwarringstechniek pitfruitteelt’ voor een totale gecontroleerde oppervlakte van </w:t>
      </w:r>
      <w:smartTag w:uri="urn:schemas-microsoft-com:office:smarttags" w:element="metricconverter">
        <w:smartTagPr>
          <w:attr w:name="ProductID" w:val="1009,42 hectare"/>
        </w:smartTagPr>
        <w:r>
          <w:t>1009,42 hectare</w:t>
        </w:r>
      </w:smartTag>
      <w:r>
        <w:t xml:space="preserve">.  </w:t>
      </w:r>
    </w:p>
    <w:p w:rsidR="003E2F1C" w:rsidRDefault="003E2F1C" w:rsidP="006857ED"/>
    <w:p w:rsidR="003E2F1C" w:rsidRDefault="003E2F1C" w:rsidP="00807B89">
      <w:pPr>
        <w:ind w:left="360"/>
        <w:jc w:val="both"/>
      </w:pPr>
      <w:r>
        <w:t xml:space="preserve">Bij 13 landbouwers werden er op 53 percelen geen of te weinig dispensers uitgehangen. 6 landbouwers konden niet voldoende facturen voorleggen, één landbouwer kon helemaal geen facturen voorleggen. Op 8 gecontroleerde percelen werd een andere teelt dan appel of peer vastgesteld.  </w:t>
      </w:r>
    </w:p>
    <w:p w:rsidR="003E2F1C" w:rsidRDefault="003E2F1C" w:rsidP="006857ED">
      <w:pPr>
        <w:pStyle w:val="StandaardSV"/>
      </w:pPr>
    </w:p>
    <w:p w:rsidR="003E2F1C" w:rsidRPr="00C73721" w:rsidRDefault="003E2F1C" w:rsidP="006857ED">
      <w:pPr>
        <w:pStyle w:val="StandaardSV"/>
        <w:numPr>
          <w:ilvl w:val="0"/>
          <w:numId w:val="3"/>
        </w:numPr>
        <w:ind w:left="426"/>
      </w:pPr>
      <w:r>
        <w:t>Hiertoe wens ik te verwijzen naar mijn antwoord van 16/2/2011 op de schriftelijke vraag nr. 1364.</w:t>
      </w:r>
    </w:p>
    <w:p w:rsidR="003E2F1C" w:rsidRDefault="003E2F1C" w:rsidP="006857ED">
      <w:pPr>
        <w:pStyle w:val="StandaardSV"/>
      </w:pPr>
    </w:p>
    <w:p w:rsidR="003E2F1C" w:rsidRDefault="003E2F1C" w:rsidP="006857ED">
      <w:pPr>
        <w:pStyle w:val="StandaardSV"/>
        <w:numPr>
          <w:ilvl w:val="0"/>
          <w:numId w:val="3"/>
        </w:numPr>
        <w:ind w:left="426"/>
      </w:pPr>
      <w:r w:rsidRPr="006A3A5E">
        <w:rPr>
          <w:szCs w:val="22"/>
        </w:rPr>
        <w:t>Ik wacht de resultaten af van de verdere evaluaties en controles om eventueel verdere stappen te zetten om de maatregel te optimaliseren.</w:t>
      </w:r>
    </w:p>
    <w:p w:rsidR="003E2F1C" w:rsidRPr="006857ED" w:rsidRDefault="003E2F1C" w:rsidP="00873068">
      <w:pPr>
        <w:jc w:val="both"/>
      </w:pPr>
    </w:p>
    <w:sectPr w:rsidR="003E2F1C" w:rsidRPr="006857E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
    <w:nsid w:val="691D3A92"/>
    <w:multiLevelType w:val="hybridMultilevel"/>
    <w:tmpl w:val="3E0A90C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1724"/>
    <w:rsid w:val="000976E9"/>
    <w:rsid w:val="000A538B"/>
    <w:rsid w:val="000C4E8C"/>
    <w:rsid w:val="000F3532"/>
    <w:rsid w:val="001B6E48"/>
    <w:rsid w:val="001E2847"/>
    <w:rsid w:val="001F7390"/>
    <w:rsid w:val="00210C07"/>
    <w:rsid w:val="002307D7"/>
    <w:rsid w:val="00266E3B"/>
    <w:rsid w:val="002C4DA5"/>
    <w:rsid w:val="00311C82"/>
    <w:rsid w:val="00326A58"/>
    <w:rsid w:val="00377A35"/>
    <w:rsid w:val="003B4E78"/>
    <w:rsid w:val="003E2F1C"/>
    <w:rsid w:val="004605A6"/>
    <w:rsid w:val="004E2833"/>
    <w:rsid w:val="00566C53"/>
    <w:rsid w:val="005900AD"/>
    <w:rsid w:val="005D1E9F"/>
    <w:rsid w:val="005E38CA"/>
    <w:rsid w:val="0063138E"/>
    <w:rsid w:val="006548DD"/>
    <w:rsid w:val="006857ED"/>
    <w:rsid w:val="006A3A5E"/>
    <w:rsid w:val="006F4EB3"/>
    <w:rsid w:val="0071248C"/>
    <w:rsid w:val="007252C7"/>
    <w:rsid w:val="007474BA"/>
    <w:rsid w:val="00761611"/>
    <w:rsid w:val="00785A0D"/>
    <w:rsid w:val="007B177C"/>
    <w:rsid w:val="007D6095"/>
    <w:rsid w:val="007F60A8"/>
    <w:rsid w:val="00807B89"/>
    <w:rsid w:val="008346AE"/>
    <w:rsid w:val="00873068"/>
    <w:rsid w:val="00894185"/>
    <w:rsid w:val="008A7067"/>
    <w:rsid w:val="008A713D"/>
    <w:rsid w:val="008D5DB4"/>
    <w:rsid w:val="009347E0"/>
    <w:rsid w:val="0093491C"/>
    <w:rsid w:val="009D5AC1"/>
    <w:rsid w:val="009D7043"/>
    <w:rsid w:val="00A42280"/>
    <w:rsid w:val="00A76EC9"/>
    <w:rsid w:val="00A804C0"/>
    <w:rsid w:val="00AB4B80"/>
    <w:rsid w:val="00B45EB2"/>
    <w:rsid w:val="00B60F0E"/>
    <w:rsid w:val="00BE425A"/>
    <w:rsid w:val="00C0707D"/>
    <w:rsid w:val="00C5377E"/>
    <w:rsid w:val="00C73721"/>
    <w:rsid w:val="00CE2FB7"/>
    <w:rsid w:val="00D6605A"/>
    <w:rsid w:val="00D71D99"/>
    <w:rsid w:val="00D754F2"/>
    <w:rsid w:val="00D87EFD"/>
    <w:rsid w:val="00DB41C0"/>
    <w:rsid w:val="00DC4DB6"/>
    <w:rsid w:val="00DD19EF"/>
    <w:rsid w:val="00DD4121"/>
    <w:rsid w:val="00E04511"/>
    <w:rsid w:val="00E12C5D"/>
    <w:rsid w:val="00E31F4D"/>
    <w:rsid w:val="00E55200"/>
    <w:rsid w:val="00E563B1"/>
    <w:rsid w:val="00E75830"/>
    <w:rsid w:val="00E93509"/>
    <w:rsid w:val="00EE3DDB"/>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9D5AC1"/>
    <w:rPr>
      <w:rFonts w:ascii="Tahoma" w:hAnsi="Tahoma" w:cs="Tahoma"/>
      <w:sz w:val="16"/>
      <w:szCs w:val="16"/>
    </w:rPr>
  </w:style>
  <w:style w:type="character" w:customStyle="1" w:styleId="BalloonTextChar">
    <w:name w:val="Balloon Text Char"/>
    <w:basedOn w:val="DefaultParagraphFont"/>
    <w:link w:val="BalloonText"/>
    <w:uiPriority w:val="99"/>
    <w:locked/>
    <w:rsid w:val="009D5AC1"/>
    <w:rPr>
      <w:rFonts w:ascii="Tahoma" w:hAnsi="Tahoma" w:cs="Tahoma"/>
      <w:sz w:val="16"/>
      <w:szCs w:val="16"/>
      <w:lang w:val="nl-NL" w:eastAsia="nl-NL"/>
    </w:rPr>
  </w:style>
  <w:style w:type="paragraph" w:customStyle="1" w:styleId="StandaardSV">
    <w:name w:val="Standaard SV"/>
    <w:basedOn w:val="Normal"/>
    <w:uiPriority w:val="99"/>
    <w:rsid w:val="006857ED"/>
    <w:pPr>
      <w:jc w:val="both"/>
    </w:pPr>
    <w:rPr>
      <w:szCs w:val="20"/>
    </w:rPr>
  </w:style>
  <w:style w:type="table" w:styleId="TableGrid">
    <w:name w:val="Table Grid"/>
    <w:basedOn w:val="TableNormal"/>
    <w:uiPriority w:val="99"/>
    <w:rsid w:val="006857ED"/>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302</Words>
  <Characters>1666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JME</cp:lastModifiedBy>
  <cp:revision>6</cp:revision>
  <cp:lastPrinted>2011-04-14T13:40:00Z</cp:lastPrinted>
  <dcterms:created xsi:type="dcterms:W3CDTF">2011-04-14T12:30:00Z</dcterms:created>
  <dcterms:modified xsi:type="dcterms:W3CDTF">2011-05-16T12:59:00Z</dcterms:modified>
</cp:coreProperties>
</file>