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30F29" w:rsidRPr="00DD4121" w:rsidRDefault="00430F2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430F29" w:rsidRPr="00015BF7" w:rsidRDefault="00430F2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430F29" w:rsidRPr="00015BF7" w:rsidRDefault="00430F29" w:rsidP="000976E9">
      <w:pPr>
        <w:rPr>
          <w:szCs w:val="22"/>
        </w:rPr>
      </w:pPr>
    </w:p>
    <w:p w:rsidR="00430F29" w:rsidRPr="00DB41C0" w:rsidRDefault="00430F29" w:rsidP="000976E9">
      <w:pPr>
        <w:pStyle w:val="A-Lijn"/>
      </w:pPr>
    </w:p>
    <w:p w:rsidR="00430F29" w:rsidRDefault="00430F29" w:rsidP="000976E9">
      <w:pPr>
        <w:pStyle w:val="A-Type"/>
        <w:sectPr w:rsidR="00430F29">
          <w:pgSz w:w="11906" w:h="16838"/>
          <w:pgMar w:top="1417" w:right="1417" w:bottom="1417" w:left="1417" w:header="708" w:footer="708" w:gutter="0"/>
          <w:cols w:space="708"/>
          <w:rtlGutter/>
          <w:docGrid w:linePitch="360"/>
        </w:sectPr>
      </w:pPr>
    </w:p>
    <w:p w:rsidR="00430F29" w:rsidRDefault="00430F29" w:rsidP="000976E9">
      <w:pPr>
        <w:pStyle w:val="A-Type"/>
        <w:sectPr w:rsidR="00430F29"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30F29" w:rsidRPr="00326A58" w:rsidRDefault="00430F29"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258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30F29" w:rsidRDefault="00430F2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430F29" w:rsidRPr="00015BF7" w:rsidRDefault="00430F29" w:rsidP="000976E9">
      <w:pPr>
        <w:rPr>
          <w:szCs w:val="22"/>
        </w:rPr>
      </w:pPr>
    </w:p>
    <w:p w:rsidR="00430F29" w:rsidRPr="00DB41C0" w:rsidRDefault="00430F29" w:rsidP="000976E9">
      <w:pPr>
        <w:pStyle w:val="A-Lijn"/>
      </w:pPr>
    </w:p>
    <w:p w:rsidR="00430F29" w:rsidRPr="00DB41C0" w:rsidRDefault="00430F29" w:rsidP="000976E9">
      <w:pPr>
        <w:pStyle w:val="A-Lijn"/>
      </w:pPr>
    </w:p>
    <w:p w:rsidR="00430F29" w:rsidRDefault="00430F29" w:rsidP="00DB41C0">
      <w:pPr>
        <w:sectPr w:rsidR="00430F29" w:rsidSect="000976E9">
          <w:type w:val="continuous"/>
          <w:pgSz w:w="11906" w:h="16838"/>
          <w:pgMar w:top="1417" w:right="1417" w:bottom="1417" w:left="1417" w:header="708" w:footer="708" w:gutter="0"/>
          <w:cols w:space="708"/>
          <w:rtlGutter/>
          <w:docGrid w:linePitch="360"/>
        </w:sectPr>
      </w:pPr>
    </w:p>
    <w:p w:rsidR="00430F29" w:rsidRDefault="00430F29" w:rsidP="005C0FAE">
      <w:pPr>
        <w:pStyle w:val="StandaardSV"/>
        <w:numPr>
          <w:ilvl w:val="0"/>
          <w:numId w:val="6"/>
        </w:numPr>
        <w:rPr>
          <w:szCs w:val="22"/>
        </w:rPr>
      </w:pPr>
      <w:r w:rsidRPr="000A538B">
        <w:rPr>
          <w:szCs w:val="22"/>
        </w:rPr>
        <w:t xml:space="preserve">In de onderstaande tabellen is voor de agromilieuverbintenissen “mechanische onkruidbestrijding” een overzicht gegeven van het aantal verbintenissen over de laatste jaren en het aantal verbintenissen per provincie. </w:t>
      </w:r>
      <w:r>
        <w:rPr>
          <w:szCs w:val="22"/>
        </w:rPr>
        <w:t>Het is niet mogelijk om een specificatie naar bedrijfstypen weer te geven.</w:t>
      </w:r>
    </w:p>
    <w:p w:rsidR="00430F29" w:rsidRPr="005C0FAE" w:rsidRDefault="00430F29" w:rsidP="005C0FAE">
      <w:pPr>
        <w:pStyle w:val="StandaardSV"/>
        <w:ind w:left="360"/>
        <w:rPr>
          <w:szCs w:val="22"/>
        </w:rPr>
      </w:pPr>
    </w:p>
    <w:p w:rsidR="00430F29" w:rsidRPr="005C0FAE" w:rsidRDefault="00430F29" w:rsidP="005C0FAE">
      <w:pPr>
        <w:pStyle w:val="StandaardSV"/>
        <w:ind w:left="360"/>
        <w:rPr>
          <w:szCs w:val="22"/>
        </w:rPr>
      </w:pPr>
      <w:r w:rsidRPr="005C0FAE">
        <w:rPr>
          <w:szCs w:val="22"/>
        </w:rPr>
        <w:t>Tabel 1. Evolutie van het aantal verbintenissen “mechanische onkruidbestrijding”</w:t>
      </w:r>
    </w:p>
    <w:p w:rsidR="00430F29" w:rsidRPr="005C0FAE" w:rsidRDefault="00430F29" w:rsidP="005C0FAE">
      <w:pPr>
        <w:pStyle w:val="StandaardSV"/>
        <w:ind w:left="360"/>
        <w:rPr>
          <w:szCs w:val="22"/>
          <w:u w:val="single"/>
        </w:rPr>
      </w:pPr>
    </w:p>
    <w:tbl>
      <w:tblPr>
        <w:tblW w:w="9214" w:type="dxa"/>
        <w:tblInd w:w="430" w:type="dxa"/>
        <w:tblLayout w:type="fixed"/>
        <w:tblCellMar>
          <w:left w:w="70" w:type="dxa"/>
          <w:right w:w="70" w:type="dxa"/>
        </w:tblCellMar>
        <w:tblLook w:val="00A0"/>
      </w:tblPr>
      <w:tblGrid>
        <w:gridCol w:w="3402"/>
        <w:gridCol w:w="645"/>
        <w:gridCol w:w="646"/>
        <w:gridCol w:w="646"/>
        <w:gridCol w:w="646"/>
        <w:gridCol w:w="645"/>
        <w:gridCol w:w="646"/>
        <w:gridCol w:w="646"/>
        <w:gridCol w:w="646"/>
        <w:gridCol w:w="646"/>
      </w:tblGrid>
      <w:tr w:rsidR="00430F29" w:rsidRPr="005C0FAE" w:rsidTr="005C0FAE">
        <w:trPr>
          <w:trHeight w:val="330"/>
        </w:trPr>
        <w:tc>
          <w:tcPr>
            <w:tcW w:w="3402" w:type="dxa"/>
            <w:tcBorders>
              <w:top w:val="single" w:sz="8" w:space="0" w:color="auto"/>
              <w:left w:val="single" w:sz="8" w:space="0" w:color="auto"/>
              <w:bottom w:val="single" w:sz="8" w:space="0" w:color="auto"/>
              <w:right w:val="single" w:sz="8" w:space="0" w:color="auto"/>
            </w:tcBorders>
            <w:vAlign w:val="center"/>
          </w:tcPr>
          <w:p w:rsidR="00430F29" w:rsidRPr="005C0FAE" w:rsidRDefault="00430F29" w:rsidP="00BA4E8A">
            <w:pPr>
              <w:rPr>
                <w:color w:val="000000"/>
                <w:lang w:val="nl-BE" w:eastAsia="nl-BE"/>
              </w:rPr>
            </w:pPr>
            <w:r w:rsidRPr="005C0FAE">
              <w:rPr>
                <w:color w:val="000000"/>
                <w:szCs w:val="22"/>
                <w:lang w:val="nl-BE" w:eastAsia="nl-BE"/>
              </w:rPr>
              <w:t>Campagne</w:t>
            </w:r>
          </w:p>
        </w:tc>
        <w:tc>
          <w:tcPr>
            <w:tcW w:w="645"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2002</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2003</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2004</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2005</w:t>
            </w:r>
          </w:p>
        </w:tc>
        <w:tc>
          <w:tcPr>
            <w:tcW w:w="645"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2006</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2007</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2008</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2009</w:t>
            </w:r>
          </w:p>
        </w:tc>
        <w:tc>
          <w:tcPr>
            <w:tcW w:w="646" w:type="dxa"/>
            <w:tcBorders>
              <w:top w:val="single" w:sz="8" w:space="0" w:color="auto"/>
              <w:left w:val="nil"/>
              <w:bottom w:val="single" w:sz="8" w:space="0" w:color="auto"/>
              <w:right w:val="single" w:sz="8" w:space="0" w:color="auto"/>
            </w:tcBorders>
            <w:vAlign w:val="center"/>
          </w:tcPr>
          <w:p w:rsidR="00430F29" w:rsidRPr="005C0FAE" w:rsidRDefault="00430F29" w:rsidP="00BA4E8A">
            <w:pPr>
              <w:jc w:val="right"/>
              <w:rPr>
                <w:color w:val="000000"/>
                <w:lang w:val="nl-BE" w:eastAsia="nl-BE"/>
              </w:rPr>
            </w:pPr>
            <w:r w:rsidRPr="005C0FAE">
              <w:rPr>
                <w:color w:val="000000"/>
                <w:szCs w:val="22"/>
                <w:lang w:eastAsia="nl-BE"/>
              </w:rPr>
              <w:t>2010</w:t>
            </w:r>
          </w:p>
        </w:tc>
      </w:tr>
      <w:tr w:rsidR="00430F29" w:rsidRPr="005C0FAE" w:rsidTr="005C0FAE">
        <w:trPr>
          <w:trHeight w:val="461"/>
        </w:trPr>
        <w:tc>
          <w:tcPr>
            <w:tcW w:w="3402" w:type="dxa"/>
            <w:tcBorders>
              <w:top w:val="nil"/>
              <w:left w:val="single" w:sz="8" w:space="0" w:color="auto"/>
              <w:bottom w:val="single" w:sz="8" w:space="0" w:color="auto"/>
              <w:right w:val="single" w:sz="8" w:space="0" w:color="auto"/>
            </w:tcBorders>
            <w:vAlign w:val="center"/>
          </w:tcPr>
          <w:p w:rsidR="00430F29" w:rsidRPr="005C0FAE" w:rsidRDefault="00430F29" w:rsidP="00BA4E8A">
            <w:pPr>
              <w:rPr>
                <w:color w:val="000000"/>
                <w:lang w:eastAsia="nl-BE"/>
              </w:rPr>
            </w:pPr>
            <w:r w:rsidRPr="005C0FAE">
              <w:rPr>
                <w:color w:val="000000"/>
                <w:szCs w:val="22"/>
                <w:lang w:eastAsia="nl-BE"/>
              </w:rPr>
              <w:t>Aantal verbintenissen</w:t>
            </w:r>
          </w:p>
          <w:p w:rsidR="00430F29" w:rsidRPr="005C0FAE" w:rsidRDefault="00430F29" w:rsidP="00BA4E8A">
            <w:pPr>
              <w:rPr>
                <w:color w:val="000000"/>
                <w:lang w:val="nl-BE" w:eastAsia="nl-BE"/>
              </w:rPr>
            </w:pPr>
            <w:r w:rsidRPr="005C0FAE">
              <w:rPr>
                <w:szCs w:val="22"/>
              </w:rPr>
              <w:t>“mechanische onkruidbestrijding”</w:t>
            </w:r>
          </w:p>
        </w:tc>
        <w:tc>
          <w:tcPr>
            <w:tcW w:w="645"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298</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424</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892</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989</w:t>
            </w:r>
          </w:p>
        </w:tc>
        <w:tc>
          <w:tcPr>
            <w:tcW w:w="645"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1.068</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1.365</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1.422</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980</w:t>
            </w:r>
          </w:p>
        </w:tc>
        <w:tc>
          <w:tcPr>
            <w:tcW w:w="646" w:type="dxa"/>
            <w:tcBorders>
              <w:top w:val="nil"/>
              <w:left w:val="nil"/>
              <w:bottom w:val="single" w:sz="8" w:space="0" w:color="auto"/>
              <w:right w:val="single" w:sz="8" w:space="0" w:color="auto"/>
            </w:tcBorders>
            <w:vAlign w:val="center"/>
          </w:tcPr>
          <w:p w:rsidR="00430F29" w:rsidRPr="005C0FAE" w:rsidRDefault="00430F29" w:rsidP="00BA4E8A">
            <w:pPr>
              <w:jc w:val="center"/>
            </w:pPr>
            <w:r w:rsidRPr="005C0FAE">
              <w:rPr>
                <w:szCs w:val="22"/>
              </w:rPr>
              <w:t>862</w:t>
            </w:r>
          </w:p>
        </w:tc>
      </w:tr>
    </w:tbl>
    <w:p w:rsidR="00430F29" w:rsidRPr="000A538B" w:rsidRDefault="00430F29" w:rsidP="00FF63E9">
      <w:pPr>
        <w:pStyle w:val="StandaardSV"/>
        <w:rPr>
          <w:szCs w:val="22"/>
        </w:rPr>
      </w:pPr>
    </w:p>
    <w:p w:rsidR="00430F29" w:rsidRPr="005C0FAE" w:rsidRDefault="00430F29" w:rsidP="005C0FAE">
      <w:pPr>
        <w:pStyle w:val="StandaardSV"/>
        <w:ind w:left="360"/>
        <w:rPr>
          <w:szCs w:val="22"/>
        </w:rPr>
      </w:pPr>
      <w:r w:rsidRPr="005C0FAE">
        <w:rPr>
          <w:szCs w:val="22"/>
        </w:rPr>
        <w:t>Tabel 2. Overzicht van de verbintenissen en oppervlaktes “mechanische onkruidbestrijding”per provincie op basis van de uitbetaalde subsidies (verzamelaanvraag 2009)</w:t>
      </w:r>
    </w:p>
    <w:p w:rsidR="00430F29" w:rsidRPr="000A538B" w:rsidRDefault="00430F29" w:rsidP="005C0FAE">
      <w:pPr>
        <w:pStyle w:val="StandaardSV"/>
        <w:ind w:left="708"/>
        <w:rPr>
          <w:szCs w:val="22"/>
          <w:u w:val="single"/>
        </w:rPr>
      </w:pP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268"/>
        <w:gridCol w:w="3259"/>
      </w:tblGrid>
      <w:tr w:rsidR="00430F29" w:rsidRPr="005C0FAE" w:rsidTr="003946C9">
        <w:trPr>
          <w:trHeight w:val="506"/>
        </w:trPr>
        <w:tc>
          <w:tcPr>
            <w:tcW w:w="3969" w:type="dxa"/>
          </w:tcPr>
          <w:p w:rsidR="00430F29" w:rsidRPr="003946C9" w:rsidRDefault="00430F29" w:rsidP="00BA4E8A">
            <w:pPr>
              <w:rPr>
                <w:color w:val="000000"/>
                <w:lang w:val="nl-BE" w:eastAsia="nl-BE"/>
              </w:rPr>
            </w:pPr>
            <w:r w:rsidRPr="003946C9">
              <w:rPr>
                <w:color w:val="000000"/>
                <w:szCs w:val="22"/>
                <w:lang w:val="nl-BE" w:eastAsia="nl-BE"/>
              </w:rPr>
              <w:t>Locatie bedrijfszetel</w:t>
            </w:r>
          </w:p>
        </w:tc>
        <w:tc>
          <w:tcPr>
            <w:tcW w:w="2268" w:type="dxa"/>
          </w:tcPr>
          <w:p w:rsidR="00430F29" w:rsidRPr="003946C9" w:rsidRDefault="00430F29" w:rsidP="005C0FAE">
            <w:pPr>
              <w:rPr>
                <w:color w:val="000000"/>
                <w:lang w:val="nl-BE" w:eastAsia="nl-BE"/>
              </w:rPr>
            </w:pPr>
            <w:r w:rsidRPr="003946C9">
              <w:rPr>
                <w:color w:val="000000"/>
                <w:szCs w:val="22"/>
                <w:lang w:val="nl-BE" w:eastAsia="nl-BE"/>
              </w:rPr>
              <w:t>Aantal verbintenissen</w:t>
            </w:r>
          </w:p>
        </w:tc>
        <w:tc>
          <w:tcPr>
            <w:tcW w:w="3259" w:type="dxa"/>
          </w:tcPr>
          <w:p w:rsidR="00430F29" w:rsidRPr="003946C9" w:rsidRDefault="00430F29" w:rsidP="005C0FAE">
            <w:pPr>
              <w:rPr>
                <w:color w:val="000000"/>
                <w:lang w:val="nl-BE" w:eastAsia="nl-BE"/>
              </w:rPr>
            </w:pPr>
            <w:r w:rsidRPr="003946C9">
              <w:rPr>
                <w:color w:val="000000"/>
                <w:szCs w:val="22"/>
                <w:lang w:val="nl-BE" w:eastAsia="nl-BE"/>
              </w:rPr>
              <w:t>Areaal (ha)</w:t>
            </w:r>
          </w:p>
        </w:tc>
      </w:tr>
      <w:tr w:rsidR="00430F29" w:rsidRPr="005C0FAE" w:rsidTr="003946C9">
        <w:trPr>
          <w:trHeight w:val="300"/>
        </w:trPr>
        <w:tc>
          <w:tcPr>
            <w:tcW w:w="3969" w:type="dxa"/>
          </w:tcPr>
          <w:p w:rsidR="00430F29" w:rsidRPr="003946C9" w:rsidRDefault="00430F29" w:rsidP="00BA4E8A">
            <w:pPr>
              <w:rPr>
                <w:color w:val="000000"/>
                <w:lang w:val="nl-BE" w:eastAsia="nl-BE"/>
              </w:rPr>
            </w:pPr>
            <w:r w:rsidRPr="003946C9">
              <w:rPr>
                <w:color w:val="000000"/>
                <w:szCs w:val="22"/>
                <w:lang w:val="nl-BE" w:eastAsia="nl-BE"/>
              </w:rPr>
              <w:t>Antwerpen</w:t>
            </w:r>
          </w:p>
        </w:tc>
        <w:tc>
          <w:tcPr>
            <w:tcW w:w="2268"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89</w:t>
            </w:r>
          </w:p>
        </w:tc>
        <w:tc>
          <w:tcPr>
            <w:tcW w:w="3259"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720,35</w:t>
            </w:r>
          </w:p>
        </w:tc>
      </w:tr>
      <w:tr w:rsidR="00430F29" w:rsidRPr="005C0FAE" w:rsidTr="003946C9">
        <w:trPr>
          <w:trHeight w:val="75"/>
        </w:trPr>
        <w:tc>
          <w:tcPr>
            <w:tcW w:w="3969" w:type="dxa"/>
          </w:tcPr>
          <w:p w:rsidR="00430F29" w:rsidRPr="003946C9" w:rsidRDefault="00430F29" w:rsidP="00BA4E8A">
            <w:pPr>
              <w:rPr>
                <w:color w:val="000000"/>
                <w:lang w:val="nl-BE" w:eastAsia="nl-BE"/>
              </w:rPr>
            </w:pPr>
            <w:r w:rsidRPr="003946C9">
              <w:rPr>
                <w:color w:val="000000"/>
                <w:szCs w:val="22"/>
                <w:lang w:val="nl-BE" w:eastAsia="nl-BE"/>
              </w:rPr>
              <w:t>Vlaams-Brabant</w:t>
            </w:r>
          </w:p>
        </w:tc>
        <w:tc>
          <w:tcPr>
            <w:tcW w:w="2268"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25</w:t>
            </w:r>
          </w:p>
        </w:tc>
        <w:tc>
          <w:tcPr>
            <w:tcW w:w="3259"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159,46</w:t>
            </w:r>
          </w:p>
        </w:tc>
      </w:tr>
      <w:tr w:rsidR="00430F29" w:rsidRPr="005C0FAE" w:rsidTr="003946C9">
        <w:trPr>
          <w:trHeight w:val="300"/>
        </w:trPr>
        <w:tc>
          <w:tcPr>
            <w:tcW w:w="3969" w:type="dxa"/>
          </w:tcPr>
          <w:p w:rsidR="00430F29" w:rsidRPr="003946C9" w:rsidRDefault="00430F29" w:rsidP="00BA4E8A">
            <w:pPr>
              <w:rPr>
                <w:color w:val="000000"/>
                <w:lang w:val="nl-BE" w:eastAsia="nl-BE"/>
              </w:rPr>
            </w:pPr>
            <w:r w:rsidRPr="003946C9">
              <w:rPr>
                <w:color w:val="000000"/>
                <w:szCs w:val="22"/>
                <w:lang w:val="nl-BE" w:eastAsia="nl-BE"/>
              </w:rPr>
              <w:t>West-Vlaanderen</w:t>
            </w:r>
          </w:p>
        </w:tc>
        <w:tc>
          <w:tcPr>
            <w:tcW w:w="2268"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745</w:t>
            </w:r>
          </w:p>
        </w:tc>
        <w:tc>
          <w:tcPr>
            <w:tcW w:w="3259"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2558,29</w:t>
            </w:r>
          </w:p>
        </w:tc>
      </w:tr>
      <w:tr w:rsidR="00430F29" w:rsidRPr="005C0FAE" w:rsidTr="003946C9">
        <w:trPr>
          <w:trHeight w:val="300"/>
        </w:trPr>
        <w:tc>
          <w:tcPr>
            <w:tcW w:w="3969" w:type="dxa"/>
          </w:tcPr>
          <w:p w:rsidR="00430F29" w:rsidRPr="003946C9" w:rsidRDefault="00430F29" w:rsidP="00BA4E8A">
            <w:pPr>
              <w:rPr>
                <w:color w:val="000000"/>
                <w:lang w:val="nl-BE" w:eastAsia="nl-BE"/>
              </w:rPr>
            </w:pPr>
            <w:r w:rsidRPr="003946C9">
              <w:rPr>
                <w:color w:val="000000"/>
                <w:szCs w:val="22"/>
                <w:lang w:val="nl-BE" w:eastAsia="nl-BE"/>
              </w:rPr>
              <w:t>Oost-Vlaanderen</w:t>
            </w:r>
          </w:p>
        </w:tc>
        <w:tc>
          <w:tcPr>
            <w:tcW w:w="2268"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73</w:t>
            </w:r>
          </w:p>
        </w:tc>
        <w:tc>
          <w:tcPr>
            <w:tcW w:w="3259"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409,21</w:t>
            </w:r>
          </w:p>
        </w:tc>
      </w:tr>
      <w:tr w:rsidR="00430F29" w:rsidRPr="005C0FAE" w:rsidTr="003946C9">
        <w:trPr>
          <w:trHeight w:val="300"/>
        </w:trPr>
        <w:tc>
          <w:tcPr>
            <w:tcW w:w="3969" w:type="dxa"/>
          </w:tcPr>
          <w:p w:rsidR="00430F29" w:rsidRPr="003946C9" w:rsidRDefault="00430F29" w:rsidP="00BA4E8A">
            <w:pPr>
              <w:rPr>
                <w:color w:val="000000"/>
                <w:lang w:val="nl-BE" w:eastAsia="nl-BE"/>
              </w:rPr>
            </w:pPr>
            <w:r w:rsidRPr="003946C9">
              <w:rPr>
                <w:color w:val="000000"/>
                <w:szCs w:val="22"/>
                <w:lang w:val="nl-BE" w:eastAsia="nl-BE"/>
              </w:rPr>
              <w:t>Limburg</w:t>
            </w:r>
          </w:p>
        </w:tc>
        <w:tc>
          <w:tcPr>
            <w:tcW w:w="2268"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43</w:t>
            </w:r>
          </w:p>
        </w:tc>
        <w:tc>
          <w:tcPr>
            <w:tcW w:w="3259"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383,69</w:t>
            </w:r>
          </w:p>
        </w:tc>
      </w:tr>
      <w:tr w:rsidR="00430F29" w:rsidRPr="005C0FAE" w:rsidTr="003946C9">
        <w:trPr>
          <w:trHeight w:val="300"/>
        </w:trPr>
        <w:tc>
          <w:tcPr>
            <w:tcW w:w="3969" w:type="dxa"/>
          </w:tcPr>
          <w:p w:rsidR="00430F29" w:rsidRPr="003946C9" w:rsidRDefault="00430F29" w:rsidP="00BA4E8A">
            <w:pPr>
              <w:rPr>
                <w:color w:val="000000"/>
                <w:lang w:val="nl-BE" w:eastAsia="nl-BE"/>
              </w:rPr>
            </w:pPr>
            <w:r w:rsidRPr="003946C9">
              <w:rPr>
                <w:color w:val="000000"/>
                <w:szCs w:val="22"/>
                <w:lang w:val="nl-BE" w:eastAsia="nl-BE"/>
              </w:rPr>
              <w:t>Totaal</w:t>
            </w:r>
          </w:p>
        </w:tc>
        <w:tc>
          <w:tcPr>
            <w:tcW w:w="2268"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975</w:t>
            </w:r>
          </w:p>
        </w:tc>
        <w:tc>
          <w:tcPr>
            <w:tcW w:w="3259" w:type="dxa"/>
            <w:vAlign w:val="center"/>
          </w:tcPr>
          <w:p w:rsidR="00430F29" w:rsidRPr="003946C9" w:rsidRDefault="00430F29" w:rsidP="003946C9">
            <w:pPr>
              <w:jc w:val="center"/>
              <w:rPr>
                <w:color w:val="000000"/>
                <w:lang w:val="nl-BE" w:eastAsia="nl-BE"/>
              </w:rPr>
            </w:pPr>
            <w:r w:rsidRPr="003946C9">
              <w:rPr>
                <w:color w:val="000000"/>
                <w:szCs w:val="22"/>
                <w:lang w:val="nl-BE" w:eastAsia="nl-BE"/>
              </w:rPr>
              <w:t>4231</w:t>
            </w:r>
          </w:p>
        </w:tc>
      </w:tr>
    </w:tbl>
    <w:p w:rsidR="00430F29" w:rsidRPr="000A538B" w:rsidRDefault="00430F29" w:rsidP="00FF63E9">
      <w:pPr>
        <w:pStyle w:val="StandaardSV"/>
        <w:rPr>
          <w:szCs w:val="22"/>
        </w:rPr>
      </w:pPr>
    </w:p>
    <w:p w:rsidR="00430F29" w:rsidRPr="000A538B" w:rsidRDefault="00430F29" w:rsidP="005C0FAE">
      <w:pPr>
        <w:pStyle w:val="StandaardSV"/>
        <w:numPr>
          <w:ilvl w:val="0"/>
          <w:numId w:val="6"/>
        </w:numPr>
        <w:rPr>
          <w:szCs w:val="22"/>
        </w:rPr>
      </w:pPr>
      <w:r w:rsidRPr="000A538B">
        <w:rPr>
          <w:szCs w:val="22"/>
        </w:rPr>
        <w:t>In de onderstaande tabel wordt de uitbetaalde subsidie “mechanische onkruidbestrijding”</w:t>
      </w:r>
      <w:r>
        <w:rPr>
          <w:szCs w:val="22"/>
        </w:rPr>
        <w:t xml:space="preserve"> </w:t>
      </w:r>
      <w:r w:rsidRPr="000A538B">
        <w:rPr>
          <w:szCs w:val="22"/>
        </w:rPr>
        <w:t>weergegeven voor de laatste jaren.</w:t>
      </w:r>
    </w:p>
    <w:p w:rsidR="00430F29" w:rsidRPr="000A538B" w:rsidRDefault="00430F29" w:rsidP="00FF63E9">
      <w:pPr>
        <w:pStyle w:val="StandaardSV"/>
        <w:rPr>
          <w:szCs w:val="22"/>
        </w:rPr>
      </w:pPr>
    </w:p>
    <w:p w:rsidR="00430F29" w:rsidRPr="005C0FAE" w:rsidRDefault="00430F29" w:rsidP="005C0FAE">
      <w:pPr>
        <w:pStyle w:val="StandaardSV"/>
        <w:ind w:left="360"/>
        <w:rPr>
          <w:szCs w:val="22"/>
        </w:rPr>
      </w:pPr>
      <w:r w:rsidRPr="005C0FAE">
        <w:rPr>
          <w:szCs w:val="22"/>
        </w:rPr>
        <w:t>Tabel 3. Overzicht van de uitbetaalde subsidies “mechanische onkruidbestrijding”</w:t>
      </w:r>
    </w:p>
    <w:p w:rsidR="00430F29" w:rsidRPr="005C0FAE" w:rsidRDefault="00430F29" w:rsidP="005C0FAE">
      <w:pPr>
        <w:pStyle w:val="StandaardSV"/>
        <w:ind w:left="360"/>
        <w:rPr>
          <w:szCs w:val="22"/>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816"/>
        <w:gridCol w:w="816"/>
        <w:gridCol w:w="816"/>
        <w:gridCol w:w="816"/>
        <w:gridCol w:w="696"/>
        <w:gridCol w:w="939"/>
        <w:gridCol w:w="939"/>
        <w:gridCol w:w="939"/>
      </w:tblGrid>
      <w:tr w:rsidR="00430F29" w:rsidRPr="005C0FAE" w:rsidTr="003946C9">
        <w:tc>
          <w:tcPr>
            <w:tcW w:w="2337" w:type="dxa"/>
            <w:vAlign w:val="center"/>
          </w:tcPr>
          <w:p w:rsidR="00430F29" w:rsidRPr="003946C9" w:rsidRDefault="00430F29" w:rsidP="003946C9">
            <w:pPr>
              <w:jc w:val="center"/>
            </w:pPr>
            <w:r w:rsidRPr="003946C9">
              <w:rPr>
                <w:szCs w:val="22"/>
              </w:rPr>
              <w:t>Campagne</w:t>
            </w:r>
          </w:p>
        </w:tc>
        <w:tc>
          <w:tcPr>
            <w:tcW w:w="816" w:type="dxa"/>
            <w:vAlign w:val="center"/>
          </w:tcPr>
          <w:p w:rsidR="00430F29" w:rsidRPr="003946C9" w:rsidRDefault="00430F29" w:rsidP="003946C9">
            <w:pPr>
              <w:jc w:val="center"/>
            </w:pPr>
            <w:r w:rsidRPr="003946C9">
              <w:rPr>
                <w:szCs w:val="22"/>
              </w:rPr>
              <w:t>2002</w:t>
            </w:r>
          </w:p>
        </w:tc>
        <w:tc>
          <w:tcPr>
            <w:tcW w:w="816" w:type="dxa"/>
            <w:vAlign w:val="center"/>
          </w:tcPr>
          <w:p w:rsidR="00430F29" w:rsidRPr="003946C9" w:rsidRDefault="00430F29" w:rsidP="003946C9">
            <w:pPr>
              <w:jc w:val="center"/>
            </w:pPr>
            <w:r w:rsidRPr="003946C9">
              <w:rPr>
                <w:szCs w:val="22"/>
              </w:rPr>
              <w:t>2003</w:t>
            </w:r>
          </w:p>
        </w:tc>
        <w:tc>
          <w:tcPr>
            <w:tcW w:w="816" w:type="dxa"/>
            <w:vAlign w:val="center"/>
          </w:tcPr>
          <w:p w:rsidR="00430F29" w:rsidRPr="003946C9" w:rsidRDefault="00430F29" w:rsidP="003946C9">
            <w:pPr>
              <w:jc w:val="center"/>
            </w:pPr>
            <w:r w:rsidRPr="003946C9">
              <w:rPr>
                <w:szCs w:val="22"/>
              </w:rPr>
              <w:t>2004</w:t>
            </w:r>
          </w:p>
        </w:tc>
        <w:tc>
          <w:tcPr>
            <w:tcW w:w="816" w:type="dxa"/>
            <w:vAlign w:val="center"/>
          </w:tcPr>
          <w:p w:rsidR="00430F29" w:rsidRPr="003946C9" w:rsidRDefault="00430F29" w:rsidP="003946C9">
            <w:pPr>
              <w:jc w:val="center"/>
            </w:pPr>
            <w:r w:rsidRPr="003946C9">
              <w:rPr>
                <w:szCs w:val="22"/>
              </w:rPr>
              <w:t>2005</w:t>
            </w:r>
          </w:p>
        </w:tc>
        <w:tc>
          <w:tcPr>
            <w:tcW w:w="696" w:type="dxa"/>
            <w:vAlign w:val="center"/>
          </w:tcPr>
          <w:p w:rsidR="00430F29" w:rsidRPr="003946C9" w:rsidRDefault="00430F29" w:rsidP="003946C9">
            <w:pPr>
              <w:jc w:val="center"/>
            </w:pPr>
            <w:r w:rsidRPr="003946C9">
              <w:rPr>
                <w:szCs w:val="22"/>
              </w:rPr>
              <w:t>2006</w:t>
            </w:r>
          </w:p>
        </w:tc>
        <w:tc>
          <w:tcPr>
            <w:tcW w:w="939" w:type="dxa"/>
            <w:vAlign w:val="center"/>
          </w:tcPr>
          <w:p w:rsidR="00430F29" w:rsidRPr="003946C9" w:rsidRDefault="00430F29" w:rsidP="003946C9">
            <w:pPr>
              <w:jc w:val="center"/>
            </w:pPr>
            <w:r w:rsidRPr="003946C9">
              <w:rPr>
                <w:szCs w:val="22"/>
              </w:rPr>
              <w:t>2007</w:t>
            </w:r>
          </w:p>
        </w:tc>
        <w:tc>
          <w:tcPr>
            <w:tcW w:w="939" w:type="dxa"/>
            <w:vAlign w:val="center"/>
          </w:tcPr>
          <w:p w:rsidR="00430F29" w:rsidRPr="003946C9" w:rsidRDefault="00430F29" w:rsidP="003946C9">
            <w:pPr>
              <w:jc w:val="center"/>
            </w:pPr>
            <w:r w:rsidRPr="003946C9">
              <w:rPr>
                <w:szCs w:val="22"/>
              </w:rPr>
              <w:t>2008</w:t>
            </w:r>
          </w:p>
        </w:tc>
        <w:tc>
          <w:tcPr>
            <w:tcW w:w="939" w:type="dxa"/>
            <w:vAlign w:val="center"/>
          </w:tcPr>
          <w:p w:rsidR="00430F29" w:rsidRPr="003946C9" w:rsidRDefault="00430F29" w:rsidP="003946C9">
            <w:pPr>
              <w:jc w:val="center"/>
            </w:pPr>
            <w:r w:rsidRPr="003946C9">
              <w:rPr>
                <w:szCs w:val="22"/>
              </w:rPr>
              <w:t>2009</w:t>
            </w:r>
          </w:p>
        </w:tc>
      </w:tr>
      <w:tr w:rsidR="00430F29" w:rsidRPr="005C0FAE" w:rsidTr="003946C9">
        <w:tc>
          <w:tcPr>
            <w:tcW w:w="2337" w:type="dxa"/>
            <w:vAlign w:val="center"/>
          </w:tcPr>
          <w:p w:rsidR="00430F29" w:rsidRPr="003946C9" w:rsidRDefault="00430F29" w:rsidP="003946C9">
            <w:pPr>
              <w:jc w:val="center"/>
            </w:pPr>
            <w:r w:rsidRPr="003946C9">
              <w:rPr>
                <w:szCs w:val="22"/>
              </w:rPr>
              <w:t>Subsidiebedrag</w:t>
            </w:r>
          </w:p>
          <w:p w:rsidR="00430F29" w:rsidRPr="003946C9" w:rsidRDefault="00430F29" w:rsidP="003946C9">
            <w:pPr>
              <w:jc w:val="center"/>
            </w:pPr>
            <w:r w:rsidRPr="003946C9">
              <w:rPr>
                <w:szCs w:val="22"/>
              </w:rPr>
              <w:t>(X 1000 euro)</w:t>
            </w:r>
          </w:p>
        </w:tc>
        <w:tc>
          <w:tcPr>
            <w:tcW w:w="816" w:type="dxa"/>
            <w:vAlign w:val="center"/>
          </w:tcPr>
          <w:p w:rsidR="00430F29" w:rsidRPr="003946C9" w:rsidRDefault="00430F29" w:rsidP="003946C9">
            <w:pPr>
              <w:jc w:val="center"/>
            </w:pPr>
            <w:r w:rsidRPr="003946C9">
              <w:rPr>
                <w:szCs w:val="22"/>
              </w:rPr>
              <w:t>254</w:t>
            </w:r>
          </w:p>
        </w:tc>
        <w:tc>
          <w:tcPr>
            <w:tcW w:w="816" w:type="dxa"/>
            <w:vAlign w:val="center"/>
          </w:tcPr>
          <w:p w:rsidR="00430F29" w:rsidRPr="003946C9" w:rsidRDefault="00430F29" w:rsidP="003946C9">
            <w:pPr>
              <w:jc w:val="center"/>
            </w:pPr>
            <w:r w:rsidRPr="003946C9">
              <w:rPr>
                <w:szCs w:val="22"/>
              </w:rPr>
              <w:t>323</w:t>
            </w:r>
          </w:p>
        </w:tc>
        <w:tc>
          <w:tcPr>
            <w:tcW w:w="816" w:type="dxa"/>
            <w:vAlign w:val="center"/>
          </w:tcPr>
          <w:p w:rsidR="00430F29" w:rsidRPr="003946C9" w:rsidRDefault="00430F29" w:rsidP="003946C9">
            <w:pPr>
              <w:jc w:val="center"/>
            </w:pPr>
            <w:r w:rsidRPr="003946C9">
              <w:rPr>
                <w:szCs w:val="22"/>
              </w:rPr>
              <w:t>528</w:t>
            </w:r>
          </w:p>
        </w:tc>
        <w:tc>
          <w:tcPr>
            <w:tcW w:w="816" w:type="dxa"/>
            <w:vAlign w:val="center"/>
          </w:tcPr>
          <w:p w:rsidR="00430F29" w:rsidRPr="003946C9" w:rsidRDefault="00430F29" w:rsidP="003946C9">
            <w:pPr>
              <w:jc w:val="center"/>
            </w:pPr>
            <w:r w:rsidRPr="003946C9">
              <w:rPr>
                <w:szCs w:val="22"/>
              </w:rPr>
              <w:t>613</w:t>
            </w:r>
          </w:p>
        </w:tc>
        <w:tc>
          <w:tcPr>
            <w:tcW w:w="696" w:type="dxa"/>
            <w:vAlign w:val="center"/>
          </w:tcPr>
          <w:p w:rsidR="00430F29" w:rsidRPr="003946C9" w:rsidRDefault="00430F29" w:rsidP="003946C9">
            <w:pPr>
              <w:jc w:val="center"/>
            </w:pPr>
            <w:r w:rsidRPr="003946C9">
              <w:rPr>
                <w:szCs w:val="22"/>
              </w:rPr>
              <w:t>640</w:t>
            </w:r>
          </w:p>
        </w:tc>
        <w:tc>
          <w:tcPr>
            <w:tcW w:w="939" w:type="dxa"/>
            <w:vAlign w:val="center"/>
          </w:tcPr>
          <w:p w:rsidR="00430F29" w:rsidRPr="003946C9" w:rsidRDefault="00430F29" w:rsidP="003946C9">
            <w:pPr>
              <w:jc w:val="center"/>
            </w:pPr>
            <w:r w:rsidRPr="003946C9">
              <w:rPr>
                <w:szCs w:val="22"/>
              </w:rPr>
              <w:t>745</w:t>
            </w:r>
          </w:p>
        </w:tc>
        <w:tc>
          <w:tcPr>
            <w:tcW w:w="939" w:type="dxa"/>
            <w:vAlign w:val="center"/>
          </w:tcPr>
          <w:p w:rsidR="00430F29" w:rsidRPr="003946C9" w:rsidRDefault="00430F29" w:rsidP="003946C9">
            <w:pPr>
              <w:jc w:val="center"/>
            </w:pPr>
            <w:r w:rsidRPr="003946C9">
              <w:rPr>
                <w:szCs w:val="22"/>
              </w:rPr>
              <w:t>902</w:t>
            </w:r>
          </w:p>
        </w:tc>
        <w:tc>
          <w:tcPr>
            <w:tcW w:w="939" w:type="dxa"/>
            <w:vAlign w:val="center"/>
          </w:tcPr>
          <w:p w:rsidR="00430F29" w:rsidRPr="003946C9" w:rsidRDefault="00430F29" w:rsidP="003946C9">
            <w:pPr>
              <w:jc w:val="center"/>
            </w:pPr>
            <w:r w:rsidRPr="003946C9">
              <w:rPr>
                <w:szCs w:val="22"/>
              </w:rPr>
              <w:t>857</w:t>
            </w:r>
          </w:p>
        </w:tc>
      </w:tr>
    </w:tbl>
    <w:p w:rsidR="00430F29" w:rsidRPr="000A538B" w:rsidRDefault="00430F29" w:rsidP="00FF63E9">
      <w:pPr>
        <w:pStyle w:val="StandaardSV"/>
        <w:rPr>
          <w:szCs w:val="22"/>
        </w:rPr>
      </w:pPr>
    </w:p>
    <w:p w:rsidR="00430F29" w:rsidRDefault="00430F29" w:rsidP="005C0FAE">
      <w:pPr>
        <w:pStyle w:val="StandaardSV"/>
        <w:numPr>
          <w:ilvl w:val="0"/>
          <w:numId w:val="6"/>
        </w:numPr>
      </w:pPr>
      <w:r>
        <w:t>Elk jaar wordt minstens 5% van de lopende overeenkomsten gecontroleerd ter plaatse door de afdeling Markt – en Inkomensbeheer.</w:t>
      </w:r>
    </w:p>
    <w:p w:rsidR="00430F29" w:rsidRPr="000A538B" w:rsidRDefault="00430F29" w:rsidP="005C0FAE">
      <w:pPr>
        <w:pStyle w:val="StandaardSV"/>
        <w:ind w:left="360"/>
        <w:rPr>
          <w:szCs w:val="22"/>
        </w:rPr>
      </w:pPr>
    </w:p>
    <w:p w:rsidR="00430F29" w:rsidRPr="000A538B" w:rsidRDefault="00430F29" w:rsidP="001C2171">
      <w:pPr>
        <w:ind w:left="360"/>
        <w:jc w:val="both"/>
        <w:rPr>
          <w:szCs w:val="22"/>
        </w:rPr>
      </w:pPr>
      <w:r w:rsidRPr="000A538B">
        <w:rPr>
          <w:szCs w:val="22"/>
        </w:rPr>
        <w:t>In 2010 werd bij 43 landbouwers op 165 percelen een controle uitgevoerd op de agromilieu</w:t>
      </w:r>
      <w:r>
        <w:rPr>
          <w:szCs w:val="22"/>
        </w:rPr>
        <w:softHyphen/>
      </w:r>
      <w:r w:rsidRPr="000A538B">
        <w:rPr>
          <w:szCs w:val="22"/>
        </w:rPr>
        <w:t xml:space="preserve">verbintenis ‘Mechanische onkruidbestrijding’ voor een totale gecontroleerde oppervlakte van </w:t>
      </w:r>
      <w:smartTag w:uri="urn:schemas-microsoft-com:office:smarttags" w:element="metricconverter">
        <w:smartTagPr>
          <w:attr w:name="ProductID" w:val="337,14 hectare"/>
        </w:smartTagPr>
        <w:r w:rsidRPr="000A538B">
          <w:rPr>
            <w:szCs w:val="22"/>
          </w:rPr>
          <w:t>337,14 hectare</w:t>
        </w:r>
      </w:smartTag>
      <w:r w:rsidRPr="000A538B">
        <w:rPr>
          <w:szCs w:val="22"/>
        </w:rPr>
        <w:t xml:space="preserve">.  </w:t>
      </w:r>
    </w:p>
    <w:p w:rsidR="00430F29" w:rsidRPr="000A538B" w:rsidRDefault="00430F29" w:rsidP="005C0FAE">
      <w:pPr>
        <w:ind w:left="360"/>
        <w:rPr>
          <w:szCs w:val="22"/>
        </w:rPr>
      </w:pPr>
    </w:p>
    <w:p w:rsidR="00430F29" w:rsidRPr="000A538B" w:rsidRDefault="00430F29" w:rsidP="001C2171">
      <w:pPr>
        <w:ind w:left="360"/>
        <w:jc w:val="both"/>
        <w:rPr>
          <w:szCs w:val="22"/>
        </w:rPr>
      </w:pPr>
      <w:r w:rsidRPr="000A538B">
        <w:rPr>
          <w:szCs w:val="22"/>
        </w:rPr>
        <w:t>Tijdens deze controles werd op 38 percelen chemische bespuiting vastgesteld. Bij 10 dossiers waren er kleine of grote opmerkingen met betrekking tot het correct bijhouden en invullen van de vereiste teeltfiches.</w:t>
      </w:r>
    </w:p>
    <w:p w:rsidR="00430F29" w:rsidRPr="000A538B" w:rsidRDefault="00430F29" w:rsidP="00FF63E9">
      <w:pPr>
        <w:pStyle w:val="StandaardSV"/>
        <w:rPr>
          <w:szCs w:val="22"/>
        </w:rPr>
      </w:pPr>
    </w:p>
    <w:p w:rsidR="00430F29" w:rsidRPr="000A538B" w:rsidRDefault="00430F29" w:rsidP="005C0FAE">
      <w:pPr>
        <w:pStyle w:val="StandaardSV"/>
        <w:numPr>
          <w:ilvl w:val="0"/>
          <w:numId w:val="6"/>
        </w:numPr>
        <w:rPr>
          <w:szCs w:val="22"/>
        </w:rPr>
      </w:pPr>
      <w:r>
        <w:rPr>
          <w:szCs w:val="22"/>
        </w:rPr>
        <w:t>Dank</w:t>
      </w:r>
      <w:r w:rsidRPr="000A538B">
        <w:rPr>
          <w:szCs w:val="22"/>
        </w:rPr>
        <w:t xml:space="preserve">zij de maatregel “mechanische onkruidbestrijding” kan de landbouwer kennis maken met een andere manier van onkruidbeheersing dan de chemische bestrijding. Door de grote tijdsbesteding, de moeilijke timing en de afhankelijkheid van weeromstandigheden, is </w:t>
      </w:r>
      <w:r>
        <w:rPr>
          <w:szCs w:val="22"/>
        </w:rPr>
        <w:t>een</w:t>
      </w:r>
      <w:r w:rsidRPr="000A538B">
        <w:rPr>
          <w:szCs w:val="22"/>
        </w:rPr>
        <w:t xml:space="preserve"> financiële stimulans zeker noodzakelijk om de stap te zetten.</w:t>
      </w:r>
    </w:p>
    <w:p w:rsidR="00430F29" w:rsidRPr="000A538B" w:rsidRDefault="00430F29" w:rsidP="005C0FAE">
      <w:pPr>
        <w:pStyle w:val="StandaardSV"/>
        <w:ind w:left="360"/>
        <w:rPr>
          <w:szCs w:val="22"/>
        </w:rPr>
      </w:pPr>
    </w:p>
    <w:p w:rsidR="00430F29" w:rsidRPr="000A538B" w:rsidRDefault="00430F29" w:rsidP="005C0FAE">
      <w:pPr>
        <w:pStyle w:val="StandaardSV"/>
        <w:ind w:left="360"/>
        <w:rPr>
          <w:szCs w:val="22"/>
        </w:rPr>
      </w:pPr>
      <w:r w:rsidRPr="000A538B">
        <w:rPr>
          <w:szCs w:val="22"/>
        </w:rPr>
        <w:t>Deze maatregel kan beschouwd worden als een opstap naar de biologische productiemethode. Een van de aandachtspunten in de biologische productiemethode is immers de onkruidbestrijding. Door al voor de omschakeling</w:t>
      </w:r>
      <w:r>
        <w:rPr>
          <w:szCs w:val="22"/>
        </w:rPr>
        <w:t xml:space="preserve">aan de slag </w:t>
      </w:r>
      <w:r w:rsidRPr="000A538B">
        <w:rPr>
          <w:szCs w:val="22"/>
        </w:rPr>
        <w:t>te kunnen met deze techniek, wordt de drempel naar biologische landbouw verlaagd.</w:t>
      </w:r>
    </w:p>
    <w:p w:rsidR="00430F29" w:rsidRPr="000A538B" w:rsidRDefault="00430F29" w:rsidP="005C0FAE">
      <w:pPr>
        <w:pStyle w:val="StandaardSV"/>
        <w:ind w:left="360"/>
        <w:rPr>
          <w:szCs w:val="22"/>
        </w:rPr>
      </w:pPr>
    </w:p>
    <w:p w:rsidR="00430F29" w:rsidRPr="000A538B" w:rsidRDefault="00430F29" w:rsidP="005C0FAE">
      <w:pPr>
        <w:ind w:left="360"/>
        <w:jc w:val="both"/>
        <w:rPr>
          <w:color w:val="000000"/>
          <w:szCs w:val="22"/>
        </w:rPr>
      </w:pPr>
      <w:r w:rsidRPr="000A538B">
        <w:rPr>
          <w:color w:val="000000"/>
          <w:szCs w:val="22"/>
        </w:rPr>
        <w:t>Uit een enquête uitgevoerd door de Afdeling Monitoring en Studie van het Beleidsdomein Landbouw en Visserij blijkt dat bijna 6 op de 10 respondenten nog mechanische onkruid</w:t>
      </w:r>
      <w:r>
        <w:rPr>
          <w:color w:val="000000"/>
          <w:szCs w:val="22"/>
        </w:rPr>
        <w:softHyphen/>
      </w:r>
      <w:r w:rsidRPr="000A538B">
        <w:rPr>
          <w:color w:val="000000"/>
          <w:szCs w:val="22"/>
        </w:rPr>
        <w:t xml:space="preserve">bestrijding zou blijven toepassen zonder steun. Twee derde van deze landbouwers zou dan de maatregel identiek uitvoeren. </w:t>
      </w:r>
      <w:bookmarkStart w:id="6" w:name="_GoBack"/>
      <w:bookmarkEnd w:id="6"/>
    </w:p>
    <w:p w:rsidR="00430F29" w:rsidRPr="000A538B" w:rsidRDefault="00430F29" w:rsidP="00FF63E9">
      <w:pPr>
        <w:jc w:val="both"/>
        <w:rPr>
          <w:color w:val="000000"/>
          <w:szCs w:val="22"/>
        </w:rPr>
      </w:pPr>
    </w:p>
    <w:p w:rsidR="00430F29" w:rsidRPr="000A538B" w:rsidRDefault="00430F29" w:rsidP="005C0FAE">
      <w:pPr>
        <w:pStyle w:val="StandaardSV"/>
        <w:numPr>
          <w:ilvl w:val="0"/>
          <w:numId w:val="6"/>
        </w:numPr>
        <w:rPr>
          <w:szCs w:val="22"/>
        </w:rPr>
      </w:pPr>
      <w:r w:rsidRPr="000A538B">
        <w:rPr>
          <w:szCs w:val="22"/>
        </w:rPr>
        <w:t>In PDPO I waren er twee submaatregelen, namelijk de volledig mechanische onkruidbestrijding en de mechanische onkruidbestrijding gecombineerd met rijbespuiting.</w:t>
      </w:r>
    </w:p>
    <w:p w:rsidR="00430F29" w:rsidRPr="000A538B" w:rsidRDefault="00430F29" w:rsidP="005C0FAE">
      <w:pPr>
        <w:pStyle w:val="StandaardSV"/>
        <w:ind w:left="360"/>
        <w:rPr>
          <w:szCs w:val="22"/>
        </w:rPr>
      </w:pPr>
      <w:r w:rsidRPr="000A538B">
        <w:rPr>
          <w:szCs w:val="22"/>
        </w:rPr>
        <w:t>Omdat in PDPO II de controleerbaarheid van de agromilieumaatregelen een belangrijk aandachts</w:t>
      </w:r>
      <w:r>
        <w:rPr>
          <w:szCs w:val="22"/>
        </w:rPr>
        <w:softHyphen/>
      </w:r>
      <w:r w:rsidRPr="000A538B">
        <w:rPr>
          <w:szCs w:val="22"/>
        </w:rPr>
        <w:t>punt van Europa geworden is, is de combinatie van mechanische onkruidbestrijding en rijbespuiting niet voortgezet. In de praktijk bleek deze maatregel immers niet steeds even goed controleerbaar.</w:t>
      </w:r>
    </w:p>
    <w:p w:rsidR="00430F29" w:rsidRPr="00CA7BBC" w:rsidRDefault="00430F29" w:rsidP="005C0FAE">
      <w:pPr>
        <w:pStyle w:val="StandaardSV"/>
        <w:ind w:left="360"/>
      </w:pPr>
    </w:p>
    <w:sectPr w:rsidR="00430F29" w:rsidRPr="00CA7BB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155"/>
    <w:multiLevelType w:val="hybridMultilevel"/>
    <w:tmpl w:val="0142C0D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E5C377E"/>
    <w:multiLevelType w:val="hybridMultilevel"/>
    <w:tmpl w:val="0CD0F4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D413454"/>
    <w:multiLevelType w:val="hybridMultilevel"/>
    <w:tmpl w:val="800E099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7F232646"/>
    <w:multiLevelType w:val="hybridMultilevel"/>
    <w:tmpl w:val="94668B2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1724"/>
    <w:rsid w:val="000976E9"/>
    <w:rsid w:val="000A538B"/>
    <w:rsid w:val="000C4E8C"/>
    <w:rsid w:val="000F3532"/>
    <w:rsid w:val="001A0F0B"/>
    <w:rsid w:val="001B44A3"/>
    <w:rsid w:val="001B6E48"/>
    <w:rsid w:val="001C2171"/>
    <w:rsid w:val="001F7390"/>
    <w:rsid w:val="002039C8"/>
    <w:rsid w:val="00210C07"/>
    <w:rsid w:val="00266E3B"/>
    <w:rsid w:val="002C4DA5"/>
    <w:rsid w:val="00311C82"/>
    <w:rsid w:val="00326A58"/>
    <w:rsid w:val="003946C9"/>
    <w:rsid w:val="004210F2"/>
    <w:rsid w:val="00430F29"/>
    <w:rsid w:val="004605A6"/>
    <w:rsid w:val="004E2833"/>
    <w:rsid w:val="00566C53"/>
    <w:rsid w:val="00580B99"/>
    <w:rsid w:val="005900AD"/>
    <w:rsid w:val="005C0FAE"/>
    <w:rsid w:val="005E38CA"/>
    <w:rsid w:val="005E4BCA"/>
    <w:rsid w:val="0063138E"/>
    <w:rsid w:val="00642A01"/>
    <w:rsid w:val="006548DD"/>
    <w:rsid w:val="006F4EB3"/>
    <w:rsid w:val="0071248C"/>
    <w:rsid w:val="007252C7"/>
    <w:rsid w:val="007474BA"/>
    <w:rsid w:val="00785A0D"/>
    <w:rsid w:val="007B177C"/>
    <w:rsid w:val="007F60A8"/>
    <w:rsid w:val="008106B0"/>
    <w:rsid w:val="008346AE"/>
    <w:rsid w:val="00873068"/>
    <w:rsid w:val="00894185"/>
    <w:rsid w:val="008A7067"/>
    <w:rsid w:val="008A713D"/>
    <w:rsid w:val="008D5DB4"/>
    <w:rsid w:val="00911CC4"/>
    <w:rsid w:val="009347E0"/>
    <w:rsid w:val="0093491C"/>
    <w:rsid w:val="009D5AC1"/>
    <w:rsid w:val="009D7043"/>
    <w:rsid w:val="00A42280"/>
    <w:rsid w:val="00A76EC9"/>
    <w:rsid w:val="00A804C0"/>
    <w:rsid w:val="00AB4B80"/>
    <w:rsid w:val="00B11AE6"/>
    <w:rsid w:val="00B45EB2"/>
    <w:rsid w:val="00B60F0E"/>
    <w:rsid w:val="00BA4E8A"/>
    <w:rsid w:val="00BE425A"/>
    <w:rsid w:val="00C0707D"/>
    <w:rsid w:val="00CA7BBC"/>
    <w:rsid w:val="00CE2FB7"/>
    <w:rsid w:val="00D6605A"/>
    <w:rsid w:val="00D71D99"/>
    <w:rsid w:val="00D754F2"/>
    <w:rsid w:val="00D87EFD"/>
    <w:rsid w:val="00DB41C0"/>
    <w:rsid w:val="00DC4DB6"/>
    <w:rsid w:val="00DD19EF"/>
    <w:rsid w:val="00DD4121"/>
    <w:rsid w:val="00E12C5D"/>
    <w:rsid w:val="00E31F4D"/>
    <w:rsid w:val="00E55200"/>
    <w:rsid w:val="00E75830"/>
    <w:rsid w:val="00ED3851"/>
    <w:rsid w:val="00EE3DDB"/>
    <w:rsid w:val="00EF0B55"/>
    <w:rsid w:val="00F369E3"/>
    <w:rsid w:val="00FA29D6"/>
    <w:rsid w:val="00FA4248"/>
    <w:rsid w:val="00FB3D24"/>
    <w:rsid w:val="00FD5BF4"/>
    <w:rsid w:val="00FE0FA2"/>
    <w:rsid w:val="00FE5406"/>
    <w:rsid w:val="00FF63E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D5AC1"/>
    <w:rPr>
      <w:rFonts w:ascii="Tahoma" w:hAnsi="Tahoma" w:cs="Tahoma"/>
      <w:sz w:val="16"/>
      <w:szCs w:val="16"/>
    </w:rPr>
  </w:style>
  <w:style w:type="character" w:customStyle="1" w:styleId="BalloonTextChar">
    <w:name w:val="Balloon Text Char"/>
    <w:basedOn w:val="DefaultParagraphFont"/>
    <w:link w:val="BalloonText"/>
    <w:uiPriority w:val="99"/>
    <w:locked/>
    <w:rsid w:val="009D5AC1"/>
    <w:rPr>
      <w:rFonts w:ascii="Tahoma" w:hAnsi="Tahoma" w:cs="Tahoma"/>
      <w:sz w:val="16"/>
      <w:szCs w:val="16"/>
      <w:lang w:val="nl-NL" w:eastAsia="nl-NL"/>
    </w:rPr>
  </w:style>
  <w:style w:type="paragraph" w:customStyle="1" w:styleId="StandaardSV">
    <w:name w:val="Standaard SV"/>
    <w:basedOn w:val="Normal"/>
    <w:uiPriority w:val="99"/>
    <w:rsid w:val="00CA7BBC"/>
    <w:pPr>
      <w:jc w:val="both"/>
    </w:pPr>
    <w:rPr>
      <w:szCs w:val="20"/>
    </w:rPr>
  </w:style>
  <w:style w:type="table" w:styleId="TableGrid">
    <w:name w:val="Table Grid"/>
    <w:basedOn w:val="TableNormal"/>
    <w:uiPriority w:val="99"/>
    <w:rsid w:val="00CA7BB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527</Words>
  <Characters>2904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JME</cp:lastModifiedBy>
  <cp:revision>5</cp:revision>
  <cp:lastPrinted>2011-04-14T14:23:00Z</cp:lastPrinted>
  <dcterms:created xsi:type="dcterms:W3CDTF">2011-04-14T14:23:00Z</dcterms:created>
  <dcterms:modified xsi:type="dcterms:W3CDTF">2011-05-16T12:58:00Z</dcterms:modified>
</cp:coreProperties>
</file>