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5965F3" w:rsidRPr="00DD4121" w:rsidRDefault="005965F3"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5965F3" w:rsidRPr="00015BF7" w:rsidRDefault="005965F3"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5965F3" w:rsidRPr="00015BF7" w:rsidRDefault="005965F3" w:rsidP="000976E9">
      <w:pPr>
        <w:rPr>
          <w:szCs w:val="22"/>
        </w:rPr>
      </w:pPr>
    </w:p>
    <w:p w:rsidR="005965F3" w:rsidRPr="00DB41C0" w:rsidRDefault="005965F3" w:rsidP="000976E9">
      <w:pPr>
        <w:pStyle w:val="A-Lijn"/>
      </w:pPr>
    </w:p>
    <w:p w:rsidR="005965F3" w:rsidRDefault="005965F3" w:rsidP="000976E9">
      <w:pPr>
        <w:pStyle w:val="A-Type"/>
        <w:sectPr w:rsidR="005965F3">
          <w:pgSz w:w="11906" w:h="16838"/>
          <w:pgMar w:top="1417" w:right="1417" w:bottom="1417" w:left="1417" w:header="708" w:footer="708" w:gutter="0"/>
          <w:cols w:space="708"/>
          <w:rtlGutter/>
          <w:docGrid w:linePitch="360"/>
        </w:sectPr>
      </w:pPr>
    </w:p>
    <w:p w:rsidR="005965F3" w:rsidRDefault="005965F3" w:rsidP="000976E9">
      <w:pPr>
        <w:pStyle w:val="A-Type"/>
        <w:sectPr w:rsidR="005965F3"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5965F3" w:rsidRPr="00326A58" w:rsidRDefault="005965F3"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216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5965F3" w:rsidRDefault="005965F3"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filip watteeuw</w:t>
      </w:r>
      <w:r w:rsidRPr="009D7043">
        <w:rPr>
          <w:rStyle w:val="AntwoordNaamMinisterChar"/>
          <w:sz w:val="22"/>
        </w:rPr>
        <w:fldChar w:fldCharType="end"/>
      </w:r>
    </w:p>
    <w:p w:rsidR="005965F3" w:rsidRPr="00015BF7" w:rsidRDefault="005965F3" w:rsidP="000976E9">
      <w:pPr>
        <w:rPr>
          <w:szCs w:val="22"/>
        </w:rPr>
      </w:pPr>
    </w:p>
    <w:p w:rsidR="005965F3" w:rsidRPr="00DB41C0" w:rsidRDefault="005965F3" w:rsidP="000976E9">
      <w:pPr>
        <w:pStyle w:val="A-Lijn"/>
      </w:pPr>
    </w:p>
    <w:p w:rsidR="005965F3" w:rsidRPr="00DB41C0" w:rsidRDefault="005965F3" w:rsidP="000976E9">
      <w:pPr>
        <w:pStyle w:val="A-Lijn"/>
      </w:pPr>
    </w:p>
    <w:p w:rsidR="005965F3" w:rsidRDefault="005965F3" w:rsidP="00DB41C0">
      <w:pPr>
        <w:sectPr w:rsidR="005965F3" w:rsidSect="000976E9">
          <w:type w:val="continuous"/>
          <w:pgSz w:w="11906" w:h="16838"/>
          <w:pgMar w:top="1417" w:right="1417" w:bottom="1417" w:left="1417" w:header="708" w:footer="708" w:gutter="0"/>
          <w:cols w:space="708"/>
          <w:rtlGutter/>
          <w:docGrid w:linePitch="360"/>
        </w:sectPr>
      </w:pPr>
    </w:p>
    <w:p w:rsidR="005965F3" w:rsidRPr="00910FDE" w:rsidRDefault="005965F3" w:rsidP="00910FDE">
      <w:pPr>
        <w:pStyle w:val="StandaardSV"/>
        <w:rPr>
          <w:szCs w:val="22"/>
        </w:rPr>
      </w:pPr>
      <w:r w:rsidRPr="00910FDE">
        <w:rPr>
          <w:szCs w:val="22"/>
        </w:rPr>
        <w:t>Ter verduidelijking van het antwoord aan de vraagsteller dient in de taakstellingen van het Agentschap Ondernemen onderscheid gemaakt te worden tussen haar rol als stimulerende regisseur enerzijds, als complementaire actor anderzijds.</w:t>
      </w:r>
    </w:p>
    <w:p w:rsidR="005965F3" w:rsidRPr="00910FDE" w:rsidRDefault="005965F3" w:rsidP="00910FDE">
      <w:pPr>
        <w:pStyle w:val="StandaardSV"/>
        <w:rPr>
          <w:i/>
          <w:szCs w:val="22"/>
        </w:rPr>
      </w:pPr>
    </w:p>
    <w:p w:rsidR="005965F3" w:rsidRPr="00910FDE" w:rsidRDefault="005965F3" w:rsidP="00910FDE">
      <w:pPr>
        <w:jc w:val="both"/>
        <w:rPr>
          <w:i/>
          <w:szCs w:val="22"/>
          <w:u w:val="single"/>
        </w:rPr>
      </w:pPr>
      <w:r w:rsidRPr="00910FDE">
        <w:rPr>
          <w:i/>
          <w:szCs w:val="22"/>
          <w:u w:val="single"/>
        </w:rPr>
        <w:t>Stimulerende regisseur</w:t>
      </w:r>
    </w:p>
    <w:p w:rsidR="005965F3" w:rsidRPr="00910FDE" w:rsidRDefault="005965F3" w:rsidP="00910FDE">
      <w:pPr>
        <w:jc w:val="both"/>
        <w:rPr>
          <w:szCs w:val="22"/>
        </w:rPr>
      </w:pPr>
      <w:r w:rsidRPr="00910FDE">
        <w:rPr>
          <w:szCs w:val="22"/>
        </w:rPr>
        <w:t xml:space="preserve">Om de engagementen uit haar beheersovereenkomst te realiseren treedt het Agentschap Ondernemen in de eerste plaats op als regisseur. Het ondersteunt en stimuleert andere actoren – bedrijfsorganisaties, steden en gemeenten,... – om een bedrijfsvriendelijk beleid te voeren en projecten op te zetten die het ondernemerschap ten goede komen. Met projectoproepen rond ondernemerschap, brugprojecten,… ondersteunt het Agentschap Ondernemen deze actoren en stimuleert het hen om samen mee het Vlaams economisch beleid in het werkveld te realiseren.      </w:t>
      </w:r>
    </w:p>
    <w:p w:rsidR="005965F3" w:rsidRPr="00910FDE" w:rsidRDefault="005965F3" w:rsidP="00910FDE">
      <w:pPr>
        <w:jc w:val="both"/>
        <w:rPr>
          <w:szCs w:val="22"/>
        </w:rPr>
      </w:pPr>
    </w:p>
    <w:p w:rsidR="005965F3" w:rsidRPr="00910FDE" w:rsidRDefault="005965F3" w:rsidP="00910FDE">
      <w:pPr>
        <w:jc w:val="both"/>
        <w:rPr>
          <w:szCs w:val="22"/>
        </w:rPr>
      </w:pPr>
      <w:r w:rsidRPr="00910FDE">
        <w:rPr>
          <w:szCs w:val="22"/>
        </w:rPr>
        <w:t xml:space="preserve">Als regisseur organiseert het Agentschap Ondernemen daarnaast eveneens platformen waarop de belangrijkste actoren op het vlak van stimulering van de Vlaamse economie met elkaar kunnen overleggen over bepaalde aspecten van het Vlaams economisch beleid – zoals cleantech, ICT, detailhandel,… - en hun acties beter op elkaar kunnen afstemmen. </w:t>
      </w:r>
    </w:p>
    <w:p w:rsidR="005965F3" w:rsidRPr="00910FDE" w:rsidRDefault="005965F3" w:rsidP="00910FDE">
      <w:pPr>
        <w:jc w:val="both"/>
        <w:rPr>
          <w:szCs w:val="22"/>
        </w:rPr>
      </w:pPr>
    </w:p>
    <w:p w:rsidR="005965F3" w:rsidRPr="00910FDE" w:rsidRDefault="005965F3" w:rsidP="00910FDE">
      <w:pPr>
        <w:jc w:val="both"/>
        <w:rPr>
          <w:szCs w:val="22"/>
        </w:rPr>
      </w:pPr>
      <w:r w:rsidRPr="00910FDE">
        <w:rPr>
          <w:szCs w:val="22"/>
        </w:rPr>
        <w:t xml:space="preserve">Daarnaast onderhoudt het Agentschap Ondernemen permanent goede contacten met de economische diensten van gemeenten en provincies, de belangrijkste bedrijfsorganisaties, hogescholen en universiteiten,… om haar beleid te richten op de noden die leven bij het doelpubliek van deze organisaties. </w:t>
      </w:r>
    </w:p>
    <w:p w:rsidR="005965F3" w:rsidRPr="00910FDE" w:rsidRDefault="005965F3" w:rsidP="00910FDE">
      <w:pPr>
        <w:pStyle w:val="Heading2"/>
        <w:jc w:val="both"/>
        <w:rPr>
          <w:rFonts w:ascii="Times New Roman" w:hAnsi="Times New Roman" w:cs="Times New Roman"/>
          <w:b w:val="0"/>
          <w:sz w:val="22"/>
          <w:szCs w:val="22"/>
          <w:u w:val="single"/>
        </w:rPr>
      </w:pPr>
      <w:r w:rsidRPr="00910FDE">
        <w:rPr>
          <w:rFonts w:ascii="Times New Roman" w:hAnsi="Times New Roman" w:cs="Times New Roman"/>
          <w:b w:val="0"/>
          <w:sz w:val="22"/>
          <w:szCs w:val="22"/>
          <w:u w:val="single"/>
        </w:rPr>
        <w:t>Complementaire actor</w:t>
      </w:r>
    </w:p>
    <w:p w:rsidR="005965F3" w:rsidRPr="00910FDE" w:rsidRDefault="005965F3" w:rsidP="00910FDE">
      <w:pPr>
        <w:jc w:val="both"/>
        <w:rPr>
          <w:szCs w:val="22"/>
        </w:rPr>
      </w:pPr>
      <w:r w:rsidRPr="00910FDE">
        <w:rPr>
          <w:szCs w:val="22"/>
        </w:rPr>
        <w:t>In tweede orde treedt het Agentschap Ondernemen op als actor en staat het – complementair met de verschillende bedrijfsorganisaties – ondernemingen actief bij met informatie over overheidsmaat</w:t>
      </w:r>
      <w:r>
        <w:rPr>
          <w:szCs w:val="22"/>
        </w:rPr>
        <w:softHyphen/>
      </w:r>
      <w:r w:rsidRPr="00910FDE">
        <w:rPr>
          <w:szCs w:val="22"/>
        </w:rPr>
        <w:t xml:space="preserve">regelen ter bevordering van het ondernemerschap. </w:t>
      </w:r>
    </w:p>
    <w:p w:rsidR="005965F3" w:rsidRPr="00910FDE" w:rsidRDefault="005965F3" w:rsidP="00910FDE">
      <w:pPr>
        <w:jc w:val="both"/>
        <w:rPr>
          <w:szCs w:val="22"/>
        </w:rPr>
      </w:pPr>
      <w:r w:rsidRPr="00910FDE">
        <w:rPr>
          <w:szCs w:val="22"/>
        </w:rPr>
        <w:t xml:space="preserve">De kerntaken: </w:t>
      </w:r>
    </w:p>
    <w:p w:rsidR="005965F3" w:rsidRPr="00910FDE" w:rsidRDefault="005965F3" w:rsidP="00910FDE">
      <w:pPr>
        <w:jc w:val="both"/>
        <w:rPr>
          <w:szCs w:val="22"/>
        </w:rPr>
      </w:pPr>
    </w:p>
    <w:p w:rsidR="005965F3" w:rsidRPr="00910FDE" w:rsidRDefault="005965F3" w:rsidP="00910FDE">
      <w:pPr>
        <w:numPr>
          <w:ilvl w:val="0"/>
          <w:numId w:val="3"/>
        </w:numPr>
        <w:jc w:val="both"/>
        <w:rPr>
          <w:i/>
          <w:szCs w:val="22"/>
        </w:rPr>
      </w:pPr>
      <w:r w:rsidRPr="00910FDE">
        <w:rPr>
          <w:szCs w:val="22"/>
        </w:rPr>
        <w:t>Kenniscentrum voor overheidsmaatregelen</w:t>
      </w:r>
    </w:p>
    <w:p w:rsidR="005965F3" w:rsidRPr="00910FDE" w:rsidRDefault="005965F3" w:rsidP="00910FDE">
      <w:pPr>
        <w:numPr>
          <w:ilvl w:val="0"/>
          <w:numId w:val="3"/>
        </w:numPr>
        <w:jc w:val="both"/>
        <w:rPr>
          <w:i/>
          <w:szCs w:val="22"/>
        </w:rPr>
      </w:pPr>
      <w:r w:rsidRPr="00910FDE">
        <w:rPr>
          <w:szCs w:val="22"/>
        </w:rPr>
        <w:t xml:space="preserve">stimuleren van ondernemerschap in Vlaanderen aan de hand van subsidies; </w:t>
      </w:r>
    </w:p>
    <w:p w:rsidR="005965F3" w:rsidRPr="00910FDE" w:rsidRDefault="005965F3" w:rsidP="00910FDE">
      <w:pPr>
        <w:numPr>
          <w:ilvl w:val="0"/>
          <w:numId w:val="3"/>
        </w:numPr>
        <w:jc w:val="both"/>
        <w:rPr>
          <w:i/>
          <w:szCs w:val="22"/>
        </w:rPr>
      </w:pPr>
      <w:r w:rsidRPr="00910FDE">
        <w:rPr>
          <w:szCs w:val="22"/>
        </w:rPr>
        <w:t xml:space="preserve">het uitvoeren van beleidsopdrachten. </w:t>
      </w:r>
    </w:p>
    <w:p w:rsidR="005965F3" w:rsidRPr="00910FDE" w:rsidRDefault="005965F3" w:rsidP="00910FDE">
      <w:pPr>
        <w:ind w:left="360"/>
        <w:jc w:val="both"/>
        <w:rPr>
          <w:i/>
          <w:szCs w:val="22"/>
        </w:rPr>
      </w:pPr>
    </w:p>
    <w:p w:rsidR="005965F3" w:rsidRPr="00910FDE" w:rsidRDefault="005965F3" w:rsidP="00910FDE">
      <w:pPr>
        <w:pStyle w:val="StandaardSV"/>
        <w:rPr>
          <w:szCs w:val="22"/>
        </w:rPr>
      </w:pPr>
      <w:r w:rsidRPr="00910FDE">
        <w:rPr>
          <w:szCs w:val="22"/>
        </w:rPr>
        <w:t>Het optreden van het Agentschap Ondernemen als stimulerende regisseur vertaalt zich in diverse vormen van aansturing. Naargelang het geval wordt geopteerd voor uitbesteed via toepassing van de wet op de overheidsopdrachten, in andere gevallen wordt gekozen voor een oproepsysteem, een zogenaamde call forproposals.</w:t>
      </w:r>
    </w:p>
    <w:p w:rsidR="005965F3" w:rsidRPr="00910FDE" w:rsidRDefault="005965F3" w:rsidP="00910FDE">
      <w:pPr>
        <w:pStyle w:val="StandaardSV"/>
        <w:rPr>
          <w:szCs w:val="22"/>
        </w:rPr>
      </w:pPr>
    </w:p>
    <w:p w:rsidR="005965F3" w:rsidRPr="00910FDE" w:rsidRDefault="005965F3" w:rsidP="00910FDE">
      <w:pPr>
        <w:pStyle w:val="StandaardSV"/>
        <w:rPr>
          <w:szCs w:val="22"/>
        </w:rPr>
      </w:pPr>
      <w:r w:rsidRPr="00910FDE">
        <w:rPr>
          <w:szCs w:val="22"/>
        </w:rPr>
        <w:t>De voorkeur voor de ene dan wel de andere methodiek wordt onder andere bepaald door de mate waarin de uit te besteden dienst relatief goed kan worden omschreven en geformatteerd dan wel eerder geopteerd wordt voor een open formule die meer mogelijkheden biedt tot creativiteit en proeftuinconcepten. Soms is de kennis op een bepaald domein in hoofde van het Agentschap relatief groot, in andere gevallen is dit minder het geval. Ook dit bepaalt mee de keuze voor een overheidsopdracht dan wel een subsidie.</w:t>
      </w:r>
    </w:p>
    <w:p w:rsidR="005965F3" w:rsidRPr="00910FDE" w:rsidRDefault="005965F3" w:rsidP="00910FDE">
      <w:pPr>
        <w:pStyle w:val="StandaardSV"/>
        <w:rPr>
          <w:szCs w:val="22"/>
        </w:rPr>
      </w:pPr>
    </w:p>
    <w:p w:rsidR="005965F3" w:rsidRPr="00910FDE" w:rsidRDefault="005965F3" w:rsidP="00910FDE">
      <w:pPr>
        <w:pStyle w:val="StandaardSV"/>
        <w:rPr>
          <w:szCs w:val="22"/>
        </w:rPr>
      </w:pPr>
      <w:r w:rsidRPr="00910FDE">
        <w:rPr>
          <w:szCs w:val="22"/>
        </w:rPr>
        <w:t>Tot op heden werden een aantal overheidsopdrachten gelanceerd zonder dat deze echter werden afgerond. Het gaat om de maatregelen van de perstarterssteun en de organisatie van de ondernemings</w:t>
      </w:r>
      <w:r>
        <w:rPr>
          <w:szCs w:val="22"/>
        </w:rPr>
        <w:softHyphen/>
      </w:r>
      <w:r w:rsidRPr="00910FDE">
        <w:rPr>
          <w:szCs w:val="22"/>
        </w:rPr>
        <w:t>planwedstrijden. In beide gevallen gaat het om Europese aanbestedingen met onderhandelings</w:t>
      </w:r>
      <w:r>
        <w:rPr>
          <w:szCs w:val="22"/>
        </w:rPr>
        <w:softHyphen/>
      </w:r>
      <w:r w:rsidRPr="00910FDE">
        <w:rPr>
          <w:szCs w:val="22"/>
        </w:rPr>
        <w:t>procedure met voorafgaande bekendmaking van diensten. Er kan dus nog niet meegedeeld worden wie de laureaten zijn van deze procedures.</w:t>
      </w:r>
    </w:p>
    <w:p w:rsidR="005965F3" w:rsidRPr="00910FDE" w:rsidRDefault="005965F3" w:rsidP="00910FDE">
      <w:pPr>
        <w:pStyle w:val="StandaardSV"/>
        <w:rPr>
          <w:szCs w:val="22"/>
        </w:rPr>
      </w:pPr>
    </w:p>
    <w:p w:rsidR="005965F3" w:rsidRPr="00910FDE" w:rsidRDefault="005965F3" w:rsidP="00910FDE">
      <w:pPr>
        <w:pStyle w:val="StandaardSV"/>
        <w:rPr>
          <w:szCs w:val="22"/>
        </w:rPr>
      </w:pPr>
      <w:r w:rsidRPr="00910FDE">
        <w:rPr>
          <w:szCs w:val="22"/>
        </w:rPr>
        <w:t>Tijdens deze legislatuur werden verschillende oproepen gelanceerd.</w:t>
      </w:r>
    </w:p>
    <w:p w:rsidR="005965F3" w:rsidRPr="00910FDE" w:rsidRDefault="005965F3" w:rsidP="00910FDE">
      <w:pPr>
        <w:pStyle w:val="StandaardSV"/>
        <w:rPr>
          <w:szCs w:val="22"/>
        </w:rPr>
      </w:pPr>
    </w:p>
    <w:p w:rsidR="005965F3" w:rsidRPr="00910FDE" w:rsidRDefault="005965F3" w:rsidP="00910FDE">
      <w:pPr>
        <w:pStyle w:val="StandaardSV"/>
        <w:rPr>
          <w:szCs w:val="22"/>
        </w:rPr>
      </w:pPr>
      <w:r w:rsidRPr="00910FDE">
        <w:rPr>
          <w:szCs w:val="22"/>
        </w:rPr>
        <w:t>De thematische oproep ondernemerschap had als focus de overnameproblematiek en de gazellen</w:t>
      </w:r>
      <w:r>
        <w:rPr>
          <w:szCs w:val="22"/>
        </w:rPr>
        <w:softHyphen/>
      </w:r>
      <w:r w:rsidRPr="00910FDE">
        <w:rPr>
          <w:szCs w:val="22"/>
        </w:rPr>
        <w:t>sprong. Als bijlage gaan de projecten die van de organisaties Unizo en Voka werden goedgekeurd. Voor het VBO waren er geen projecten,.</w:t>
      </w:r>
    </w:p>
    <w:p w:rsidR="005965F3" w:rsidRPr="00910FDE" w:rsidRDefault="005965F3" w:rsidP="00910FDE">
      <w:pPr>
        <w:pStyle w:val="StandaardSV"/>
        <w:rPr>
          <w:szCs w:val="22"/>
        </w:rPr>
      </w:pPr>
    </w:p>
    <w:p w:rsidR="005965F3" w:rsidRPr="00910FDE" w:rsidRDefault="005965F3" w:rsidP="00910FDE">
      <w:pPr>
        <w:shd w:val="clear" w:color="auto" w:fill="FFFFFF"/>
        <w:spacing w:before="150"/>
        <w:jc w:val="both"/>
        <w:rPr>
          <w:szCs w:val="22"/>
        </w:rPr>
      </w:pPr>
      <w:r w:rsidRPr="00910FDE">
        <w:rPr>
          <w:szCs w:val="22"/>
        </w:rPr>
        <w:t xml:space="preserve">De thematische oproep brugprojecten van 2010 had als specifieke thema’s </w:t>
      </w:r>
    </w:p>
    <w:p w:rsidR="005965F3" w:rsidRPr="00910FDE" w:rsidRDefault="005965F3" w:rsidP="00910FDE">
      <w:pPr>
        <w:shd w:val="clear" w:color="auto" w:fill="FFFFFF"/>
        <w:spacing w:before="150"/>
        <w:jc w:val="both"/>
        <w:rPr>
          <w:szCs w:val="22"/>
        </w:rPr>
      </w:pPr>
      <w:r w:rsidRPr="00910FDE">
        <w:rPr>
          <w:szCs w:val="22"/>
        </w:rPr>
        <w:t>(a) Open en vernieuwend ondernemen met specifieke aandacht voor hogescholen en universiteiten, via de kennisvalorisatie (van afstudeerwerken) en de ondersteuning van kennisintensieve en technologische studentenondernemingen; via de oprichting van leereilanden (secundair onderwijs); via de ontwikkeling en inzet van educatieve (simulatie)spelen of van een nieuwe aanpak, methode of technologie (basisonderwijs);</w:t>
      </w:r>
    </w:p>
    <w:p w:rsidR="005965F3" w:rsidRPr="00910FDE" w:rsidRDefault="005965F3" w:rsidP="00910FDE">
      <w:pPr>
        <w:shd w:val="clear" w:color="auto" w:fill="FFFFFF"/>
        <w:spacing w:before="150"/>
        <w:jc w:val="both"/>
        <w:rPr>
          <w:szCs w:val="22"/>
        </w:rPr>
      </w:pPr>
      <w:r w:rsidRPr="00910FDE">
        <w:rPr>
          <w:szCs w:val="22"/>
        </w:rPr>
        <w:t xml:space="preserve">(b) Het bijstellen van de negatieve beeldvorming over ondernemers </w:t>
      </w:r>
    </w:p>
    <w:p w:rsidR="005965F3" w:rsidRPr="00910FDE" w:rsidRDefault="005965F3" w:rsidP="00910FDE">
      <w:pPr>
        <w:pStyle w:val="StandaardSV"/>
        <w:rPr>
          <w:szCs w:val="22"/>
          <w:lang w:val="nl-BE"/>
        </w:rPr>
      </w:pPr>
    </w:p>
    <w:p w:rsidR="005965F3" w:rsidRPr="00910FDE" w:rsidRDefault="005965F3" w:rsidP="00910FDE">
      <w:pPr>
        <w:pStyle w:val="StandaardSV"/>
        <w:rPr>
          <w:szCs w:val="22"/>
          <w:lang w:val="nl-BE"/>
        </w:rPr>
      </w:pPr>
      <w:r w:rsidRPr="00910FDE">
        <w:rPr>
          <w:szCs w:val="22"/>
          <w:lang w:val="nl-BE"/>
        </w:rPr>
        <w:t>Deze oproep staat open voor samenwerkingsverbanden tussen onderwijs en bedrijfsleven en bevatte geen projecten van de bedoelde organisaties.</w:t>
      </w:r>
      <w:bookmarkStart w:id="6" w:name="_GoBack"/>
      <w:bookmarkEnd w:id="6"/>
    </w:p>
    <w:p w:rsidR="005965F3" w:rsidRPr="00910FDE" w:rsidRDefault="005965F3" w:rsidP="00910FDE">
      <w:pPr>
        <w:pStyle w:val="StandaardSV"/>
        <w:rPr>
          <w:szCs w:val="22"/>
        </w:rPr>
      </w:pPr>
    </w:p>
    <w:p w:rsidR="005965F3" w:rsidRPr="00910FDE" w:rsidRDefault="005965F3" w:rsidP="00910FDE">
      <w:pPr>
        <w:pStyle w:val="StandaardSV"/>
        <w:rPr>
          <w:szCs w:val="22"/>
        </w:rPr>
      </w:pPr>
      <w:r w:rsidRPr="00910FDE">
        <w:rPr>
          <w:szCs w:val="22"/>
        </w:rPr>
        <w:t>Tenslotte was er ook een mediaoproep die vooral tot doel had het imago van de ondernemer en het ondernemerschap te verbeteren. Ook hier was er geen project van de deelnemende organisaties</w:t>
      </w:r>
    </w:p>
    <w:p w:rsidR="005965F3" w:rsidRPr="00910FDE" w:rsidRDefault="005965F3" w:rsidP="00910FDE">
      <w:pPr>
        <w:pStyle w:val="StandaardSV"/>
        <w:rPr>
          <w:szCs w:val="22"/>
        </w:rPr>
      </w:pPr>
    </w:p>
    <w:p w:rsidR="005965F3" w:rsidRPr="00910FDE" w:rsidRDefault="005965F3" w:rsidP="00910FDE">
      <w:pPr>
        <w:pStyle w:val="StandaardSV"/>
        <w:rPr>
          <w:szCs w:val="22"/>
        </w:rPr>
      </w:pPr>
      <w:r w:rsidRPr="00910FDE">
        <w:rPr>
          <w:szCs w:val="22"/>
        </w:rPr>
        <w:t>De oproep ondernemingsvriendelijke gemeente werd eind 2010 gelanceerd en is nog lopende. Hier kan dus nog geen uitspraak worden gedaan over de laureaten.</w:t>
      </w:r>
    </w:p>
    <w:p w:rsidR="005965F3" w:rsidRPr="00910FDE" w:rsidRDefault="005965F3" w:rsidP="00910FDE">
      <w:pPr>
        <w:pStyle w:val="StandaardSV"/>
        <w:rPr>
          <w:szCs w:val="22"/>
        </w:rPr>
      </w:pPr>
    </w:p>
    <w:p w:rsidR="005965F3" w:rsidRPr="00910FDE" w:rsidRDefault="005965F3" w:rsidP="00910FDE">
      <w:pPr>
        <w:pStyle w:val="StandaardSV"/>
        <w:rPr>
          <w:szCs w:val="22"/>
        </w:rPr>
      </w:pPr>
      <w:r w:rsidRPr="00910FDE">
        <w:rPr>
          <w:szCs w:val="22"/>
        </w:rPr>
        <w:t>Merk op dat in oproepen op bedoelde organisaties soms wel een beroep wordt gedaan b.v. als partner, als ondersteunende partij e.d.m.</w:t>
      </w:r>
    </w:p>
    <w:p w:rsidR="005965F3" w:rsidRPr="00910FDE" w:rsidRDefault="005965F3" w:rsidP="00910FDE">
      <w:pPr>
        <w:pStyle w:val="StandaardSV"/>
        <w:rPr>
          <w:szCs w:val="22"/>
        </w:rPr>
      </w:pPr>
    </w:p>
    <w:p w:rsidR="005965F3" w:rsidRPr="00910FDE" w:rsidRDefault="005965F3" w:rsidP="00910FDE">
      <w:pPr>
        <w:jc w:val="both"/>
        <w:rPr>
          <w:szCs w:val="22"/>
        </w:rPr>
      </w:pPr>
      <w:r w:rsidRPr="00910FDE">
        <w:rPr>
          <w:szCs w:val="22"/>
        </w:rPr>
        <w:t>Gezien alle projecten nog maar vrij recent werden gegund konden geen van deze projecten worden geëvalueerd.</w:t>
      </w:r>
    </w:p>
    <w:p w:rsidR="005965F3" w:rsidRDefault="005965F3" w:rsidP="00910FDE">
      <w:pPr>
        <w:jc w:val="both"/>
        <w:rPr>
          <w:szCs w:val="22"/>
        </w:rPr>
      </w:pPr>
    </w:p>
    <w:p w:rsidR="005965F3" w:rsidRDefault="005965F3" w:rsidP="00910FDE">
      <w:pPr>
        <w:jc w:val="both"/>
        <w:rPr>
          <w:szCs w:val="22"/>
        </w:rPr>
      </w:pPr>
    </w:p>
    <w:p w:rsidR="005965F3" w:rsidRPr="003F610A" w:rsidRDefault="005965F3" w:rsidP="00910FDE">
      <w:pPr>
        <w:jc w:val="both"/>
        <w:rPr>
          <w:b/>
          <w:smallCaps/>
          <w:color w:val="FF0000"/>
          <w:szCs w:val="22"/>
        </w:rPr>
      </w:pPr>
      <w:r w:rsidRPr="003F610A">
        <w:rPr>
          <w:b/>
          <w:smallCaps/>
          <w:color w:val="FF0000"/>
          <w:szCs w:val="22"/>
        </w:rPr>
        <w:t>b</w:t>
      </w:r>
      <w:r>
        <w:rPr>
          <w:b/>
          <w:smallCaps/>
          <w:color w:val="FF0000"/>
          <w:szCs w:val="22"/>
        </w:rPr>
        <w:t>ijlage</w:t>
      </w:r>
    </w:p>
    <w:p w:rsidR="005965F3" w:rsidRDefault="005965F3" w:rsidP="00910FDE">
      <w:pPr>
        <w:jc w:val="both"/>
        <w:rPr>
          <w:szCs w:val="22"/>
        </w:rPr>
      </w:pPr>
    </w:p>
    <w:p w:rsidR="005965F3" w:rsidRPr="00910FDE" w:rsidRDefault="005965F3" w:rsidP="00910FDE">
      <w:pPr>
        <w:jc w:val="both"/>
        <w:rPr>
          <w:szCs w:val="22"/>
        </w:rPr>
      </w:pPr>
      <w:r>
        <w:rPr>
          <w:szCs w:val="22"/>
        </w:rPr>
        <w:t xml:space="preserve">Overzicht </w:t>
      </w:r>
      <w:r>
        <w:t>gesubsidieerde projecten van Unizo/VOKA</w:t>
      </w:r>
    </w:p>
    <w:sectPr w:rsidR="005965F3" w:rsidRPr="00910FD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287E"/>
    <w:multiLevelType w:val="hybridMultilevel"/>
    <w:tmpl w:val="51A8FCFE"/>
    <w:lvl w:ilvl="0" w:tplc="DB303C6E">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76D92"/>
    <w:rsid w:val="000865DB"/>
    <w:rsid w:val="000976E9"/>
    <w:rsid w:val="000C4E8C"/>
    <w:rsid w:val="000F2B34"/>
    <w:rsid w:val="000F3532"/>
    <w:rsid w:val="001B6E48"/>
    <w:rsid w:val="001F7390"/>
    <w:rsid w:val="00210C07"/>
    <w:rsid w:val="00266E3B"/>
    <w:rsid w:val="002C7A6C"/>
    <w:rsid w:val="002E7CFF"/>
    <w:rsid w:val="00326A58"/>
    <w:rsid w:val="00376CD2"/>
    <w:rsid w:val="003F610A"/>
    <w:rsid w:val="00407570"/>
    <w:rsid w:val="00410C45"/>
    <w:rsid w:val="0041623A"/>
    <w:rsid w:val="004E2833"/>
    <w:rsid w:val="00566C53"/>
    <w:rsid w:val="005900AD"/>
    <w:rsid w:val="005965F3"/>
    <w:rsid w:val="005B5FC3"/>
    <w:rsid w:val="005E38CA"/>
    <w:rsid w:val="0063138E"/>
    <w:rsid w:val="006548DD"/>
    <w:rsid w:val="0071248C"/>
    <w:rsid w:val="007252C7"/>
    <w:rsid w:val="007304D7"/>
    <w:rsid w:val="00735011"/>
    <w:rsid w:val="007474BA"/>
    <w:rsid w:val="00772A73"/>
    <w:rsid w:val="00776226"/>
    <w:rsid w:val="007829B0"/>
    <w:rsid w:val="00785A0D"/>
    <w:rsid w:val="007B177C"/>
    <w:rsid w:val="007F60A8"/>
    <w:rsid w:val="00802751"/>
    <w:rsid w:val="008346AE"/>
    <w:rsid w:val="00894185"/>
    <w:rsid w:val="008A713D"/>
    <w:rsid w:val="008D5DB4"/>
    <w:rsid w:val="00910FDE"/>
    <w:rsid w:val="009347E0"/>
    <w:rsid w:val="00954CAE"/>
    <w:rsid w:val="00961B2E"/>
    <w:rsid w:val="009D7043"/>
    <w:rsid w:val="00A42280"/>
    <w:rsid w:val="00A76EC9"/>
    <w:rsid w:val="00A804C0"/>
    <w:rsid w:val="00AA5C57"/>
    <w:rsid w:val="00B02503"/>
    <w:rsid w:val="00B05220"/>
    <w:rsid w:val="00B45EB2"/>
    <w:rsid w:val="00B60F0E"/>
    <w:rsid w:val="00BE425A"/>
    <w:rsid w:val="00C0707D"/>
    <w:rsid w:val="00C51681"/>
    <w:rsid w:val="00CE006E"/>
    <w:rsid w:val="00D71D99"/>
    <w:rsid w:val="00D754F2"/>
    <w:rsid w:val="00DB41C0"/>
    <w:rsid w:val="00DC4DB6"/>
    <w:rsid w:val="00DD19EF"/>
    <w:rsid w:val="00DD4121"/>
    <w:rsid w:val="00E12C5D"/>
    <w:rsid w:val="00E31F4D"/>
    <w:rsid w:val="00E55200"/>
    <w:rsid w:val="00E75830"/>
    <w:rsid w:val="00F369E3"/>
    <w:rsid w:val="00F8586F"/>
    <w:rsid w:val="00FA29D6"/>
    <w:rsid w:val="00FB3D24"/>
    <w:rsid w:val="00FB5887"/>
    <w:rsid w:val="00FC4261"/>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0B6"/>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9"/>
    <w:locked/>
    <w:rsid w:val="00910FDE"/>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
    <w:semiHidden/>
    <w:rsid w:val="00D020B6"/>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D020B6"/>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910FDE"/>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11</TotalTime>
  <Pages>2</Pages>
  <Words>778</Words>
  <Characters>4281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dcterms:created xsi:type="dcterms:W3CDTF">2011-03-29T08:49:00Z</dcterms:created>
  <dcterms:modified xsi:type="dcterms:W3CDTF">2011-03-31T13:48:00Z</dcterms:modified>
</cp:coreProperties>
</file>