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F3F16" w:rsidRPr="00DD4121" w:rsidRDefault="00FF3F1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FF3F16" w:rsidRPr="00015BF7" w:rsidRDefault="00FF3F1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FF3F16" w:rsidRPr="00015BF7" w:rsidRDefault="00FF3F16" w:rsidP="00C33DC6">
      <w:pPr>
        <w:rPr>
          <w:szCs w:val="22"/>
        </w:rPr>
      </w:pPr>
    </w:p>
    <w:p w:rsidR="00FF3F16" w:rsidRPr="00DB41C0" w:rsidRDefault="00FF3F16" w:rsidP="00C33DC6">
      <w:pPr>
        <w:pStyle w:val="A-Lijn"/>
      </w:pPr>
    </w:p>
    <w:p w:rsidR="00FF3F16" w:rsidRDefault="00FF3F16" w:rsidP="00C33DC6">
      <w:pPr>
        <w:pStyle w:val="A-Type"/>
        <w:sectPr w:rsidR="00FF3F16">
          <w:pgSz w:w="11906" w:h="16838"/>
          <w:pgMar w:top="1417" w:right="1417" w:bottom="1417" w:left="1417" w:header="708" w:footer="708" w:gutter="0"/>
          <w:cols w:space="708"/>
          <w:rtlGutter/>
          <w:docGrid w:linePitch="360"/>
        </w:sectPr>
      </w:pPr>
    </w:p>
    <w:p w:rsidR="00FF3F16" w:rsidRDefault="00FF3F16" w:rsidP="00C33DC6">
      <w:pPr>
        <w:pStyle w:val="A-Type"/>
        <w:outlineLvl w:val="0"/>
        <w:sectPr w:rsidR="00FF3F16" w:rsidSect="003B3111">
          <w:type w:val="continuous"/>
          <w:pgSz w:w="11906" w:h="16838"/>
          <w:pgMar w:top="1417" w:right="1417" w:bottom="1417" w:left="1417" w:header="708" w:footer="708" w:gutter="0"/>
          <w:cols w:space="708"/>
          <w:formProt w:val="0"/>
          <w:docGrid w:linePitch="360"/>
        </w:sectPr>
      </w:pPr>
      <w:r>
        <w:t>a</w:t>
      </w:r>
      <w:r w:rsidRPr="00E31F4D">
        <w:t>ntwoord</w:t>
      </w:r>
      <w:r>
        <w:t xml:space="preserve"> </w:t>
      </w:r>
      <w:bookmarkStart w:id="2" w:name="_GoBack"/>
      <w:bookmarkEnd w:id="2"/>
    </w:p>
    <w:p w:rsidR="00FF3F16" w:rsidRPr="00326A58" w:rsidRDefault="00FF3F16" w:rsidP="00C33DC6">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224</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9</w:t>
      </w:r>
      <w:r>
        <w:rPr>
          <w:b w:val="0"/>
        </w:rPr>
        <w:fldChar w:fldCharType="end"/>
      </w:r>
      <w:bookmarkStart w:id="5" w:name="Dropdown2"/>
      <w:bookmarkEnd w:id="4"/>
      <w:r>
        <w:rPr>
          <w:b w:val="0"/>
        </w:rPr>
        <w:t xml:space="preserve"> </w:t>
      </w:r>
      <w:bookmarkEnd w:id="5"/>
      <w:r>
        <w:rPr>
          <w:b w:val="0"/>
        </w:rPr>
        <w:fldChar w:fldCharType="begin">
          <w:ffData>
            <w:name w:val=""/>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FF3F16" w:rsidRDefault="00FF3F16" w:rsidP="00C33DC6">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FF3F16" w:rsidRPr="00015BF7" w:rsidRDefault="00FF3F16" w:rsidP="00C33DC6">
      <w:pPr>
        <w:rPr>
          <w:szCs w:val="22"/>
        </w:rPr>
      </w:pPr>
    </w:p>
    <w:p w:rsidR="00FF3F16" w:rsidRPr="00DB41C0" w:rsidRDefault="00FF3F16" w:rsidP="00C33DC6">
      <w:pPr>
        <w:pStyle w:val="A-Lijn"/>
      </w:pPr>
    </w:p>
    <w:p w:rsidR="00FF3F16" w:rsidRPr="00DB41C0" w:rsidRDefault="00FF3F16" w:rsidP="00C33DC6">
      <w:pPr>
        <w:pStyle w:val="A-Lijn"/>
      </w:pPr>
    </w:p>
    <w:p w:rsidR="00FF3F16" w:rsidRDefault="00FF3F16" w:rsidP="00C33DC6">
      <w:pPr>
        <w:sectPr w:rsidR="00FF3F16" w:rsidSect="003B3111">
          <w:type w:val="continuous"/>
          <w:pgSz w:w="11906" w:h="16838"/>
          <w:pgMar w:top="1417" w:right="1417" w:bottom="1417" w:left="1417" w:header="708" w:footer="708" w:gutter="0"/>
          <w:cols w:space="708"/>
          <w:rtlGutter/>
          <w:docGrid w:linePitch="360"/>
        </w:sectPr>
      </w:pPr>
    </w:p>
    <w:p w:rsidR="00FF3F16" w:rsidRDefault="00FF3F16" w:rsidP="00935BCA">
      <w:pPr>
        <w:pStyle w:val="StandaardSV"/>
        <w:numPr>
          <w:ilvl w:val="0"/>
          <w:numId w:val="9"/>
        </w:numPr>
        <w:ind w:left="426" w:hanging="426"/>
      </w:pPr>
      <w:r>
        <w:t>Erkende instellingen voor schuldbemiddeling dienen jaarlijks uiterlijk op 31 maart een jaarverslag met gegevens van de basisregistratie aan de administratie te bezorgen. Het Vlaams Centrum Schuldbemiddeling vraagt deze gegevens ook rechtstreeks op bij de erkende instellingen voor schuldbemiddeling. Met het Vlaams Centrum Schuldbemiddeling werd afgesproken dat de gegevens van de basisregistratie 2010 beschikbaar zal zijn tegen 30 juni 2011.</w:t>
      </w:r>
    </w:p>
    <w:p w:rsidR="00FF3F16" w:rsidRDefault="00FF3F16" w:rsidP="006C0199">
      <w:pPr>
        <w:pStyle w:val="StandaardSV"/>
        <w:ind w:left="426"/>
      </w:pPr>
      <w:r>
        <w:t>De uitgebreide registratie werd in 2008 en 2009 georganiseerd en zal in 2011 voor een derde keer lopen. Het Vlaams Centrum Schuldbemiddeling stelde recent de vraag om deze uitgebreide registratie – die normaal voor 15 juli moet afgerond zijn – uit te stellen tot het najaar. Dit om de methode van steekproeftrekking en de juiste vraagstelling verder te verfijnen. Ik bekijk momenteel of hierop kan worden ingegaan.</w:t>
      </w:r>
    </w:p>
    <w:p w:rsidR="00FF3F16" w:rsidRDefault="00FF3F16" w:rsidP="006C0199">
      <w:pPr>
        <w:ind w:left="426"/>
        <w:jc w:val="both"/>
      </w:pPr>
    </w:p>
    <w:p w:rsidR="00FF3F16" w:rsidRDefault="00FF3F16" w:rsidP="00935BCA">
      <w:pPr>
        <w:pStyle w:val="StandaardSV"/>
        <w:numPr>
          <w:ilvl w:val="0"/>
          <w:numId w:val="9"/>
        </w:numPr>
        <w:ind w:left="426" w:hanging="426"/>
      </w:pPr>
      <w:r>
        <w:t>De gegevens van 2010 zullen, zoals hierboven aangegeven, pas tegen 30 juni 2011 beschikbaar zijn. Voor de jaren 2008 en 2009 kan ik u het volgende meedelen:</w:t>
      </w:r>
    </w:p>
    <w:p w:rsidR="00FF3F16" w:rsidRDefault="00FF3F16" w:rsidP="006C0199">
      <w:pPr>
        <w:pStyle w:val="StandaardSV"/>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2"/>
        <w:gridCol w:w="3071"/>
        <w:gridCol w:w="3071"/>
      </w:tblGrid>
      <w:tr w:rsidR="00FF3F16" w:rsidRPr="00760B43" w:rsidTr="00D517DF">
        <w:tc>
          <w:tcPr>
            <w:tcW w:w="2962" w:type="dxa"/>
          </w:tcPr>
          <w:p w:rsidR="00FF3F16" w:rsidRPr="00D517DF" w:rsidRDefault="00FF3F16" w:rsidP="00840836">
            <w:pPr>
              <w:pStyle w:val="StandaardSV"/>
              <w:rPr>
                <w:b/>
              </w:rPr>
            </w:pPr>
          </w:p>
        </w:tc>
        <w:tc>
          <w:tcPr>
            <w:tcW w:w="3071" w:type="dxa"/>
          </w:tcPr>
          <w:p w:rsidR="00FF3F16" w:rsidRPr="00D517DF" w:rsidRDefault="00FF3F16" w:rsidP="00840836">
            <w:pPr>
              <w:pStyle w:val="StandaardSV"/>
              <w:rPr>
                <w:b/>
              </w:rPr>
            </w:pPr>
            <w:r w:rsidRPr="00D517DF">
              <w:rPr>
                <w:b/>
              </w:rPr>
              <w:t>Budgethulpverlening zonder schulden</w:t>
            </w:r>
          </w:p>
        </w:tc>
        <w:tc>
          <w:tcPr>
            <w:tcW w:w="3071" w:type="dxa"/>
          </w:tcPr>
          <w:p w:rsidR="00FF3F16" w:rsidRPr="00D517DF" w:rsidRDefault="00FF3F16" w:rsidP="00840836">
            <w:pPr>
              <w:pStyle w:val="StandaardSV"/>
              <w:rPr>
                <w:b/>
              </w:rPr>
            </w:pPr>
            <w:r w:rsidRPr="00D517DF">
              <w:rPr>
                <w:b/>
              </w:rPr>
              <w:t>Schuldhulpverlening</w:t>
            </w:r>
          </w:p>
        </w:tc>
      </w:tr>
      <w:tr w:rsidR="00FF3F16" w:rsidTr="00D517DF">
        <w:tc>
          <w:tcPr>
            <w:tcW w:w="2962" w:type="dxa"/>
          </w:tcPr>
          <w:p w:rsidR="00FF3F16" w:rsidRDefault="00FF3F16" w:rsidP="00840836">
            <w:pPr>
              <w:pStyle w:val="StandaardSV"/>
            </w:pPr>
            <w:r>
              <w:t>Antwerpen – 2008</w:t>
            </w:r>
          </w:p>
        </w:tc>
        <w:tc>
          <w:tcPr>
            <w:tcW w:w="3071" w:type="dxa"/>
          </w:tcPr>
          <w:p w:rsidR="00FF3F16" w:rsidRDefault="00FF3F16" w:rsidP="00D517DF">
            <w:pPr>
              <w:pStyle w:val="StandaardSV"/>
              <w:ind w:right="1105"/>
              <w:jc w:val="right"/>
            </w:pPr>
            <w:r>
              <w:t>4.861</w:t>
            </w:r>
          </w:p>
        </w:tc>
        <w:tc>
          <w:tcPr>
            <w:tcW w:w="3071" w:type="dxa"/>
          </w:tcPr>
          <w:p w:rsidR="00FF3F16" w:rsidRDefault="00FF3F16" w:rsidP="00D517DF">
            <w:pPr>
              <w:pStyle w:val="StandaardSV"/>
              <w:ind w:right="1105"/>
              <w:jc w:val="right"/>
            </w:pPr>
            <w:r>
              <w:t>16.418</w:t>
            </w:r>
          </w:p>
        </w:tc>
      </w:tr>
      <w:tr w:rsidR="00FF3F16" w:rsidTr="00D517DF">
        <w:tc>
          <w:tcPr>
            <w:tcW w:w="2962" w:type="dxa"/>
          </w:tcPr>
          <w:p w:rsidR="00FF3F16" w:rsidRDefault="00FF3F16" w:rsidP="00840836">
            <w:pPr>
              <w:pStyle w:val="StandaardSV"/>
            </w:pPr>
            <w:r>
              <w:t>Antwerpen – 2009</w:t>
            </w:r>
          </w:p>
        </w:tc>
        <w:tc>
          <w:tcPr>
            <w:tcW w:w="3071" w:type="dxa"/>
          </w:tcPr>
          <w:p w:rsidR="00FF3F16" w:rsidRDefault="00FF3F16" w:rsidP="00D517DF">
            <w:pPr>
              <w:pStyle w:val="StandaardSV"/>
              <w:ind w:right="1105"/>
              <w:jc w:val="right"/>
            </w:pPr>
            <w:r>
              <w:t>5.485</w:t>
            </w:r>
          </w:p>
        </w:tc>
        <w:tc>
          <w:tcPr>
            <w:tcW w:w="3071" w:type="dxa"/>
          </w:tcPr>
          <w:p w:rsidR="00FF3F16" w:rsidRDefault="00FF3F16" w:rsidP="00D517DF">
            <w:pPr>
              <w:pStyle w:val="StandaardSV"/>
              <w:ind w:right="1105"/>
              <w:jc w:val="right"/>
            </w:pPr>
            <w:r>
              <w:t>16.849</w:t>
            </w:r>
          </w:p>
        </w:tc>
      </w:tr>
      <w:tr w:rsidR="00FF3F16" w:rsidTr="00D517DF">
        <w:tc>
          <w:tcPr>
            <w:tcW w:w="2962" w:type="dxa"/>
          </w:tcPr>
          <w:p w:rsidR="00FF3F16" w:rsidRDefault="00FF3F16" w:rsidP="00840836">
            <w:pPr>
              <w:pStyle w:val="StandaardSV"/>
            </w:pPr>
            <w:r>
              <w:t xml:space="preserve">Oost-Vlaanderen – 2008 </w:t>
            </w:r>
          </w:p>
        </w:tc>
        <w:tc>
          <w:tcPr>
            <w:tcW w:w="3071" w:type="dxa"/>
          </w:tcPr>
          <w:p w:rsidR="00FF3F16" w:rsidRDefault="00FF3F16" w:rsidP="00D517DF">
            <w:pPr>
              <w:pStyle w:val="StandaardSV"/>
              <w:ind w:right="1105"/>
              <w:jc w:val="right"/>
            </w:pPr>
            <w:r>
              <w:t>2.456</w:t>
            </w:r>
          </w:p>
        </w:tc>
        <w:tc>
          <w:tcPr>
            <w:tcW w:w="3071" w:type="dxa"/>
          </w:tcPr>
          <w:p w:rsidR="00FF3F16" w:rsidRDefault="00FF3F16" w:rsidP="00D517DF">
            <w:pPr>
              <w:pStyle w:val="StandaardSV"/>
              <w:ind w:right="1105"/>
              <w:jc w:val="right"/>
            </w:pPr>
            <w:r>
              <w:t>14.275</w:t>
            </w:r>
          </w:p>
        </w:tc>
      </w:tr>
      <w:tr w:rsidR="00FF3F16" w:rsidTr="00D517DF">
        <w:tc>
          <w:tcPr>
            <w:tcW w:w="2962" w:type="dxa"/>
          </w:tcPr>
          <w:p w:rsidR="00FF3F16" w:rsidRDefault="00FF3F16" w:rsidP="00840836">
            <w:pPr>
              <w:pStyle w:val="StandaardSV"/>
            </w:pPr>
            <w:r>
              <w:t>Oost-Vlaanderen – 2009</w:t>
            </w:r>
          </w:p>
        </w:tc>
        <w:tc>
          <w:tcPr>
            <w:tcW w:w="3071" w:type="dxa"/>
          </w:tcPr>
          <w:p w:rsidR="00FF3F16" w:rsidRDefault="00FF3F16" w:rsidP="00D517DF">
            <w:pPr>
              <w:pStyle w:val="StandaardSV"/>
              <w:ind w:right="1105"/>
              <w:jc w:val="right"/>
            </w:pPr>
            <w:r>
              <w:t>2.781</w:t>
            </w:r>
          </w:p>
        </w:tc>
        <w:tc>
          <w:tcPr>
            <w:tcW w:w="3071" w:type="dxa"/>
          </w:tcPr>
          <w:p w:rsidR="00FF3F16" w:rsidRDefault="00FF3F16" w:rsidP="00D517DF">
            <w:pPr>
              <w:pStyle w:val="StandaardSV"/>
              <w:ind w:right="1105"/>
              <w:jc w:val="right"/>
            </w:pPr>
            <w:r>
              <w:t>13.863</w:t>
            </w:r>
          </w:p>
        </w:tc>
      </w:tr>
      <w:tr w:rsidR="00FF3F16" w:rsidTr="00D517DF">
        <w:tc>
          <w:tcPr>
            <w:tcW w:w="2962" w:type="dxa"/>
          </w:tcPr>
          <w:p w:rsidR="00FF3F16" w:rsidRDefault="00FF3F16" w:rsidP="00840836">
            <w:pPr>
              <w:pStyle w:val="StandaardSV"/>
            </w:pPr>
            <w:r>
              <w:t>West-Vlaanderen – 2008</w:t>
            </w:r>
          </w:p>
        </w:tc>
        <w:tc>
          <w:tcPr>
            <w:tcW w:w="3071" w:type="dxa"/>
          </w:tcPr>
          <w:p w:rsidR="00FF3F16" w:rsidRDefault="00FF3F16" w:rsidP="00D517DF">
            <w:pPr>
              <w:pStyle w:val="StandaardSV"/>
              <w:ind w:right="1105"/>
              <w:jc w:val="right"/>
            </w:pPr>
            <w:r>
              <w:t>3.017</w:t>
            </w:r>
          </w:p>
        </w:tc>
        <w:tc>
          <w:tcPr>
            <w:tcW w:w="3071" w:type="dxa"/>
          </w:tcPr>
          <w:p w:rsidR="00FF3F16" w:rsidRDefault="00FF3F16" w:rsidP="00D517DF">
            <w:pPr>
              <w:pStyle w:val="StandaardSV"/>
              <w:ind w:right="1105"/>
              <w:jc w:val="right"/>
            </w:pPr>
            <w:r>
              <w:t>13.706</w:t>
            </w:r>
          </w:p>
        </w:tc>
      </w:tr>
      <w:tr w:rsidR="00FF3F16" w:rsidTr="00D517DF">
        <w:tc>
          <w:tcPr>
            <w:tcW w:w="2962" w:type="dxa"/>
          </w:tcPr>
          <w:p w:rsidR="00FF3F16" w:rsidRDefault="00FF3F16" w:rsidP="00840836">
            <w:pPr>
              <w:pStyle w:val="StandaardSV"/>
            </w:pPr>
            <w:r>
              <w:t>West-Vlaanderen – 2009</w:t>
            </w:r>
          </w:p>
        </w:tc>
        <w:tc>
          <w:tcPr>
            <w:tcW w:w="3071" w:type="dxa"/>
          </w:tcPr>
          <w:p w:rsidR="00FF3F16" w:rsidRDefault="00FF3F16" w:rsidP="00D517DF">
            <w:pPr>
              <w:pStyle w:val="StandaardSV"/>
              <w:ind w:right="1105"/>
              <w:jc w:val="right"/>
            </w:pPr>
            <w:r>
              <w:t>2.796</w:t>
            </w:r>
          </w:p>
        </w:tc>
        <w:tc>
          <w:tcPr>
            <w:tcW w:w="3071" w:type="dxa"/>
          </w:tcPr>
          <w:p w:rsidR="00FF3F16" w:rsidRDefault="00FF3F16" w:rsidP="00D517DF">
            <w:pPr>
              <w:pStyle w:val="StandaardSV"/>
              <w:ind w:right="1105"/>
              <w:jc w:val="right"/>
            </w:pPr>
            <w:r>
              <w:t>14.012</w:t>
            </w:r>
          </w:p>
        </w:tc>
      </w:tr>
      <w:tr w:rsidR="00FF3F16" w:rsidTr="00D517DF">
        <w:tc>
          <w:tcPr>
            <w:tcW w:w="2962" w:type="dxa"/>
          </w:tcPr>
          <w:p w:rsidR="00FF3F16" w:rsidRDefault="00FF3F16" w:rsidP="00840836">
            <w:pPr>
              <w:pStyle w:val="StandaardSV"/>
            </w:pPr>
            <w:r>
              <w:t xml:space="preserve">Limburg – 2008 </w:t>
            </w:r>
          </w:p>
        </w:tc>
        <w:tc>
          <w:tcPr>
            <w:tcW w:w="3071" w:type="dxa"/>
          </w:tcPr>
          <w:p w:rsidR="00FF3F16" w:rsidRDefault="00FF3F16" w:rsidP="00D517DF">
            <w:pPr>
              <w:pStyle w:val="StandaardSV"/>
              <w:ind w:right="1105"/>
              <w:jc w:val="right"/>
            </w:pPr>
            <w:r>
              <w:t>1.683</w:t>
            </w:r>
          </w:p>
        </w:tc>
        <w:tc>
          <w:tcPr>
            <w:tcW w:w="3071" w:type="dxa"/>
          </w:tcPr>
          <w:p w:rsidR="00FF3F16" w:rsidRDefault="00FF3F16" w:rsidP="00D517DF">
            <w:pPr>
              <w:pStyle w:val="StandaardSV"/>
              <w:ind w:right="1105"/>
              <w:jc w:val="right"/>
            </w:pPr>
            <w:r>
              <w:t>8.546</w:t>
            </w:r>
          </w:p>
        </w:tc>
      </w:tr>
      <w:tr w:rsidR="00FF3F16" w:rsidTr="00D517DF">
        <w:tc>
          <w:tcPr>
            <w:tcW w:w="2962" w:type="dxa"/>
          </w:tcPr>
          <w:p w:rsidR="00FF3F16" w:rsidRDefault="00FF3F16" w:rsidP="00840836">
            <w:pPr>
              <w:pStyle w:val="StandaardSV"/>
            </w:pPr>
            <w:r>
              <w:t>Limburg – 2009</w:t>
            </w:r>
          </w:p>
        </w:tc>
        <w:tc>
          <w:tcPr>
            <w:tcW w:w="3071" w:type="dxa"/>
          </w:tcPr>
          <w:p w:rsidR="00FF3F16" w:rsidRDefault="00FF3F16" w:rsidP="00D517DF">
            <w:pPr>
              <w:pStyle w:val="StandaardSV"/>
              <w:ind w:right="1105"/>
              <w:jc w:val="right"/>
            </w:pPr>
            <w:r>
              <w:t>1.838</w:t>
            </w:r>
          </w:p>
        </w:tc>
        <w:tc>
          <w:tcPr>
            <w:tcW w:w="3071" w:type="dxa"/>
          </w:tcPr>
          <w:p w:rsidR="00FF3F16" w:rsidRDefault="00FF3F16" w:rsidP="00D517DF">
            <w:pPr>
              <w:pStyle w:val="StandaardSV"/>
              <w:ind w:right="1105"/>
              <w:jc w:val="right"/>
            </w:pPr>
            <w:r>
              <w:t>10.200</w:t>
            </w:r>
          </w:p>
        </w:tc>
      </w:tr>
      <w:tr w:rsidR="00FF3F16" w:rsidTr="00D517DF">
        <w:tc>
          <w:tcPr>
            <w:tcW w:w="2962" w:type="dxa"/>
          </w:tcPr>
          <w:p w:rsidR="00FF3F16" w:rsidRDefault="00FF3F16" w:rsidP="00840836">
            <w:pPr>
              <w:pStyle w:val="StandaardSV"/>
            </w:pPr>
            <w:r>
              <w:t>Vlaams-Brabant – 2008</w:t>
            </w:r>
          </w:p>
        </w:tc>
        <w:tc>
          <w:tcPr>
            <w:tcW w:w="3071" w:type="dxa"/>
          </w:tcPr>
          <w:p w:rsidR="00FF3F16" w:rsidRDefault="00FF3F16" w:rsidP="00D517DF">
            <w:pPr>
              <w:pStyle w:val="StandaardSV"/>
              <w:ind w:right="1105"/>
              <w:jc w:val="right"/>
            </w:pPr>
            <w:r>
              <w:t>1.906</w:t>
            </w:r>
          </w:p>
        </w:tc>
        <w:tc>
          <w:tcPr>
            <w:tcW w:w="3071" w:type="dxa"/>
          </w:tcPr>
          <w:p w:rsidR="00FF3F16" w:rsidRDefault="00FF3F16" w:rsidP="00D517DF">
            <w:pPr>
              <w:pStyle w:val="StandaardSV"/>
              <w:ind w:right="1105"/>
              <w:jc w:val="right"/>
            </w:pPr>
            <w:r>
              <w:t>7.289</w:t>
            </w:r>
          </w:p>
        </w:tc>
      </w:tr>
      <w:tr w:rsidR="00FF3F16" w:rsidTr="00D517DF">
        <w:tc>
          <w:tcPr>
            <w:tcW w:w="2962" w:type="dxa"/>
          </w:tcPr>
          <w:p w:rsidR="00FF3F16" w:rsidRDefault="00FF3F16" w:rsidP="00840836">
            <w:pPr>
              <w:pStyle w:val="StandaardSV"/>
            </w:pPr>
            <w:r>
              <w:t>Vlaams-Brabant – 2009</w:t>
            </w:r>
          </w:p>
        </w:tc>
        <w:tc>
          <w:tcPr>
            <w:tcW w:w="3071" w:type="dxa"/>
          </w:tcPr>
          <w:p w:rsidR="00FF3F16" w:rsidRDefault="00FF3F16" w:rsidP="00D517DF">
            <w:pPr>
              <w:pStyle w:val="StandaardSV"/>
              <w:ind w:right="1105"/>
              <w:jc w:val="right"/>
            </w:pPr>
            <w:r>
              <w:t>2.079</w:t>
            </w:r>
          </w:p>
        </w:tc>
        <w:tc>
          <w:tcPr>
            <w:tcW w:w="3071" w:type="dxa"/>
          </w:tcPr>
          <w:p w:rsidR="00FF3F16" w:rsidRDefault="00FF3F16" w:rsidP="00D517DF">
            <w:pPr>
              <w:pStyle w:val="StandaardSV"/>
              <w:ind w:right="1105"/>
              <w:jc w:val="right"/>
            </w:pPr>
            <w:r>
              <w:t>7.259</w:t>
            </w:r>
          </w:p>
        </w:tc>
      </w:tr>
      <w:tr w:rsidR="00FF3F16" w:rsidRPr="00760B43" w:rsidTr="00D517DF">
        <w:tc>
          <w:tcPr>
            <w:tcW w:w="2962" w:type="dxa"/>
          </w:tcPr>
          <w:p w:rsidR="00FF3F16" w:rsidRPr="00D517DF" w:rsidRDefault="00FF3F16" w:rsidP="00840836">
            <w:pPr>
              <w:pStyle w:val="StandaardSV"/>
              <w:rPr>
                <w:b/>
              </w:rPr>
            </w:pPr>
            <w:r w:rsidRPr="00D517DF">
              <w:rPr>
                <w:b/>
              </w:rPr>
              <w:t>Vlaanderen – 2008</w:t>
            </w:r>
          </w:p>
        </w:tc>
        <w:tc>
          <w:tcPr>
            <w:tcW w:w="3071" w:type="dxa"/>
          </w:tcPr>
          <w:p w:rsidR="00FF3F16" w:rsidRPr="00D517DF" w:rsidRDefault="00FF3F16" w:rsidP="00D517DF">
            <w:pPr>
              <w:pStyle w:val="StandaardSV"/>
              <w:ind w:right="1105"/>
              <w:jc w:val="right"/>
              <w:rPr>
                <w:b/>
              </w:rPr>
            </w:pPr>
            <w:r w:rsidRPr="00D517DF">
              <w:rPr>
                <w:b/>
              </w:rPr>
              <w:t>13.923</w:t>
            </w:r>
          </w:p>
        </w:tc>
        <w:tc>
          <w:tcPr>
            <w:tcW w:w="3071" w:type="dxa"/>
          </w:tcPr>
          <w:p w:rsidR="00FF3F16" w:rsidRPr="00D517DF" w:rsidRDefault="00FF3F16" w:rsidP="00D517DF">
            <w:pPr>
              <w:pStyle w:val="StandaardSV"/>
              <w:ind w:right="1105"/>
              <w:jc w:val="right"/>
              <w:rPr>
                <w:b/>
              </w:rPr>
            </w:pPr>
            <w:r w:rsidRPr="00D517DF">
              <w:rPr>
                <w:b/>
              </w:rPr>
              <w:t>60.234</w:t>
            </w:r>
          </w:p>
        </w:tc>
      </w:tr>
      <w:tr w:rsidR="00FF3F16" w:rsidRPr="00760B43" w:rsidTr="00D517DF">
        <w:tc>
          <w:tcPr>
            <w:tcW w:w="2962" w:type="dxa"/>
          </w:tcPr>
          <w:p w:rsidR="00FF3F16" w:rsidRPr="00D517DF" w:rsidRDefault="00FF3F16" w:rsidP="00840836">
            <w:pPr>
              <w:pStyle w:val="StandaardSV"/>
              <w:rPr>
                <w:b/>
              </w:rPr>
            </w:pPr>
            <w:r w:rsidRPr="00D517DF">
              <w:rPr>
                <w:b/>
              </w:rPr>
              <w:t>Vlaanderen – 2009</w:t>
            </w:r>
          </w:p>
        </w:tc>
        <w:tc>
          <w:tcPr>
            <w:tcW w:w="3071" w:type="dxa"/>
          </w:tcPr>
          <w:p w:rsidR="00FF3F16" w:rsidRPr="00D517DF" w:rsidRDefault="00FF3F16" w:rsidP="00D517DF">
            <w:pPr>
              <w:pStyle w:val="StandaardSV"/>
              <w:ind w:right="1105"/>
              <w:jc w:val="right"/>
              <w:rPr>
                <w:b/>
              </w:rPr>
            </w:pPr>
            <w:r w:rsidRPr="00D517DF">
              <w:rPr>
                <w:b/>
              </w:rPr>
              <w:t>14.979</w:t>
            </w:r>
          </w:p>
        </w:tc>
        <w:tc>
          <w:tcPr>
            <w:tcW w:w="3071" w:type="dxa"/>
          </w:tcPr>
          <w:p w:rsidR="00FF3F16" w:rsidRPr="00D517DF" w:rsidRDefault="00FF3F16" w:rsidP="00D517DF">
            <w:pPr>
              <w:pStyle w:val="StandaardSV"/>
              <w:ind w:right="1105"/>
              <w:jc w:val="right"/>
              <w:rPr>
                <w:b/>
              </w:rPr>
            </w:pPr>
            <w:r w:rsidRPr="00D517DF">
              <w:rPr>
                <w:b/>
              </w:rPr>
              <w:t>62.183</w:t>
            </w:r>
          </w:p>
        </w:tc>
      </w:tr>
    </w:tbl>
    <w:p w:rsidR="00FF3F16" w:rsidRPr="00935BCA" w:rsidRDefault="00FF3F16" w:rsidP="006C0199">
      <w:pPr>
        <w:pStyle w:val="StandaardSV"/>
        <w:rPr>
          <w:sz w:val="20"/>
        </w:rPr>
      </w:pPr>
      <w:r w:rsidRPr="00935BCA">
        <w:rPr>
          <w:sz w:val="20"/>
        </w:rPr>
        <w:t>Bron: Vlaams Centrum Schuldbemiddeling (2010), Onderzoeksrapport - Resultaten van de basisregistratie en de uitgebreide registratie uitgevoerd bij de erkende instellingen schuldbemiddeling in Vlaanderen, 2007-2009, Brussel: VCS.</w:t>
      </w:r>
    </w:p>
    <w:p w:rsidR="00FF3F16" w:rsidRDefault="00FF3F16" w:rsidP="006C0199">
      <w:pPr>
        <w:jc w:val="both"/>
      </w:pPr>
    </w:p>
    <w:p w:rsidR="00FF3F16" w:rsidRDefault="00FF3F16" w:rsidP="00935BCA">
      <w:pPr>
        <w:pStyle w:val="StandaardSV"/>
        <w:numPr>
          <w:ilvl w:val="0"/>
          <w:numId w:val="9"/>
        </w:numPr>
        <w:ind w:left="426" w:hanging="426"/>
      </w:pPr>
      <w:r>
        <w:t xml:space="preserve">In 106 erkende instellingen voor schuldbemiddeling was er in 2009 geen gemiddelde wachttijd. Bij 142 instellingen werd deze gemiddelde wachttijd niet geregistreerd. Bij de overige 83 instellingen varieerde de gemiddelde wachttijd van 2 weken tot 16 maanden. </w:t>
      </w:r>
    </w:p>
    <w:p w:rsidR="00FF3F16" w:rsidRDefault="00FF3F16" w:rsidP="006C0199">
      <w:pPr>
        <w:pStyle w:val="StandaardSV"/>
        <w:ind w:left="426"/>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3543"/>
      </w:tblGrid>
      <w:tr w:rsidR="00FF3F16" w:rsidRPr="00760B43" w:rsidTr="00840836">
        <w:tc>
          <w:tcPr>
            <w:tcW w:w="3119" w:type="dxa"/>
            <w:vAlign w:val="center"/>
          </w:tcPr>
          <w:p w:rsidR="00FF3F16" w:rsidRPr="00760B43" w:rsidRDefault="00FF3F16" w:rsidP="00840836">
            <w:pPr>
              <w:pStyle w:val="standaardarial"/>
              <w:jc w:val="right"/>
              <w:rPr>
                <w:rFonts w:ascii="Times New Roman" w:hAnsi="Times New Roman"/>
                <w:b/>
                <w:szCs w:val="22"/>
              </w:rPr>
            </w:pPr>
            <w:r w:rsidRPr="00760B43">
              <w:rPr>
                <w:rFonts w:ascii="Times New Roman" w:hAnsi="Times New Roman"/>
                <w:b/>
                <w:szCs w:val="22"/>
              </w:rPr>
              <w:t>Gemiddelde wachttijd (in aantal maanden)</w:t>
            </w:r>
          </w:p>
        </w:tc>
        <w:tc>
          <w:tcPr>
            <w:tcW w:w="3543" w:type="dxa"/>
            <w:vAlign w:val="center"/>
          </w:tcPr>
          <w:p w:rsidR="00FF3F16" w:rsidRPr="00760B43" w:rsidRDefault="00FF3F16" w:rsidP="00840836">
            <w:pPr>
              <w:pStyle w:val="standaardarial"/>
              <w:jc w:val="right"/>
              <w:rPr>
                <w:rFonts w:ascii="Times New Roman" w:hAnsi="Times New Roman"/>
                <w:b/>
                <w:szCs w:val="22"/>
              </w:rPr>
            </w:pPr>
            <w:r w:rsidRPr="00760B43">
              <w:rPr>
                <w:rFonts w:ascii="Times New Roman" w:hAnsi="Times New Roman"/>
                <w:b/>
                <w:szCs w:val="22"/>
              </w:rPr>
              <w:t>Aantal diensten schuldbemiddeling</w:t>
            </w:r>
            <w:r>
              <w:rPr>
                <w:rFonts w:ascii="Times New Roman" w:hAnsi="Times New Roman"/>
                <w:b/>
                <w:szCs w:val="22"/>
              </w:rPr>
              <w:t xml:space="preserve"> (2009)</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0</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106</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0,5</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2</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11</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1,5</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7</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2</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9</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2,5</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3</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21</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3,5</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4</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4</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8</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4,5</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 xml:space="preserve">  5</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2</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 xml:space="preserve">  5,7</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 xml:space="preserve">  6</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10</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 xml:space="preserve">  7</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 xml:space="preserve">  7,5</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 xml:space="preserve">  9,6</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12</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2</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16</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Niet geregistreerd</w:t>
            </w:r>
          </w:p>
        </w:tc>
        <w:tc>
          <w:tcPr>
            <w:tcW w:w="3543" w:type="dxa"/>
            <w:vAlign w:val="center"/>
          </w:tcPr>
          <w:p w:rsidR="00FF3F16" w:rsidRPr="00760B43" w:rsidRDefault="00FF3F16" w:rsidP="00840836">
            <w:pPr>
              <w:pStyle w:val="standaardarial"/>
              <w:jc w:val="right"/>
              <w:rPr>
                <w:rFonts w:ascii="Times New Roman" w:hAnsi="Times New Roman"/>
                <w:szCs w:val="22"/>
              </w:rPr>
            </w:pPr>
            <w:r w:rsidRPr="00760B43">
              <w:rPr>
                <w:rFonts w:ascii="Times New Roman" w:hAnsi="Times New Roman"/>
                <w:szCs w:val="22"/>
              </w:rPr>
              <w:t>142</w:t>
            </w:r>
          </w:p>
        </w:tc>
      </w:tr>
      <w:tr w:rsidR="00FF3F16" w:rsidRPr="00760B43" w:rsidTr="00840836">
        <w:trPr>
          <w:trHeight w:val="284"/>
        </w:trPr>
        <w:tc>
          <w:tcPr>
            <w:tcW w:w="3119" w:type="dxa"/>
            <w:vAlign w:val="center"/>
          </w:tcPr>
          <w:p w:rsidR="00FF3F16" w:rsidRPr="00760B43" w:rsidRDefault="00FF3F16" w:rsidP="00840836">
            <w:pPr>
              <w:pStyle w:val="standaardarial"/>
              <w:jc w:val="right"/>
              <w:rPr>
                <w:rFonts w:ascii="Times New Roman" w:hAnsi="Times New Roman"/>
                <w:b/>
                <w:szCs w:val="22"/>
              </w:rPr>
            </w:pPr>
            <w:r w:rsidRPr="00760B43">
              <w:rPr>
                <w:rFonts w:ascii="Times New Roman" w:hAnsi="Times New Roman"/>
                <w:b/>
                <w:szCs w:val="22"/>
              </w:rPr>
              <w:t>Totaal aantal diensten</w:t>
            </w:r>
          </w:p>
        </w:tc>
        <w:tc>
          <w:tcPr>
            <w:tcW w:w="3543" w:type="dxa"/>
            <w:vAlign w:val="center"/>
          </w:tcPr>
          <w:p w:rsidR="00FF3F16" w:rsidRPr="00760B43" w:rsidRDefault="00FF3F16" w:rsidP="00840836">
            <w:pPr>
              <w:pStyle w:val="standaardarial"/>
              <w:jc w:val="right"/>
              <w:rPr>
                <w:rFonts w:ascii="Times New Roman" w:hAnsi="Times New Roman"/>
                <w:b/>
                <w:szCs w:val="22"/>
              </w:rPr>
            </w:pPr>
            <w:r w:rsidRPr="00760B43">
              <w:rPr>
                <w:rFonts w:ascii="Times New Roman" w:hAnsi="Times New Roman"/>
                <w:b/>
                <w:szCs w:val="22"/>
              </w:rPr>
              <w:t>331</w:t>
            </w:r>
          </w:p>
        </w:tc>
      </w:tr>
    </w:tbl>
    <w:p w:rsidR="00FF3F16" w:rsidRPr="00935BCA" w:rsidRDefault="00FF3F16" w:rsidP="006C0199">
      <w:pPr>
        <w:pStyle w:val="StandaardSV"/>
        <w:rPr>
          <w:sz w:val="20"/>
        </w:rPr>
      </w:pPr>
      <w:r w:rsidRPr="00935BCA">
        <w:rPr>
          <w:sz w:val="20"/>
        </w:rPr>
        <w:t>Bron: Vlaams Centrum Schuldbemiddeling (2010), Onderzoeksrapport - Resultaten van de basisregistratie en de uitgebreide registratie uitgevoerd bij de erkende instellingen schuldbemiddeling in Vlaanderen, 2007-2009, Brussel: VCS.</w:t>
      </w:r>
    </w:p>
    <w:p w:rsidR="00FF3F16" w:rsidRDefault="00FF3F16" w:rsidP="006C0199">
      <w:pPr>
        <w:jc w:val="both"/>
      </w:pPr>
    </w:p>
    <w:p w:rsidR="00FF3F16" w:rsidRDefault="00FF3F16" w:rsidP="00935BCA">
      <w:pPr>
        <w:pStyle w:val="StandaardSV"/>
        <w:numPr>
          <w:ilvl w:val="0"/>
          <w:numId w:val="9"/>
        </w:numPr>
        <w:ind w:left="426" w:hanging="426"/>
      </w:pPr>
      <w:r>
        <w:t xml:space="preserve">Vlaanderen stelt momenteel geen middelen ter beschikking om de erkende instellingen voor schuldbemiddeling rechtstreeks te ondersteunen. Bij de Katholieke Hogeschool Kempen loopt momenteel in mijn opdracht een onderzoek naar de werking en de organisatie van erkende instellingen voor schuldbemiddeling met het oog op een mogelijke subsidiëring. </w:t>
      </w:r>
    </w:p>
    <w:p w:rsidR="00FF3F16" w:rsidRDefault="00FF3F16" w:rsidP="006C0199">
      <w:pPr>
        <w:autoSpaceDE w:val="0"/>
        <w:autoSpaceDN w:val="0"/>
        <w:adjustRightInd w:val="0"/>
        <w:ind w:left="360"/>
        <w:jc w:val="both"/>
      </w:pPr>
    </w:p>
    <w:sectPr w:rsidR="00FF3F16"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16" w:rsidRDefault="00FF3F16">
      <w:r>
        <w:separator/>
      </w:r>
    </w:p>
  </w:endnote>
  <w:endnote w:type="continuationSeparator" w:id="1">
    <w:p w:rsidR="00FF3F16" w:rsidRDefault="00FF3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16" w:rsidRDefault="00FF3F16">
      <w:r>
        <w:separator/>
      </w:r>
    </w:p>
  </w:footnote>
  <w:footnote w:type="continuationSeparator" w:id="1">
    <w:p w:rsidR="00FF3F16" w:rsidRDefault="00FF3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19D"/>
    <w:multiLevelType w:val="hybridMultilevel"/>
    <w:tmpl w:val="485A037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CF25F9A"/>
    <w:multiLevelType w:val="hybridMultilevel"/>
    <w:tmpl w:val="8604DABE"/>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
    <w:nsid w:val="307942B6"/>
    <w:multiLevelType w:val="hybridMultilevel"/>
    <w:tmpl w:val="5242FFE6"/>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
    <w:nsid w:val="41884408"/>
    <w:multiLevelType w:val="hybridMultilevel"/>
    <w:tmpl w:val="3F90FBE4"/>
    <w:lvl w:ilvl="0" w:tplc="27B83160">
      <w:numFmt w:val="bullet"/>
      <w:lvlText w:val="-"/>
      <w:lvlJc w:val="left"/>
      <w:pPr>
        <w:tabs>
          <w:tab w:val="num" w:pos="1428"/>
        </w:tabs>
        <w:ind w:left="1428" w:hanging="360"/>
      </w:pPr>
      <w:rPr>
        <w:rFonts w:ascii="Courier New" w:eastAsia="Times New Roman"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nsid w:val="41F100F6"/>
    <w:multiLevelType w:val="hybridMultilevel"/>
    <w:tmpl w:val="ACFCD6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50BF074C"/>
    <w:multiLevelType w:val="hybridMultilevel"/>
    <w:tmpl w:val="603411C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57703B35"/>
    <w:multiLevelType w:val="hybridMultilevel"/>
    <w:tmpl w:val="4FA625A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63520843"/>
    <w:multiLevelType w:val="hybridMultilevel"/>
    <w:tmpl w:val="68389A38"/>
    <w:lvl w:ilvl="0" w:tplc="6E1A69B6">
      <w:start w:val="1"/>
      <w:numFmt w:val="bullet"/>
      <w:lvlText w:val="-"/>
      <w:lvlJc w:val="left"/>
      <w:pPr>
        <w:tabs>
          <w:tab w:val="num" w:pos="720"/>
        </w:tabs>
        <w:ind w:left="720" w:hanging="360"/>
      </w:pPr>
      <w:rPr>
        <w:rFonts w:ascii="Tunga" w:eastAsia="Times New Roman" w:hAnsi="Tung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5"/>
  </w:num>
  <w:num w:numId="4">
    <w:abstractNumId w:val="3"/>
  </w:num>
  <w:num w:numId="5">
    <w:abstractNumId w:val="7"/>
  </w:num>
  <w:num w:numId="6">
    <w:abstractNumId w:val="2"/>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DE8"/>
    <w:rsid w:val="00005BEA"/>
    <w:rsid w:val="00015847"/>
    <w:rsid w:val="00015BF7"/>
    <w:rsid w:val="00031E9C"/>
    <w:rsid w:val="0006452E"/>
    <w:rsid w:val="0009397C"/>
    <w:rsid w:val="000D780C"/>
    <w:rsid w:val="00164167"/>
    <w:rsid w:val="0017317B"/>
    <w:rsid w:val="00180464"/>
    <w:rsid w:val="00192DD9"/>
    <w:rsid w:val="00193591"/>
    <w:rsid w:val="001B4D26"/>
    <w:rsid w:val="001B5D46"/>
    <w:rsid w:val="001D4ACE"/>
    <w:rsid w:val="001D4C7A"/>
    <w:rsid w:val="00272E09"/>
    <w:rsid w:val="002749B0"/>
    <w:rsid w:val="00290ABD"/>
    <w:rsid w:val="002D7DA0"/>
    <w:rsid w:val="00326A58"/>
    <w:rsid w:val="00342ADB"/>
    <w:rsid w:val="003472D6"/>
    <w:rsid w:val="003B3111"/>
    <w:rsid w:val="003C4E7C"/>
    <w:rsid w:val="003E56E5"/>
    <w:rsid w:val="0048396F"/>
    <w:rsid w:val="004C23BF"/>
    <w:rsid w:val="004C7D4C"/>
    <w:rsid w:val="004D2F6C"/>
    <w:rsid w:val="004F7275"/>
    <w:rsid w:val="005520F9"/>
    <w:rsid w:val="0055480E"/>
    <w:rsid w:val="005572BF"/>
    <w:rsid w:val="00580D0B"/>
    <w:rsid w:val="005A3299"/>
    <w:rsid w:val="005C5076"/>
    <w:rsid w:val="005E2057"/>
    <w:rsid w:val="00614881"/>
    <w:rsid w:val="006359E3"/>
    <w:rsid w:val="00644274"/>
    <w:rsid w:val="00646168"/>
    <w:rsid w:val="006642D2"/>
    <w:rsid w:val="00686969"/>
    <w:rsid w:val="006871B4"/>
    <w:rsid w:val="006C0199"/>
    <w:rsid w:val="006D2EFE"/>
    <w:rsid w:val="006F4096"/>
    <w:rsid w:val="00756DD5"/>
    <w:rsid w:val="00760B43"/>
    <w:rsid w:val="00770915"/>
    <w:rsid w:val="00780CEA"/>
    <w:rsid w:val="007B7C2F"/>
    <w:rsid w:val="007F1ACB"/>
    <w:rsid w:val="00811B97"/>
    <w:rsid w:val="00840836"/>
    <w:rsid w:val="008C58C5"/>
    <w:rsid w:val="008C7FB7"/>
    <w:rsid w:val="00920A7B"/>
    <w:rsid w:val="00930A1F"/>
    <w:rsid w:val="00934753"/>
    <w:rsid w:val="00935BCA"/>
    <w:rsid w:val="00965D5E"/>
    <w:rsid w:val="009675B4"/>
    <w:rsid w:val="00987A71"/>
    <w:rsid w:val="009C4781"/>
    <w:rsid w:val="009D682B"/>
    <w:rsid w:val="009D7043"/>
    <w:rsid w:val="00A35DC6"/>
    <w:rsid w:val="00A40CCF"/>
    <w:rsid w:val="00A62BA5"/>
    <w:rsid w:val="00A7022C"/>
    <w:rsid w:val="00A75327"/>
    <w:rsid w:val="00A80511"/>
    <w:rsid w:val="00AB6C49"/>
    <w:rsid w:val="00AC33E6"/>
    <w:rsid w:val="00AE7DD6"/>
    <w:rsid w:val="00B06DE8"/>
    <w:rsid w:val="00B21EC0"/>
    <w:rsid w:val="00B34B11"/>
    <w:rsid w:val="00B3621E"/>
    <w:rsid w:val="00B41FA6"/>
    <w:rsid w:val="00BA1FA4"/>
    <w:rsid w:val="00BB26BB"/>
    <w:rsid w:val="00BB479A"/>
    <w:rsid w:val="00C33DC6"/>
    <w:rsid w:val="00C75FB8"/>
    <w:rsid w:val="00CB36BD"/>
    <w:rsid w:val="00CD3674"/>
    <w:rsid w:val="00CF6F78"/>
    <w:rsid w:val="00D15CC1"/>
    <w:rsid w:val="00D256A4"/>
    <w:rsid w:val="00D517DF"/>
    <w:rsid w:val="00DB41C0"/>
    <w:rsid w:val="00DD17A3"/>
    <w:rsid w:val="00DD4121"/>
    <w:rsid w:val="00E31F4D"/>
    <w:rsid w:val="00E3725C"/>
    <w:rsid w:val="00E42AD9"/>
    <w:rsid w:val="00E52AAD"/>
    <w:rsid w:val="00E8498E"/>
    <w:rsid w:val="00EA112A"/>
    <w:rsid w:val="00EA1B13"/>
    <w:rsid w:val="00EA5B9A"/>
    <w:rsid w:val="00EB2D82"/>
    <w:rsid w:val="00ED75C7"/>
    <w:rsid w:val="00EE4E83"/>
    <w:rsid w:val="00F05548"/>
    <w:rsid w:val="00F42612"/>
    <w:rsid w:val="00F7427A"/>
    <w:rsid w:val="00F847AB"/>
    <w:rsid w:val="00FA66EF"/>
    <w:rsid w:val="00FC4D50"/>
    <w:rsid w:val="00FD12A8"/>
    <w:rsid w:val="00FF3F1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C6"/>
    <w:rPr>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woordNaamMinister">
    <w:name w:val="AntwoordNaamMinister"/>
    <w:basedOn w:val="Normal"/>
    <w:link w:val="AntwoordNaamMinisterChar"/>
    <w:uiPriority w:val="99"/>
    <w:rsid w:val="00C33DC6"/>
    <w:rPr>
      <w:b/>
      <w:smallCaps/>
      <w:lang w:val="nl-BE"/>
    </w:rPr>
  </w:style>
  <w:style w:type="paragraph" w:customStyle="1" w:styleId="A-TitelMinister">
    <w:name w:val="A-TitelMinister"/>
    <w:basedOn w:val="Normal"/>
    <w:uiPriority w:val="99"/>
    <w:rsid w:val="00C33DC6"/>
    <w:rPr>
      <w:smallCaps/>
      <w:szCs w:val="22"/>
      <w:lang w:val="nl-BE"/>
    </w:rPr>
  </w:style>
  <w:style w:type="paragraph" w:customStyle="1" w:styleId="A-NaamMinister">
    <w:name w:val="A-NaamMinister"/>
    <w:basedOn w:val="Normal"/>
    <w:link w:val="A-NaamMinisterChar"/>
    <w:uiPriority w:val="99"/>
    <w:rsid w:val="00C33DC6"/>
    <w:rPr>
      <w:b/>
      <w:smallCaps/>
      <w:lang w:val="nl-BE"/>
    </w:rPr>
  </w:style>
  <w:style w:type="paragraph" w:customStyle="1" w:styleId="A-Lijn">
    <w:name w:val="A-Lijn"/>
    <w:basedOn w:val="Normal"/>
    <w:uiPriority w:val="99"/>
    <w:rsid w:val="00C33DC6"/>
    <w:pPr>
      <w:pBdr>
        <w:top w:val="single" w:sz="4" w:space="1" w:color="auto"/>
      </w:pBdr>
    </w:pPr>
    <w:rPr>
      <w:smallCaps/>
      <w:szCs w:val="22"/>
      <w:lang w:val="nl-BE"/>
    </w:rPr>
  </w:style>
  <w:style w:type="paragraph" w:customStyle="1" w:styleId="A-Type">
    <w:name w:val="A-Type"/>
    <w:link w:val="A-TypeChar"/>
    <w:uiPriority w:val="99"/>
    <w:rsid w:val="00C33DC6"/>
    <w:rPr>
      <w:b/>
      <w:smallCaps/>
      <w:lang w:eastAsia="nl-NL"/>
    </w:rPr>
  </w:style>
  <w:style w:type="character" w:customStyle="1" w:styleId="A-NaamMinisterChar">
    <w:name w:val="A-NaamMinister Char"/>
    <w:link w:val="A-NaamMinister"/>
    <w:uiPriority w:val="99"/>
    <w:locked/>
    <w:rsid w:val="00C33DC6"/>
    <w:rPr>
      <w:b/>
      <w:smallCaps/>
      <w:sz w:val="24"/>
      <w:lang w:val="nl-BE" w:eastAsia="nl-NL"/>
    </w:rPr>
  </w:style>
  <w:style w:type="character" w:customStyle="1" w:styleId="A-TypeChar">
    <w:name w:val="A-Type Char"/>
    <w:link w:val="A-Type"/>
    <w:uiPriority w:val="99"/>
    <w:locked/>
    <w:rsid w:val="00C33DC6"/>
    <w:rPr>
      <w:b/>
      <w:smallCaps/>
      <w:sz w:val="22"/>
      <w:lang w:val="nl-BE" w:eastAsia="nl-NL"/>
    </w:rPr>
  </w:style>
  <w:style w:type="character" w:customStyle="1" w:styleId="AntwoordNaamMinisterChar">
    <w:name w:val="AntwoordNaamMinister Char"/>
    <w:link w:val="AntwoordNaamMinister"/>
    <w:uiPriority w:val="99"/>
    <w:locked/>
    <w:rsid w:val="00C33DC6"/>
    <w:rPr>
      <w:b/>
      <w:smallCaps/>
      <w:sz w:val="24"/>
      <w:lang w:val="nl-BE" w:eastAsia="nl-NL"/>
    </w:rPr>
  </w:style>
  <w:style w:type="paragraph" w:customStyle="1" w:styleId="StandaardSV">
    <w:name w:val="Standaard SV"/>
    <w:basedOn w:val="Normal"/>
    <w:uiPriority w:val="99"/>
    <w:rsid w:val="003C4E7C"/>
    <w:pPr>
      <w:jc w:val="both"/>
    </w:pPr>
    <w:rPr>
      <w:szCs w:val="20"/>
    </w:rPr>
  </w:style>
  <w:style w:type="paragraph" w:styleId="BalloonText">
    <w:name w:val="Balloon Text"/>
    <w:basedOn w:val="Normal"/>
    <w:link w:val="BalloonTextChar"/>
    <w:uiPriority w:val="99"/>
    <w:semiHidden/>
    <w:rsid w:val="002749B0"/>
    <w:rPr>
      <w:rFonts w:ascii="Tahoma" w:hAnsi="Tahoma" w:cs="Tahoma"/>
      <w:sz w:val="16"/>
      <w:szCs w:val="16"/>
    </w:rPr>
  </w:style>
  <w:style w:type="character" w:customStyle="1" w:styleId="BalloonTextChar">
    <w:name w:val="Balloon Text Char"/>
    <w:basedOn w:val="DefaultParagraphFont"/>
    <w:link w:val="BalloonText"/>
    <w:uiPriority w:val="99"/>
    <w:semiHidden/>
    <w:rsid w:val="00F62A71"/>
    <w:rPr>
      <w:sz w:val="0"/>
      <w:szCs w:val="0"/>
      <w:lang w:val="nl-NL" w:eastAsia="nl-NL"/>
    </w:rPr>
  </w:style>
  <w:style w:type="character" w:styleId="Hyperlink">
    <w:name w:val="Hyperlink"/>
    <w:basedOn w:val="DefaultParagraphFont"/>
    <w:uiPriority w:val="99"/>
    <w:rsid w:val="00930A1F"/>
    <w:rPr>
      <w:rFonts w:cs="Times New Roman"/>
      <w:color w:val="0000FF"/>
      <w:u w:val="single"/>
    </w:rPr>
  </w:style>
  <w:style w:type="paragraph" w:styleId="FootnoteText">
    <w:name w:val="footnote text"/>
    <w:basedOn w:val="Normal"/>
    <w:link w:val="FootnoteTextChar"/>
    <w:uiPriority w:val="99"/>
    <w:semiHidden/>
    <w:rsid w:val="000D780C"/>
    <w:rPr>
      <w:rFonts w:ascii="Courier New" w:hAnsi="Courier New"/>
      <w:sz w:val="20"/>
      <w:szCs w:val="20"/>
      <w:lang w:eastAsia="nl-BE"/>
    </w:rPr>
  </w:style>
  <w:style w:type="character" w:customStyle="1" w:styleId="FootnoteTextChar">
    <w:name w:val="Footnote Text Char"/>
    <w:basedOn w:val="DefaultParagraphFont"/>
    <w:link w:val="FootnoteText"/>
    <w:uiPriority w:val="99"/>
    <w:semiHidden/>
    <w:rsid w:val="00F62A71"/>
    <w:rPr>
      <w:sz w:val="20"/>
      <w:szCs w:val="20"/>
      <w:lang w:val="nl-NL" w:eastAsia="nl-NL"/>
    </w:rPr>
  </w:style>
  <w:style w:type="character" w:styleId="FootnoteReference">
    <w:name w:val="footnote reference"/>
    <w:basedOn w:val="DefaultParagraphFont"/>
    <w:uiPriority w:val="99"/>
    <w:semiHidden/>
    <w:rsid w:val="000D780C"/>
    <w:rPr>
      <w:rFonts w:cs="Times New Roman"/>
      <w:vertAlign w:val="superscript"/>
    </w:rPr>
  </w:style>
  <w:style w:type="paragraph" w:styleId="NormalWeb">
    <w:name w:val="Normal (Web)"/>
    <w:basedOn w:val="Normal"/>
    <w:uiPriority w:val="99"/>
    <w:rsid w:val="005572BF"/>
    <w:pPr>
      <w:spacing w:after="120"/>
    </w:pPr>
    <w:rPr>
      <w:rFonts w:ascii="Verdana" w:hAnsi="Verdana"/>
      <w:color w:val="003366"/>
      <w:sz w:val="16"/>
      <w:szCs w:val="16"/>
    </w:rPr>
  </w:style>
  <w:style w:type="table" w:styleId="TableGrid">
    <w:name w:val="Table Grid"/>
    <w:basedOn w:val="TableNormal"/>
    <w:uiPriority w:val="99"/>
    <w:rsid w:val="006C01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arial">
    <w:name w:val="standaard arial"/>
    <w:uiPriority w:val="99"/>
    <w:rsid w:val="006C0199"/>
    <w:pPr>
      <w:jc w:val="both"/>
    </w:pPr>
    <w:rPr>
      <w:rFonts w:ascii="Arial" w:hAnsi="Arial"/>
      <w:bCs/>
      <w:kern w:val="32"/>
      <w:szCs w:val="32"/>
      <w:lang w:eastAsia="nl-NL"/>
    </w:rPr>
  </w:style>
</w:styles>
</file>

<file path=word/webSettings.xml><?xml version="1.0" encoding="utf-8"?>
<w:webSettings xmlns:r="http://schemas.openxmlformats.org/officeDocument/2006/relationships" xmlns:w="http://schemas.openxmlformats.org/wordprocessingml/2006/main">
  <w:divs>
    <w:div w:id="1812403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ache\OLK37\antwoord%20p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2</TotalTime>
  <Pages>2</Pages>
  <Words>467</Words>
  <Characters>2571</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subject/>
  <dc:creator>valepyn</dc:creator>
  <cp:keywords/>
  <dc:description/>
  <cp:lastModifiedBy>Nathalie De Keyzer</cp:lastModifiedBy>
  <cp:revision>5</cp:revision>
  <cp:lastPrinted>2011-02-24T16:24:00Z</cp:lastPrinted>
  <dcterms:created xsi:type="dcterms:W3CDTF">2011-03-02T10:56:00Z</dcterms:created>
  <dcterms:modified xsi:type="dcterms:W3CDTF">2011-03-02T12:45:00Z</dcterms:modified>
</cp:coreProperties>
</file>