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B1354" w:rsidRPr="00DD4121" w:rsidRDefault="001B135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1B1354" w:rsidRPr="00015BF7" w:rsidRDefault="001B1354"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1B1354" w:rsidRPr="00015BF7" w:rsidRDefault="001B1354" w:rsidP="000976E9">
      <w:pPr>
        <w:rPr>
          <w:szCs w:val="22"/>
        </w:rPr>
      </w:pPr>
    </w:p>
    <w:p w:rsidR="001B1354" w:rsidRPr="00DB41C0" w:rsidRDefault="001B1354" w:rsidP="000976E9">
      <w:pPr>
        <w:pStyle w:val="A-Lijn"/>
      </w:pPr>
    </w:p>
    <w:p w:rsidR="001B1354" w:rsidRDefault="001B1354" w:rsidP="000976E9">
      <w:pPr>
        <w:pStyle w:val="A-Type"/>
        <w:sectPr w:rsidR="001B1354">
          <w:pgSz w:w="11906" w:h="16838"/>
          <w:pgMar w:top="1417" w:right="1417" w:bottom="1417" w:left="1417" w:header="708" w:footer="708" w:gutter="0"/>
          <w:cols w:space="708"/>
          <w:rtlGutter/>
          <w:docGrid w:linePitch="360"/>
        </w:sectPr>
      </w:pPr>
    </w:p>
    <w:p w:rsidR="001B1354" w:rsidRDefault="001B1354" w:rsidP="000976E9">
      <w:pPr>
        <w:pStyle w:val="A-Type"/>
        <w:sectPr w:rsidR="001B1354"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1B1354" w:rsidRPr="00326A58" w:rsidRDefault="001B1354"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91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1B1354" w:rsidRDefault="001B1354"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john crombez</w:t>
      </w:r>
      <w:r w:rsidRPr="009D7043">
        <w:rPr>
          <w:rStyle w:val="AntwoordNaamMinisterChar"/>
          <w:sz w:val="22"/>
        </w:rPr>
        <w:fldChar w:fldCharType="end"/>
      </w:r>
    </w:p>
    <w:p w:rsidR="001B1354" w:rsidRPr="00015BF7" w:rsidRDefault="001B1354" w:rsidP="000976E9">
      <w:pPr>
        <w:rPr>
          <w:szCs w:val="22"/>
        </w:rPr>
      </w:pPr>
    </w:p>
    <w:p w:rsidR="001B1354" w:rsidRPr="00DB41C0" w:rsidRDefault="001B1354" w:rsidP="000976E9">
      <w:pPr>
        <w:pStyle w:val="A-Lijn"/>
      </w:pPr>
    </w:p>
    <w:p w:rsidR="001B1354" w:rsidRPr="00DB41C0" w:rsidRDefault="001B1354" w:rsidP="000976E9">
      <w:pPr>
        <w:pStyle w:val="A-Lijn"/>
      </w:pPr>
    </w:p>
    <w:p w:rsidR="001B1354" w:rsidRDefault="001B1354" w:rsidP="00DB41C0">
      <w:pPr>
        <w:sectPr w:rsidR="001B1354" w:rsidSect="000976E9">
          <w:type w:val="continuous"/>
          <w:pgSz w:w="11906" w:h="16838"/>
          <w:pgMar w:top="1417" w:right="1417" w:bottom="1417" w:left="1417" w:header="708" w:footer="708" w:gutter="0"/>
          <w:cols w:space="708"/>
          <w:rtlGutter/>
          <w:docGrid w:linePitch="360"/>
        </w:sectPr>
      </w:pPr>
    </w:p>
    <w:p w:rsidR="001B1354" w:rsidRPr="003F3AD3" w:rsidRDefault="001B1354" w:rsidP="00D22373">
      <w:pPr>
        <w:pStyle w:val="StandaardSV"/>
        <w:numPr>
          <w:ilvl w:val="0"/>
          <w:numId w:val="3"/>
        </w:numPr>
        <w:tabs>
          <w:tab w:val="num" w:pos="360"/>
        </w:tabs>
        <w:ind w:left="360"/>
      </w:pPr>
      <w:r w:rsidRPr="003F3AD3">
        <w:t xml:space="preserve">De vergoedingsregeling is niet voorafgaandelijk aan de Europese Commissie voorgelegd. De vergoeding betreft </w:t>
      </w:r>
      <w:r>
        <w:t xml:space="preserve">immers </w:t>
      </w:r>
      <w:r w:rsidRPr="003F3AD3">
        <w:t>een schadecompensatie.</w:t>
      </w:r>
    </w:p>
    <w:p w:rsidR="001B1354" w:rsidRPr="003F3AD3" w:rsidRDefault="001B1354" w:rsidP="00D22373">
      <w:pPr>
        <w:pStyle w:val="StandaardSV"/>
        <w:ind w:left="360"/>
      </w:pPr>
      <w:r w:rsidRPr="003F3AD3">
        <w:t>Artikel 9 van het decreet van 27 maart 2009 houdende vaststelling van een kader voor de gebruikerscompensatie bij bestemmingswijzigingen, overdrukken en erfdienstbaarheden voor openbaar nut, voorziet in een jaarlijkse bijzondere dotatie aan de VLM voor de bekostiging van de gebruikerscompensatie.</w:t>
      </w:r>
      <w:r>
        <w:br/>
      </w:r>
    </w:p>
    <w:p w:rsidR="001B1354" w:rsidRDefault="001B1354" w:rsidP="00871D9C">
      <w:pPr>
        <w:pStyle w:val="StandaardSV"/>
        <w:numPr>
          <w:ilvl w:val="0"/>
          <w:numId w:val="3"/>
        </w:numPr>
        <w:tabs>
          <w:tab w:val="clear" w:pos="502"/>
          <w:tab w:val="num" w:pos="360"/>
        </w:tabs>
        <w:ind w:left="720" w:hanging="720"/>
      </w:pPr>
      <w:r>
        <w:t>a.</w:t>
      </w:r>
      <w:r>
        <w:tab/>
      </w:r>
      <w:r w:rsidRPr="003F3AD3">
        <w:t xml:space="preserve">Hier kan nog geen volledig uitsluitsel over gegeven worden. </w:t>
      </w:r>
      <w:r>
        <w:t>Er kunnen immers nog aanvragen ingediend worden tot 31 december 2010. Bovendien wordt de gebruikerscompensatie pas uitbetaald indien blijkt dat er in sectorale wetgeving geen andere vergoedingsregeling bestaat. Er dient dus nog onderzocht of er geen regeling te treffen is via de grondenbank en of via het aanbieden van beheersovereenkomsten.</w:t>
      </w:r>
    </w:p>
    <w:p w:rsidR="001B1354" w:rsidRPr="003F3AD3" w:rsidRDefault="001B1354" w:rsidP="00871D9C">
      <w:pPr>
        <w:pStyle w:val="StandaardSV"/>
        <w:ind w:left="720"/>
      </w:pPr>
      <w:r w:rsidRPr="003F3AD3">
        <w:t xml:space="preserve">Volgens de nu beschikbare informatie kan het aantal ha waarvoor een vergoeding </w:t>
      </w:r>
      <w:r>
        <w:t xml:space="preserve">eventueel </w:t>
      </w:r>
      <w:r w:rsidRPr="003F3AD3">
        <w:t xml:space="preserve">zal moeten worden uitbetaald op </w:t>
      </w:r>
      <w:smartTag w:uri="urn:schemas-microsoft-com:office:smarttags" w:element="metricconverter">
        <w:smartTagPr>
          <w:attr w:name="ProductID" w:val="300 ha"/>
        </w:smartTagPr>
        <w:r w:rsidRPr="003F3AD3">
          <w:t>300 ha</w:t>
        </w:r>
      </w:smartTag>
      <w:r w:rsidRPr="003F3AD3">
        <w:t xml:space="preserve"> worden geraamd. Deze raming werd als volgt gemaakt. Het aangehaalde RUP besloeg </w:t>
      </w:r>
      <w:smartTag w:uri="urn:schemas-microsoft-com:office:smarttags" w:element="metricconverter">
        <w:smartTagPr>
          <w:attr w:name="ProductID" w:val="1.710 ha"/>
        </w:smartTagPr>
        <w:r w:rsidRPr="003F3AD3">
          <w:t>1.710 ha</w:t>
        </w:r>
      </w:smartTag>
      <w:r w:rsidRPr="003F3AD3">
        <w:t xml:space="preserve">. Hiervan wordt </w:t>
      </w:r>
      <w:smartTag w:uri="urn:schemas-microsoft-com:office:smarttags" w:element="metricconverter">
        <w:smartTagPr>
          <w:attr w:name="ProductID" w:val="639 ha"/>
        </w:smartTagPr>
        <w:r w:rsidRPr="003F3AD3">
          <w:t>639 ha</w:t>
        </w:r>
      </w:smartTag>
      <w:r w:rsidRPr="003F3AD3">
        <w:t xml:space="preserve"> door het voornoemde decreet gevat als bestemmingswijziging. Op basis van de biologische waarderingskaart kan </w:t>
      </w:r>
      <w:smartTag w:uri="urn:schemas-microsoft-com:office:smarttags" w:element="metricconverter">
        <w:smartTagPr>
          <w:attr w:name="ProductID" w:val="580 ha"/>
        </w:smartTagPr>
        <w:r w:rsidRPr="003F3AD3">
          <w:t>580 ha</w:t>
        </w:r>
      </w:smartTag>
      <w:r w:rsidRPr="003F3AD3">
        <w:t xml:space="preserve"> onder een bemestingsbeperking komen. Voor </w:t>
      </w:r>
      <w:smartTag w:uri="urn:schemas-microsoft-com:office:smarttags" w:element="metricconverter">
        <w:smartTagPr>
          <w:attr w:name="ProductID" w:val="403 ha"/>
        </w:smartTagPr>
        <w:r w:rsidRPr="003F3AD3">
          <w:t>403 ha</w:t>
        </w:r>
      </w:smartTag>
      <w:r w:rsidRPr="003F3AD3">
        <w:t xml:space="preserve"> is het gebruiksrecht in handen van een rechthebbende. De verdere inschattingen houdt rekening met volgende factoren: ontheffingen, aankoopbeleid, ruilgrondbeleid en de effectieve vraag van de betrokkene</w:t>
      </w:r>
      <w:r>
        <w:t xml:space="preserve"> tot compensatie</w:t>
      </w:r>
      <w:r w:rsidRPr="003F3AD3">
        <w:t>.</w:t>
      </w:r>
    </w:p>
    <w:p w:rsidR="001B1354" w:rsidRPr="003F3AD3" w:rsidRDefault="001B1354" w:rsidP="007F1AE6">
      <w:pPr>
        <w:pStyle w:val="StandaardSV"/>
      </w:pPr>
    </w:p>
    <w:p w:rsidR="001B1354" w:rsidRDefault="001B1354" w:rsidP="00871D9C">
      <w:pPr>
        <w:pStyle w:val="StandaardSV"/>
        <w:numPr>
          <w:ilvl w:val="0"/>
          <w:numId w:val="4"/>
        </w:numPr>
        <w:tabs>
          <w:tab w:val="clear" w:pos="644"/>
          <w:tab w:val="num" w:pos="720"/>
        </w:tabs>
        <w:ind w:left="720"/>
      </w:pPr>
      <w:r>
        <w:t>De gebruikerscompensatie wordt berekend zoals aangegeven in de Memorie van Toelichting bij het decreet  aan de hand van de elementen die gehanteerd worden bij de berekening van de gebruikersvergoeding bij een onteigening.  Dit betekent dat rekening gehouden worden met specifieke bedrijfsparameters van het landbouwbedrijf dat betrokken perceel exploiteert. De vergoedingen zijn dus bedrijfsafhankelijk, en een veralgemening is niet aangewezen.</w:t>
      </w:r>
    </w:p>
    <w:p w:rsidR="001B1354" w:rsidRPr="003F3AD3" w:rsidRDefault="001B1354" w:rsidP="00871D9C">
      <w:pPr>
        <w:pStyle w:val="StandaardSV"/>
        <w:ind w:left="720"/>
      </w:pPr>
      <w:r>
        <w:t>Daarnaast dient nog gewacht op de beslissingen van de verificatiecommissie met betrekking tot de bezwaren over de nulbemesting, en is het niet duidelijk hoeveel gebruikers de schadevergoeding aanvragen, en hoeveel er via andere sectorale regelgeving geregeld kan worden.</w:t>
      </w:r>
    </w:p>
    <w:p w:rsidR="001B1354" w:rsidRPr="003F3AD3" w:rsidRDefault="001B1354" w:rsidP="00D22373">
      <w:pPr>
        <w:pStyle w:val="StandaardSV"/>
      </w:pPr>
    </w:p>
    <w:p w:rsidR="001B1354" w:rsidRDefault="001B1354" w:rsidP="00871D9C">
      <w:pPr>
        <w:pStyle w:val="StandaardSV"/>
        <w:numPr>
          <w:ilvl w:val="0"/>
          <w:numId w:val="4"/>
        </w:numPr>
        <w:tabs>
          <w:tab w:val="clear" w:pos="644"/>
          <w:tab w:val="num" w:pos="720"/>
        </w:tabs>
        <w:ind w:left="720"/>
      </w:pPr>
      <w:r w:rsidRPr="003F3AD3">
        <w:t xml:space="preserve">De VLM heeft wel al 14 ontwerpbeslissingen verstuurd. Voor acht gebruikers werd geen vergoeding toegekend, voor de zes andere varieerde de vergoeding tussen 2.900 en 10.900 euro/ha. Dit verschil valt te verklaren door het feit dat </w:t>
      </w:r>
      <w:r>
        <w:t xml:space="preserve">er </w:t>
      </w:r>
      <w:r w:rsidRPr="003F3AD3">
        <w:t xml:space="preserve">zeer productieve melkveebedrijven </w:t>
      </w:r>
      <w:r>
        <w:t>betrokken zijn, en</w:t>
      </w:r>
      <w:r w:rsidRPr="003F3AD3">
        <w:t xml:space="preserve"> graslanden met een</w:t>
      </w:r>
      <w:r>
        <w:t xml:space="preserve"> grote landbouwkundige waarde</w:t>
      </w:r>
      <w:r w:rsidRPr="003F3AD3">
        <w:t xml:space="preserve">. </w:t>
      </w:r>
      <w:r>
        <w:t>Het bewijst dat deze gebruikerscompensatie als schadevergoeding meer dan terecht is.</w:t>
      </w:r>
    </w:p>
    <w:p w:rsidR="001B1354" w:rsidRDefault="001B1354" w:rsidP="007F1AE6">
      <w:pPr>
        <w:pStyle w:val="ListParagraph"/>
      </w:pPr>
    </w:p>
    <w:p w:rsidR="001B1354" w:rsidRPr="003F3AD3" w:rsidRDefault="001B1354" w:rsidP="00871D9C">
      <w:pPr>
        <w:pStyle w:val="StandaardSV"/>
        <w:numPr>
          <w:ilvl w:val="0"/>
          <w:numId w:val="4"/>
        </w:numPr>
        <w:tabs>
          <w:tab w:val="clear" w:pos="644"/>
          <w:tab w:val="num" w:pos="720"/>
        </w:tabs>
        <w:ind w:left="720"/>
      </w:pPr>
      <w:r w:rsidRPr="003F3AD3">
        <w:t xml:space="preserve">De gebruikerscompensatie is een </w:t>
      </w:r>
      <w:r>
        <w:t>éénmalige schade</w:t>
      </w:r>
      <w:r w:rsidRPr="003F3AD3">
        <w:t>compensatie voor de gebruiker van een bepaald per</w:t>
      </w:r>
      <w:r>
        <w:t>ceel</w:t>
      </w:r>
      <w:r w:rsidRPr="003F3AD3">
        <w:t>.</w:t>
      </w:r>
      <w:r>
        <w:t xml:space="preserve"> Vandaar de verwijziging naar de gebruikersvergoeding bij onteigening. Deze laatste ligt haast altijd hoger dan de gebruikerscompensatie.</w:t>
      </w:r>
      <w:r w:rsidRPr="003F3AD3">
        <w:t xml:space="preserve"> </w:t>
      </w:r>
      <w:r>
        <w:t xml:space="preserve">De vergelijking met de eindepachtvergoeding is niet relevant omdat die </w:t>
      </w:r>
      <w:r w:rsidRPr="003F3AD3">
        <w:t>onderhevig aan de vrije markt</w:t>
      </w:r>
      <w:r>
        <w:t xml:space="preserve"> en er andere elementen meespelen dat deze bij de berekening van de gebruikersvergoeding bij ene onteigening</w:t>
      </w:r>
      <w:r w:rsidRPr="003F3AD3">
        <w:t xml:space="preserve">. </w:t>
      </w:r>
    </w:p>
    <w:p w:rsidR="001B1354" w:rsidRDefault="001B1354" w:rsidP="00D22373">
      <w:pPr>
        <w:pStyle w:val="StandaardSV"/>
      </w:pPr>
    </w:p>
    <w:p w:rsidR="001B1354" w:rsidRPr="003F3AD3" w:rsidRDefault="001B1354" w:rsidP="00D22373">
      <w:pPr>
        <w:pStyle w:val="StandaardSV"/>
      </w:pPr>
    </w:p>
    <w:p w:rsidR="001B1354" w:rsidRPr="003F3AD3" w:rsidRDefault="001B1354" w:rsidP="00871D9C">
      <w:pPr>
        <w:pStyle w:val="StandaardSV"/>
        <w:tabs>
          <w:tab w:val="left" w:pos="360"/>
        </w:tabs>
        <w:ind w:left="720" w:hanging="720"/>
      </w:pPr>
      <w:r>
        <w:t>3.</w:t>
      </w:r>
      <w:r>
        <w:tab/>
        <w:t>a.</w:t>
      </w:r>
      <w:r>
        <w:tab/>
      </w:r>
      <w:r w:rsidRPr="003F3AD3">
        <w:t>De voorwaarden waaronder de vergoeding wordt toegekend zijn terug te vinden in het decreet, het besluit van de Vlaamse Regering van 24 juli 2009 tot uitvoering van het decreet van 27 maart 2009 houdende vaststelling van een kader voor de gebruikerscompensatie bij bestemmingswijzigingen, overdrukken en erfdienstbaarheden tot openbaar nut en het ministerieel besluit van 4 oktober 2010 houdende de vaststelling van de kosten van het alternatief en de gebruikswaardendaling na de instelling van de maatregel, vermeld in artikel 2, § 4, van het besluit van de Vlaamse Regering van 24 juli 2009 tot uitvoering van het decreet van 27 maart 2009 houdende vaststelling van een kader voor de gebruikerscompensatie bij bestemmingswijzigingen, overdrukken en erfdienstbaarheden tot openbaar nut.</w:t>
      </w:r>
    </w:p>
    <w:p w:rsidR="001B1354" w:rsidRPr="003F3AD3" w:rsidRDefault="001B1354" w:rsidP="00D22373">
      <w:pPr>
        <w:pStyle w:val="StandaardSV"/>
        <w:ind w:left="360"/>
      </w:pPr>
    </w:p>
    <w:p w:rsidR="001B1354" w:rsidRDefault="001B1354" w:rsidP="00871D9C">
      <w:pPr>
        <w:pStyle w:val="StandaardSV"/>
        <w:numPr>
          <w:ilvl w:val="0"/>
          <w:numId w:val="5"/>
        </w:numPr>
        <w:tabs>
          <w:tab w:val="clear" w:pos="644"/>
          <w:tab w:val="num" w:pos="720"/>
        </w:tabs>
        <w:ind w:left="720"/>
      </w:pPr>
      <w:r>
        <w:t>De gebruikerscompensatie is een schadecompensatie voor de gebruiker. De eigendomstoe</w:t>
      </w:r>
      <w:r>
        <w:softHyphen/>
        <w:t xml:space="preserve">stand is in deze niet relevant. </w:t>
      </w:r>
    </w:p>
    <w:p w:rsidR="001B1354" w:rsidRDefault="001B1354" w:rsidP="007F1AE6">
      <w:pPr>
        <w:pStyle w:val="ListParagraph"/>
      </w:pPr>
    </w:p>
    <w:p w:rsidR="001B1354" w:rsidRPr="003F3AD3" w:rsidRDefault="001B1354" w:rsidP="007F1AE6">
      <w:pPr>
        <w:pStyle w:val="StandaardSV"/>
        <w:ind w:left="851"/>
      </w:pPr>
    </w:p>
    <w:p w:rsidR="001B1354" w:rsidRDefault="001B1354" w:rsidP="00871D9C">
      <w:pPr>
        <w:pStyle w:val="StandaardSV"/>
        <w:numPr>
          <w:ilvl w:val="0"/>
          <w:numId w:val="5"/>
        </w:numPr>
        <w:tabs>
          <w:tab w:val="clear" w:pos="644"/>
          <w:tab w:val="num" w:pos="720"/>
        </w:tabs>
        <w:ind w:left="720"/>
      </w:pPr>
      <w:r>
        <w:t>Alleen de effectieve gebruiker kan de gebruikerscompensatie aanvragen, en bovendien moet de bestemmingswijziging extra beperkingen opleggen. Voor zover deze geheel gecompenseerd worden via een beheersovereenkomst wordt geen gebruikerscompensatie uitbetaald. Voor zover dit niet zo is, of slechts gedeeltelijk, kan wel een gebruikerscom</w:t>
      </w:r>
      <w:r>
        <w:softHyphen/>
        <w:t>pensatie uitbetaald worden.</w:t>
      </w:r>
    </w:p>
    <w:p w:rsidR="001B1354" w:rsidRDefault="001B1354" w:rsidP="00871D9C">
      <w:pPr>
        <w:pStyle w:val="StandaardSV"/>
        <w:ind w:left="720"/>
      </w:pPr>
      <w:r>
        <w:t>Dit dient dus dossier per dossier onderzocht.</w:t>
      </w:r>
    </w:p>
    <w:p w:rsidR="001B1354" w:rsidRPr="003F3AD3" w:rsidRDefault="001B1354" w:rsidP="00D22373">
      <w:pPr>
        <w:pStyle w:val="StandaardSV"/>
      </w:pPr>
    </w:p>
    <w:p w:rsidR="001B1354" w:rsidRDefault="001B1354" w:rsidP="00871D9C">
      <w:pPr>
        <w:pStyle w:val="StandaardSV"/>
        <w:tabs>
          <w:tab w:val="left" w:pos="360"/>
        </w:tabs>
        <w:ind w:left="720" w:hanging="720"/>
      </w:pPr>
      <w:r>
        <w:t>4.</w:t>
      </w:r>
      <w:r>
        <w:tab/>
        <w:t>a.</w:t>
      </w:r>
      <w:r>
        <w:tab/>
        <w:t xml:space="preserve">De decreetgever is er van uitgegaan dat de kans op de omkeerbaarheid van een nulbemesting bijzonder klein is. Bovendien is de </w:t>
      </w:r>
      <w:r w:rsidRPr="003F3AD3">
        <w:t xml:space="preserve">gebruikerscompensatie </w:t>
      </w:r>
      <w:r>
        <w:t xml:space="preserve">een éénmalige schadevergoeding die, conform de regel mbt onteigening slechts rekening houdt met een exploitatieverlies over 4 jaar. </w:t>
      </w:r>
    </w:p>
    <w:p w:rsidR="001B1354" w:rsidRDefault="001B1354" w:rsidP="007F1AE6">
      <w:pPr>
        <w:pStyle w:val="StandaardSV"/>
        <w:ind w:left="851"/>
      </w:pPr>
    </w:p>
    <w:p w:rsidR="001B1354" w:rsidRDefault="001B1354" w:rsidP="00871D9C">
      <w:pPr>
        <w:pStyle w:val="StandaardSV"/>
        <w:numPr>
          <w:ilvl w:val="0"/>
          <w:numId w:val="6"/>
        </w:numPr>
      </w:pPr>
      <w:r w:rsidRPr="003F3AD3">
        <w:t>Het vergroten van het perceel in de jaarlijkse aangifte door de gebruiker verandert de bemestingsbeperking niet, omdat men dan de percelen na de aangifte terug opdeelt.</w:t>
      </w:r>
    </w:p>
    <w:p w:rsidR="001B1354" w:rsidRDefault="001B1354" w:rsidP="007F1AE6">
      <w:pPr>
        <w:pStyle w:val="ListParagraph"/>
      </w:pPr>
    </w:p>
    <w:p w:rsidR="001B1354" w:rsidRPr="003F3AD3" w:rsidRDefault="001B1354" w:rsidP="00871D9C">
      <w:pPr>
        <w:pStyle w:val="StandaardSV"/>
        <w:ind w:left="720" w:hanging="360"/>
      </w:pPr>
      <w:r>
        <w:t>c.</w:t>
      </w:r>
      <w:r>
        <w:tab/>
      </w:r>
      <w:r w:rsidRPr="003F3AD3">
        <w:t xml:space="preserve">Bij de definitieve vaststelling van het RUP wordt de huiskavel geduid. Acties van de gebruiker kunnen na het RUP enkel leiden tot een verkleining van de huiskavel. </w:t>
      </w:r>
    </w:p>
    <w:p w:rsidR="001B1354" w:rsidRPr="003F3AD3" w:rsidRDefault="001B1354" w:rsidP="00D22373">
      <w:pPr>
        <w:pStyle w:val="StandaardSV"/>
        <w:ind w:left="360"/>
      </w:pPr>
    </w:p>
    <w:p w:rsidR="001B1354" w:rsidRDefault="001B1354" w:rsidP="00871D9C">
      <w:pPr>
        <w:pStyle w:val="StandaardSV"/>
        <w:tabs>
          <w:tab w:val="left" w:pos="360"/>
        </w:tabs>
        <w:ind w:left="720" w:hanging="720"/>
      </w:pPr>
      <w:r>
        <w:t>5.</w:t>
      </w:r>
      <w:r>
        <w:tab/>
        <w:t>a.</w:t>
      </w:r>
      <w:r>
        <w:tab/>
        <w:t>Er wordt alleen een gebruikerscompensatie uitbetaald als er effectief een beperkende maatregel van kracht wordt. In n</w:t>
      </w:r>
      <w:r w:rsidRPr="003F3AD3">
        <w:t>atuurverwevingsgebied</w:t>
      </w:r>
      <w:r>
        <w:t xml:space="preserve">en kunnen alleen stimulerende maatregelen genomen worden en kunnen er dus geen beperkingen m.b.t. de exploitatie van weiden en akkers opgelegd worden. </w:t>
      </w:r>
      <w:r w:rsidRPr="003F3AD3">
        <w:t xml:space="preserve">Er is bijgevolg geen </w:t>
      </w:r>
      <w:r>
        <w:t xml:space="preserve">reden </w:t>
      </w:r>
      <w:r w:rsidRPr="003F3AD3">
        <w:t>om een gebruikerscompensatie te</w:t>
      </w:r>
      <w:r>
        <w:t xml:space="preserve"> betalen</w:t>
      </w:r>
      <w:r w:rsidRPr="003F3AD3">
        <w:t xml:space="preserve">. </w:t>
      </w:r>
      <w:r>
        <w:tab/>
      </w:r>
      <w:r>
        <w:br/>
        <w:t>Indien er gebouwen opgenomen worden in een natuurverwevingsgebieden kan wel de kapitaalschaderegeling van kracht zijn.</w:t>
      </w:r>
    </w:p>
    <w:p w:rsidR="001B1354" w:rsidRDefault="001B1354" w:rsidP="007F1AE6">
      <w:pPr>
        <w:pStyle w:val="StandaardSV"/>
        <w:ind w:left="851"/>
      </w:pPr>
    </w:p>
    <w:p w:rsidR="001B1354" w:rsidRPr="003F3AD3" w:rsidRDefault="001B1354" w:rsidP="00871D9C">
      <w:pPr>
        <w:pStyle w:val="StandaardSV"/>
        <w:numPr>
          <w:ilvl w:val="0"/>
          <w:numId w:val="7"/>
        </w:numPr>
        <w:tabs>
          <w:tab w:val="clear" w:pos="644"/>
          <w:tab w:val="num" w:pos="720"/>
        </w:tabs>
        <w:ind w:left="720"/>
      </w:pPr>
      <w:r w:rsidRPr="003F3AD3">
        <w:t>Bij de berekening van de gebruikerscompensatie worden de van kracht zijnde gebruiks</w:t>
      </w:r>
      <w:r>
        <w:softHyphen/>
      </w:r>
      <w:r w:rsidRPr="003F3AD3">
        <w:t xml:space="preserve">beperkingen in rekening gebracht. </w:t>
      </w:r>
      <w:r>
        <w:t>V</w:t>
      </w:r>
      <w:r w:rsidRPr="003F3AD3">
        <w:t xml:space="preserve">oor een vogelrichtlijngebied </w:t>
      </w:r>
      <w:r>
        <w:t xml:space="preserve">op zich </w:t>
      </w:r>
      <w:r w:rsidRPr="003F3AD3">
        <w:t xml:space="preserve">is het bestaan van beperkende maatregelen </w:t>
      </w:r>
      <w:r>
        <w:t xml:space="preserve">niet </w:t>
      </w:r>
      <w:r w:rsidRPr="003F3AD3">
        <w:t>bekend.</w:t>
      </w:r>
      <w:r>
        <w:t xml:space="preserve"> </w:t>
      </w:r>
    </w:p>
    <w:p w:rsidR="001B1354" w:rsidRPr="00D22373" w:rsidRDefault="001B1354" w:rsidP="00D22373">
      <w:pPr>
        <w:jc w:val="both"/>
      </w:pPr>
    </w:p>
    <w:sectPr w:rsidR="001B1354" w:rsidRPr="00D2237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58B"/>
    <w:multiLevelType w:val="hybridMultilevel"/>
    <w:tmpl w:val="EAA45AAE"/>
    <w:lvl w:ilvl="0" w:tplc="78E802F6">
      <w:start w:val="2"/>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6C2580B"/>
    <w:multiLevelType w:val="hybridMultilevel"/>
    <w:tmpl w:val="0FC6A606"/>
    <w:lvl w:ilvl="0" w:tplc="AE0235B8">
      <w:start w:val="2"/>
      <w:numFmt w:val="lowerLetter"/>
      <w:lvlText w:val="%1."/>
      <w:lvlJc w:val="left"/>
      <w:pPr>
        <w:tabs>
          <w:tab w:val="num" w:pos="644"/>
        </w:tabs>
        <w:ind w:left="644" w:hanging="360"/>
      </w:pPr>
      <w:rPr>
        <w:rFonts w:cs="Times New Roman" w:hint="default"/>
      </w:rPr>
    </w:lvl>
    <w:lvl w:ilvl="1" w:tplc="04130019" w:tentative="1">
      <w:start w:val="1"/>
      <w:numFmt w:val="lowerLetter"/>
      <w:lvlText w:val="%2."/>
      <w:lvlJc w:val="left"/>
      <w:pPr>
        <w:tabs>
          <w:tab w:val="num" w:pos="1364"/>
        </w:tabs>
        <w:ind w:left="1364" w:hanging="360"/>
      </w:pPr>
      <w:rPr>
        <w:rFonts w:cs="Times New Roman"/>
      </w:rPr>
    </w:lvl>
    <w:lvl w:ilvl="2" w:tplc="0413001B" w:tentative="1">
      <w:start w:val="1"/>
      <w:numFmt w:val="lowerRoman"/>
      <w:lvlText w:val="%3."/>
      <w:lvlJc w:val="right"/>
      <w:pPr>
        <w:tabs>
          <w:tab w:val="num" w:pos="2084"/>
        </w:tabs>
        <w:ind w:left="2084" w:hanging="180"/>
      </w:pPr>
      <w:rPr>
        <w:rFonts w:cs="Times New Roman"/>
      </w:rPr>
    </w:lvl>
    <w:lvl w:ilvl="3" w:tplc="0413000F" w:tentative="1">
      <w:start w:val="1"/>
      <w:numFmt w:val="decimal"/>
      <w:lvlText w:val="%4."/>
      <w:lvlJc w:val="left"/>
      <w:pPr>
        <w:tabs>
          <w:tab w:val="num" w:pos="2804"/>
        </w:tabs>
        <w:ind w:left="2804" w:hanging="360"/>
      </w:pPr>
      <w:rPr>
        <w:rFonts w:cs="Times New Roman"/>
      </w:rPr>
    </w:lvl>
    <w:lvl w:ilvl="4" w:tplc="04130019" w:tentative="1">
      <w:start w:val="1"/>
      <w:numFmt w:val="lowerLetter"/>
      <w:lvlText w:val="%5."/>
      <w:lvlJc w:val="left"/>
      <w:pPr>
        <w:tabs>
          <w:tab w:val="num" w:pos="3524"/>
        </w:tabs>
        <w:ind w:left="3524" w:hanging="360"/>
      </w:pPr>
      <w:rPr>
        <w:rFonts w:cs="Times New Roman"/>
      </w:rPr>
    </w:lvl>
    <w:lvl w:ilvl="5" w:tplc="0413001B" w:tentative="1">
      <w:start w:val="1"/>
      <w:numFmt w:val="lowerRoman"/>
      <w:lvlText w:val="%6."/>
      <w:lvlJc w:val="right"/>
      <w:pPr>
        <w:tabs>
          <w:tab w:val="num" w:pos="4244"/>
        </w:tabs>
        <w:ind w:left="4244" w:hanging="180"/>
      </w:pPr>
      <w:rPr>
        <w:rFonts w:cs="Times New Roman"/>
      </w:rPr>
    </w:lvl>
    <w:lvl w:ilvl="6" w:tplc="0413000F" w:tentative="1">
      <w:start w:val="1"/>
      <w:numFmt w:val="decimal"/>
      <w:lvlText w:val="%7."/>
      <w:lvlJc w:val="left"/>
      <w:pPr>
        <w:tabs>
          <w:tab w:val="num" w:pos="4964"/>
        </w:tabs>
        <w:ind w:left="4964" w:hanging="360"/>
      </w:pPr>
      <w:rPr>
        <w:rFonts w:cs="Times New Roman"/>
      </w:rPr>
    </w:lvl>
    <w:lvl w:ilvl="7" w:tplc="04130019" w:tentative="1">
      <w:start w:val="1"/>
      <w:numFmt w:val="lowerLetter"/>
      <w:lvlText w:val="%8."/>
      <w:lvlJc w:val="left"/>
      <w:pPr>
        <w:tabs>
          <w:tab w:val="num" w:pos="5684"/>
        </w:tabs>
        <w:ind w:left="5684" w:hanging="360"/>
      </w:pPr>
      <w:rPr>
        <w:rFonts w:cs="Times New Roman"/>
      </w:rPr>
    </w:lvl>
    <w:lvl w:ilvl="8" w:tplc="0413001B" w:tentative="1">
      <w:start w:val="1"/>
      <w:numFmt w:val="lowerRoman"/>
      <w:lvlText w:val="%9."/>
      <w:lvlJc w:val="right"/>
      <w:pPr>
        <w:tabs>
          <w:tab w:val="num" w:pos="6404"/>
        </w:tabs>
        <w:ind w:left="6404" w:hanging="180"/>
      </w:pPr>
      <w:rPr>
        <w:rFonts w:cs="Times New Roman"/>
      </w:rPr>
    </w:lvl>
  </w:abstractNum>
  <w:abstractNum w:abstractNumId="2">
    <w:nsid w:val="1ABC45C8"/>
    <w:multiLevelType w:val="hybridMultilevel"/>
    <w:tmpl w:val="1FB6FD9C"/>
    <w:lvl w:ilvl="0" w:tplc="0413000F">
      <w:start w:val="1"/>
      <w:numFmt w:val="decimal"/>
      <w:lvlText w:val="%1."/>
      <w:lvlJc w:val="left"/>
      <w:pPr>
        <w:tabs>
          <w:tab w:val="num" w:pos="502"/>
        </w:tabs>
        <w:ind w:left="502"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nsid w:val="485819C5"/>
    <w:multiLevelType w:val="hybridMultilevel"/>
    <w:tmpl w:val="F02C6C34"/>
    <w:lvl w:ilvl="0" w:tplc="AE0235B8">
      <w:start w:val="2"/>
      <w:numFmt w:val="lowerLetter"/>
      <w:lvlText w:val="%1."/>
      <w:lvlJc w:val="left"/>
      <w:pPr>
        <w:tabs>
          <w:tab w:val="num" w:pos="644"/>
        </w:tabs>
        <w:ind w:left="644" w:hanging="360"/>
      </w:pPr>
      <w:rPr>
        <w:rFonts w:cs="Times New Roman" w:hint="default"/>
      </w:rPr>
    </w:lvl>
    <w:lvl w:ilvl="1" w:tplc="04130019">
      <w:start w:val="1"/>
      <w:numFmt w:val="lowerLetter"/>
      <w:lvlText w:val="%2."/>
      <w:lvlJc w:val="left"/>
      <w:pPr>
        <w:tabs>
          <w:tab w:val="num" w:pos="1364"/>
        </w:tabs>
        <w:ind w:left="1364" w:hanging="360"/>
      </w:pPr>
      <w:rPr>
        <w:rFonts w:cs="Times New Roman"/>
      </w:rPr>
    </w:lvl>
    <w:lvl w:ilvl="2" w:tplc="0413001B" w:tentative="1">
      <w:start w:val="1"/>
      <w:numFmt w:val="lowerRoman"/>
      <w:lvlText w:val="%3."/>
      <w:lvlJc w:val="right"/>
      <w:pPr>
        <w:tabs>
          <w:tab w:val="num" w:pos="2084"/>
        </w:tabs>
        <w:ind w:left="2084" w:hanging="180"/>
      </w:pPr>
      <w:rPr>
        <w:rFonts w:cs="Times New Roman"/>
      </w:rPr>
    </w:lvl>
    <w:lvl w:ilvl="3" w:tplc="0413000F" w:tentative="1">
      <w:start w:val="1"/>
      <w:numFmt w:val="decimal"/>
      <w:lvlText w:val="%4."/>
      <w:lvlJc w:val="left"/>
      <w:pPr>
        <w:tabs>
          <w:tab w:val="num" w:pos="2804"/>
        </w:tabs>
        <w:ind w:left="2804" w:hanging="360"/>
      </w:pPr>
      <w:rPr>
        <w:rFonts w:cs="Times New Roman"/>
      </w:rPr>
    </w:lvl>
    <w:lvl w:ilvl="4" w:tplc="04130019" w:tentative="1">
      <w:start w:val="1"/>
      <w:numFmt w:val="lowerLetter"/>
      <w:lvlText w:val="%5."/>
      <w:lvlJc w:val="left"/>
      <w:pPr>
        <w:tabs>
          <w:tab w:val="num" w:pos="3524"/>
        </w:tabs>
        <w:ind w:left="3524" w:hanging="360"/>
      </w:pPr>
      <w:rPr>
        <w:rFonts w:cs="Times New Roman"/>
      </w:rPr>
    </w:lvl>
    <w:lvl w:ilvl="5" w:tplc="0413001B" w:tentative="1">
      <w:start w:val="1"/>
      <w:numFmt w:val="lowerRoman"/>
      <w:lvlText w:val="%6."/>
      <w:lvlJc w:val="right"/>
      <w:pPr>
        <w:tabs>
          <w:tab w:val="num" w:pos="4244"/>
        </w:tabs>
        <w:ind w:left="4244" w:hanging="180"/>
      </w:pPr>
      <w:rPr>
        <w:rFonts w:cs="Times New Roman"/>
      </w:rPr>
    </w:lvl>
    <w:lvl w:ilvl="6" w:tplc="0413000F" w:tentative="1">
      <w:start w:val="1"/>
      <w:numFmt w:val="decimal"/>
      <w:lvlText w:val="%7."/>
      <w:lvlJc w:val="left"/>
      <w:pPr>
        <w:tabs>
          <w:tab w:val="num" w:pos="4964"/>
        </w:tabs>
        <w:ind w:left="4964" w:hanging="360"/>
      </w:pPr>
      <w:rPr>
        <w:rFonts w:cs="Times New Roman"/>
      </w:rPr>
    </w:lvl>
    <w:lvl w:ilvl="7" w:tplc="04130019" w:tentative="1">
      <w:start w:val="1"/>
      <w:numFmt w:val="lowerLetter"/>
      <w:lvlText w:val="%8."/>
      <w:lvlJc w:val="left"/>
      <w:pPr>
        <w:tabs>
          <w:tab w:val="num" w:pos="5684"/>
        </w:tabs>
        <w:ind w:left="5684" w:hanging="360"/>
      </w:pPr>
      <w:rPr>
        <w:rFonts w:cs="Times New Roman"/>
      </w:rPr>
    </w:lvl>
    <w:lvl w:ilvl="8" w:tplc="0413001B" w:tentative="1">
      <w:start w:val="1"/>
      <w:numFmt w:val="lowerRoman"/>
      <w:lvlText w:val="%9."/>
      <w:lvlJc w:val="right"/>
      <w:pPr>
        <w:tabs>
          <w:tab w:val="num" w:pos="6404"/>
        </w:tabs>
        <w:ind w:left="6404" w:hanging="180"/>
      </w:pPr>
      <w:rPr>
        <w:rFonts w:cs="Times New Roman"/>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5">
    <w:nsid w:val="6FBE0A06"/>
    <w:multiLevelType w:val="hybridMultilevel"/>
    <w:tmpl w:val="E5C42880"/>
    <w:lvl w:ilvl="0" w:tplc="AE0235B8">
      <w:start w:val="2"/>
      <w:numFmt w:val="lowerLetter"/>
      <w:lvlText w:val="%1."/>
      <w:lvlJc w:val="left"/>
      <w:pPr>
        <w:tabs>
          <w:tab w:val="num" w:pos="644"/>
        </w:tabs>
        <w:ind w:left="644" w:hanging="360"/>
      </w:pPr>
      <w:rPr>
        <w:rFonts w:cs="Times New Roman" w:hint="default"/>
      </w:rPr>
    </w:lvl>
    <w:lvl w:ilvl="1" w:tplc="04130019">
      <w:start w:val="1"/>
      <w:numFmt w:val="lowerLetter"/>
      <w:lvlText w:val="%2."/>
      <w:lvlJc w:val="left"/>
      <w:pPr>
        <w:tabs>
          <w:tab w:val="num" w:pos="1364"/>
        </w:tabs>
        <w:ind w:left="1364" w:hanging="360"/>
      </w:pPr>
      <w:rPr>
        <w:rFonts w:cs="Times New Roman"/>
      </w:rPr>
    </w:lvl>
    <w:lvl w:ilvl="2" w:tplc="0413001B" w:tentative="1">
      <w:start w:val="1"/>
      <w:numFmt w:val="lowerRoman"/>
      <w:lvlText w:val="%3."/>
      <w:lvlJc w:val="right"/>
      <w:pPr>
        <w:tabs>
          <w:tab w:val="num" w:pos="2084"/>
        </w:tabs>
        <w:ind w:left="2084" w:hanging="180"/>
      </w:pPr>
      <w:rPr>
        <w:rFonts w:cs="Times New Roman"/>
      </w:rPr>
    </w:lvl>
    <w:lvl w:ilvl="3" w:tplc="0413000F" w:tentative="1">
      <w:start w:val="1"/>
      <w:numFmt w:val="decimal"/>
      <w:lvlText w:val="%4."/>
      <w:lvlJc w:val="left"/>
      <w:pPr>
        <w:tabs>
          <w:tab w:val="num" w:pos="2804"/>
        </w:tabs>
        <w:ind w:left="2804" w:hanging="360"/>
      </w:pPr>
      <w:rPr>
        <w:rFonts w:cs="Times New Roman"/>
      </w:rPr>
    </w:lvl>
    <w:lvl w:ilvl="4" w:tplc="04130019" w:tentative="1">
      <w:start w:val="1"/>
      <w:numFmt w:val="lowerLetter"/>
      <w:lvlText w:val="%5."/>
      <w:lvlJc w:val="left"/>
      <w:pPr>
        <w:tabs>
          <w:tab w:val="num" w:pos="3524"/>
        </w:tabs>
        <w:ind w:left="3524" w:hanging="360"/>
      </w:pPr>
      <w:rPr>
        <w:rFonts w:cs="Times New Roman"/>
      </w:rPr>
    </w:lvl>
    <w:lvl w:ilvl="5" w:tplc="0413001B" w:tentative="1">
      <w:start w:val="1"/>
      <w:numFmt w:val="lowerRoman"/>
      <w:lvlText w:val="%6."/>
      <w:lvlJc w:val="right"/>
      <w:pPr>
        <w:tabs>
          <w:tab w:val="num" w:pos="4244"/>
        </w:tabs>
        <w:ind w:left="4244" w:hanging="180"/>
      </w:pPr>
      <w:rPr>
        <w:rFonts w:cs="Times New Roman"/>
      </w:rPr>
    </w:lvl>
    <w:lvl w:ilvl="6" w:tplc="0413000F" w:tentative="1">
      <w:start w:val="1"/>
      <w:numFmt w:val="decimal"/>
      <w:lvlText w:val="%7."/>
      <w:lvlJc w:val="left"/>
      <w:pPr>
        <w:tabs>
          <w:tab w:val="num" w:pos="4964"/>
        </w:tabs>
        <w:ind w:left="4964" w:hanging="360"/>
      </w:pPr>
      <w:rPr>
        <w:rFonts w:cs="Times New Roman"/>
      </w:rPr>
    </w:lvl>
    <w:lvl w:ilvl="7" w:tplc="04130019" w:tentative="1">
      <w:start w:val="1"/>
      <w:numFmt w:val="lowerLetter"/>
      <w:lvlText w:val="%8."/>
      <w:lvlJc w:val="left"/>
      <w:pPr>
        <w:tabs>
          <w:tab w:val="num" w:pos="5684"/>
        </w:tabs>
        <w:ind w:left="5684" w:hanging="360"/>
      </w:pPr>
      <w:rPr>
        <w:rFonts w:cs="Times New Roman"/>
      </w:rPr>
    </w:lvl>
    <w:lvl w:ilvl="8" w:tplc="0413001B" w:tentative="1">
      <w:start w:val="1"/>
      <w:numFmt w:val="lowerRoman"/>
      <w:lvlText w:val="%9."/>
      <w:lvlJc w:val="right"/>
      <w:pPr>
        <w:tabs>
          <w:tab w:val="num" w:pos="6404"/>
        </w:tabs>
        <w:ind w:left="6404" w:hanging="180"/>
      </w:pPr>
      <w:rPr>
        <w:rFonts w:cs="Times New Roman"/>
      </w:rPr>
    </w:lvl>
  </w:abstractNum>
  <w:num w:numId="1">
    <w:abstractNumId w:val="4"/>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76D92"/>
    <w:rsid w:val="000865DB"/>
    <w:rsid w:val="000976E9"/>
    <w:rsid w:val="000C4E8C"/>
    <w:rsid w:val="000F3532"/>
    <w:rsid w:val="001B1354"/>
    <w:rsid w:val="001B6E48"/>
    <w:rsid w:val="001F7390"/>
    <w:rsid w:val="00210C07"/>
    <w:rsid w:val="00266E3B"/>
    <w:rsid w:val="00326A58"/>
    <w:rsid w:val="003F3AD3"/>
    <w:rsid w:val="004E2833"/>
    <w:rsid w:val="00566C53"/>
    <w:rsid w:val="005900AD"/>
    <w:rsid w:val="005E38CA"/>
    <w:rsid w:val="0063138E"/>
    <w:rsid w:val="006548DD"/>
    <w:rsid w:val="0071248C"/>
    <w:rsid w:val="007252C7"/>
    <w:rsid w:val="007474BA"/>
    <w:rsid w:val="00785A0D"/>
    <w:rsid w:val="007B177C"/>
    <w:rsid w:val="007F1AE6"/>
    <w:rsid w:val="007F60A8"/>
    <w:rsid w:val="008346AE"/>
    <w:rsid w:val="00871D9C"/>
    <w:rsid w:val="00894185"/>
    <w:rsid w:val="008A713D"/>
    <w:rsid w:val="008D2168"/>
    <w:rsid w:val="008D5DB4"/>
    <w:rsid w:val="009142A2"/>
    <w:rsid w:val="009277C5"/>
    <w:rsid w:val="009347E0"/>
    <w:rsid w:val="00994A5E"/>
    <w:rsid w:val="009D7043"/>
    <w:rsid w:val="00A24AEA"/>
    <w:rsid w:val="00A42280"/>
    <w:rsid w:val="00A76EC9"/>
    <w:rsid w:val="00A804C0"/>
    <w:rsid w:val="00B45EB2"/>
    <w:rsid w:val="00B60F0E"/>
    <w:rsid w:val="00BE425A"/>
    <w:rsid w:val="00C0707D"/>
    <w:rsid w:val="00CE006E"/>
    <w:rsid w:val="00D22373"/>
    <w:rsid w:val="00D71D99"/>
    <w:rsid w:val="00D754F2"/>
    <w:rsid w:val="00DB41C0"/>
    <w:rsid w:val="00DC4DB6"/>
    <w:rsid w:val="00DD19EF"/>
    <w:rsid w:val="00DD4121"/>
    <w:rsid w:val="00E12C5D"/>
    <w:rsid w:val="00E31F4D"/>
    <w:rsid w:val="00E55200"/>
    <w:rsid w:val="00E557CF"/>
    <w:rsid w:val="00E75830"/>
    <w:rsid w:val="00F369E3"/>
    <w:rsid w:val="00F8586F"/>
    <w:rsid w:val="00FA29D6"/>
    <w:rsid w:val="00FB3D24"/>
    <w:rsid w:val="00FC4261"/>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8F"/>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38198F"/>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38198F"/>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38198F"/>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994A5E"/>
    <w:rPr>
      <w:rFonts w:ascii="Tahoma" w:hAnsi="Tahoma" w:cs="Tahoma"/>
      <w:sz w:val="16"/>
      <w:szCs w:val="16"/>
    </w:rPr>
  </w:style>
  <w:style w:type="character" w:customStyle="1" w:styleId="BalloonTextChar">
    <w:name w:val="Balloon Text Char"/>
    <w:basedOn w:val="DefaultParagraphFont"/>
    <w:link w:val="BalloonText"/>
    <w:uiPriority w:val="99"/>
    <w:locked/>
    <w:rsid w:val="00994A5E"/>
    <w:rPr>
      <w:rFonts w:ascii="Tahoma" w:hAnsi="Tahoma" w:cs="Tahoma"/>
      <w:sz w:val="16"/>
      <w:szCs w:val="16"/>
      <w:lang w:val="nl-NL" w:eastAsia="nl-NL"/>
    </w:rPr>
  </w:style>
  <w:style w:type="paragraph" w:customStyle="1" w:styleId="StandaardSV">
    <w:name w:val="Standaard SV"/>
    <w:basedOn w:val="Normal"/>
    <w:uiPriority w:val="99"/>
    <w:rsid w:val="00D22373"/>
    <w:pPr>
      <w:jc w:val="both"/>
    </w:pPr>
    <w:rPr>
      <w:szCs w:val="22"/>
    </w:rPr>
  </w:style>
  <w:style w:type="paragraph" w:styleId="ListParagraph">
    <w:name w:val="List Paragraph"/>
    <w:basedOn w:val="Normal"/>
    <w:uiPriority w:val="99"/>
    <w:qFormat/>
    <w:rsid w:val="007F1A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12</TotalTime>
  <Pages>2</Pages>
  <Words>924</Words>
  <Characters>5087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5</cp:revision>
  <cp:lastPrinted>2011-01-04T08:16:00Z</cp:lastPrinted>
  <dcterms:created xsi:type="dcterms:W3CDTF">2011-01-04T13:58:00Z</dcterms:created>
  <dcterms:modified xsi:type="dcterms:W3CDTF">2011-01-10T10:12:00Z</dcterms:modified>
</cp:coreProperties>
</file>