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181" w:rsidRDefault="00483181" w:rsidP="00FF184E">
      <w:pPr>
        <w:jc w:val="both"/>
        <w:rPr>
          <w:rFonts w:ascii="Times New Roman Vet" w:hAnsi="Times New Roman Vet"/>
          <w:b/>
          <w:smallCaps/>
          <w:sz w:val="22"/>
          <w:szCs w:val="22"/>
          <w:lang w:val="nl-BE"/>
        </w:rPr>
      </w:pPr>
      <w:smartTag w:uri="urn:schemas-microsoft-com:office:smarttags" w:element="PersonName">
        <w:smartTagPr>
          <w:attr w:name="ProductID" w:val="KRIS PEETERS"/>
        </w:smartTagPr>
        <w:r>
          <w:rPr>
            <w:rFonts w:ascii="Times New Roman Vet" w:hAnsi="Times New Roman Vet"/>
            <w:b/>
            <w:smallCaps/>
            <w:sz w:val="22"/>
            <w:szCs w:val="22"/>
            <w:lang w:val="nl-BE"/>
          </w:rPr>
          <w:t>kris peeters</w:t>
        </w:r>
      </w:smartTag>
    </w:p>
    <w:p w:rsidR="00483181" w:rsidRDefault="00483181" w:rsidP="00FF184E">
      <w:pPr>
        <w:jc w:val="both"/>
        <w:rPr>
          <w:smallCaps/>
          <w:sz w:val="22"/>
          <w:szCs w:val="22"/>
          <w:lang w:val="nl-BE"/>
        </w:rPr>
      </w:pPr>
      <w:r>
        <w:rPr>
          <w:smallCaps/>
          <w:sz w:val="22"/>
          <w:szCs w:val="22"/>
          <w:lang w:val="nl-BE"/>
        </w:rPr>
        <w:t>minister-president van de vlaamse regering, vlaams minister van economie, buitenlands beleid, landbouw en plattelandsbeleid</w:t>
      </w:r>
    </w:p>
    <w:p w:rsidR="00483181" w:rsidRDefault="00483181" w:rsidP="00FF184E">
      <w:pPr>
        <w:pStyle w:val="StandaardSV"/>
        <w:pBdr>
          <w:bottom w:val="single" w:sz="4" w:space="1" w:color="auto"/>
        </w:pBdr>
        <w:rPr>
          <w:lang w:val="nl-BE"/>
        </w:rPr>
      </w:pPr>
    </w:p>
    <w:p w:rsidR="00483181" w:rsidRDefault="00483181" w:rsidP="00FF184E">
      <w:pPr>
        <w:jc w:val="both"/>
        <w:rPr>
          <w:sz w:val="22"/>
        </w:rPr>
      </w:pPr>
    </w:p>
    <w:p w:rsidR="00483181" w:rsidRDefault="00483181" w:rsidP="00755091">
      <w:pPr>
        <w:rPr>
          <w:b/>
          <w:smallCaps/>
          <w:sz w:val="22"/>
        </w:rPr>
      </w:pPr>
      <w:r>
        <w:rPr>
          <w:b/>
          <w:smallCaps/>
          <w:sz w:val="22"/>
        </w:rPr>
        <w:t>antwoord</w:t>
      </w:r>
    </w:p>
    <w:p w:rsidR="00483181" w:rsidRDefault="00483181" w:rsidP="00755091">
      <w:pPr>
        <w:rPr>
          <w:sz w:val="22"/>
        </w:rPr>
      </w:pPr>
      <w:r>
        <w:rPr>
          <w:sz w:val="22"/>
        </w:rPr>
        <w:t>op vraag nr. 12 van 5 oktober 2010</w:t>
      </w:r>
    </w:p>
    <w:p w:rsidR="00483181" w:rsidRDefault="00483181" w:rsidP="00755091">
      <w:pPr>
        <w:rPr>
          <w:sz w:val="22"/>
        </w:rPr>
      </w:pPr>
      <w:r>
        <w:rPr>
          <w:sz w:val="22"/>
        </w:rPr>
        <w:t xml:space="preserve">van </w:t>
      </w:r>
      <w:r>
        <w:rPr>
          <w:b/>
          <w:smallCaps/>
          <w:sz w:val="22"/>
        </w:rPr>
        <w:t>filip watteeuw</w:t>
      </w:r>
    </w:p>
    <w:p w:rsidR="00483181" w:rsidRDefault="00483181" w:rsidP="00FF184E">
      <w:pPr>
        <w:pBdr>
          <w:bottom w:val="single" w:sz="4" w:space="1" w:color="auto"/>
        </w:pBdr>
        <w:jc w:val="both"/>
        <w:rPr>
          <w:sz w:val="22"/>
        </w:rPr>
      </w:pPr>
    </w:p>
    <w:p w:rsidR="00483181" w:rsidRDefault="00483181" w:rsidP="00FF184E">
      <w:pPr>
        <w:pStyle w:val="StandaardSV"/>
      </w:pPr>
    </w:p>
    <w:p w:rsidR="00483181" w:rsidRDefault="00483181" w:rsidP="00FF184E">
      <w:pPr>
        <w:pStyle w:val="StandaardSV"/>
      </w:pPr>
    </w:p>
    <w:p w:rsidR="00483181" w:rsidRPr="006E6E7A" w:rsidRDefault="00483181" w:rsidP="00ED0A1D">
      <w:pPr>
        <w:pStyle w:val="StandaardSV"/>
        <w:ind w:left="426" w:hanging="284"/>
        <w:rPr>
          <w:szCs w:val="22"/>
        </w:rPr>
      </w:pPr>
      <w:r>
        <w:t>1.</w:t>
      </w:r>
      <w:r>
        <w:tab/>
      </w:r>
      <w:r w:rsidRPr="006E6E7A">
        <w:rPr>
          <w:szCs w:val="22"/>
        </w:rPr>
        <w:t>Zoals u weet wordt een financiering voorzien voor de ERSV’s vanuit zowel het beleidsveld Ec</w:t>
      </w:r>
      <w:r w:rsidRPr="006E6E7A">
        <w:rPr>
          <w:szCs w:val="22"/>
        </w:rPr>
        <w:t>o</w:t>
      </w:r>
      <w:r w:rsidRPr="006E6E7A">
        <w:rPr>
          <w:szCs w:val="22"/>
        </w:rPr>
        <w:t>nomie als vanuit het beleidsveld Werk. In onderstaande tabellen vindt u voor de door u gevraagde jaartallen de middelen die voorzien worden vanuit enerzijds mijn eigen beleidsveld – Economie – als vanuit het beleidsveld waarvoor collega Muyters bevoegd is, Werk. De vermindering in subs</w:t>
      </w:r>
      <w:r w:rsidRPr="006E6E7A">
        <w:rPr>
          <w:szCs w:val="22"/>
        </w:rPr>
        <w:t>i</w:t>
      </w:r>
      <w:r w:rsidRPr="006E6E7A">
        <w:rPr>
          <w:szCs w:val="22"/>
        </w:rPr>
        <w:t>die tussen het jaar 2009 en het jaar 2010 wordt verklaard door de algemene besparingsoperatie die op de begroting van de Vlaamse overheid van toepassing is en waarvan de ruimere context u u</w:t>
      </w:r>
      <w:r w:rsidRPr="006E6E7A">
        <w:rPr>
          <w:szCs w:val="22"/>
        </w:rPr>
        <w:t>i</w:t>
      </w:r>
      <w:r w:rsidRPr="006E6E7A">
        <w:rPr>
          <w:szCs w:val="22"/>
        </w:rPr>
        <w:t>teraard bekend is.</w:t>
      </w:r>
    </w:p>
    <w:p w:rsidR="00483181" w:rsidRPr="006E6E7A" w:rsidRDefault="00483181" w:rsidP="006E6E7A">
      <w:pPr>
        <w:pStyle w:val="StandaardSV"/>
        <w:rPr>
          <w:szCs w:val="22"/>
        </w:rPr>
      </w:pPr>
    </w:p>
    <w:p w:rsidR="00483181" w:rsidRPr="006E6E7A" w:rsidRDefault="00483181" w:rsidP="00ED0A1D">
      <w:pPr>
        <w:pStyle w:val="StandaardSV"/>
        <w:ind w:left="426"/>
        <w:rPr>
          <w:szCs w:val="22"/>
        </w:rPr>
      </w:pPr>
      <w:r w:rsidRPr="006E6E7A">
        <w:rPr>
          <w:szCs w:val="22"/>
        </w:rPr>
        <w:t>De bedragen zoals weergegeven zijn de vastgelegde bedragen. Om die effectief uitbetaald te kri</w:t>
      </w:r>
      <w:r w:rsidRPr="006E6E7A">
        <w:rPr>
          <w:szCs w:val="22"/>
        </w:rPr>
        <w:t>j</w:t>
      </w:r>
      <w:r w:rsidRPr="006E6E7A">
        <w:rPr>
          <w:szCs w:val="22"/>
        </w:rPr>
        <w:t>gen, moeten de ERSV’s kosten aantonen zodat hier soms minimale verschillen optreden.</w:t>
      </w:r>
    </w:p>
    <w:p w:rsidR="00483181" w:rsidRPr="006E6E7A" w:rsidRDefault="00483181" w:rsidP="006E6E7A">
      <w:pPr>
        <w:pStyle w:val="StandaardSV"/>
        <w:rPr>
          <w:szCs w:val="22"/>
        </w:rPr>
      </w:pPr>
    </w:p>
    <w:p w:rsidR="00483181" w:rsidRPr="00D42C30" w:rsidRDefault="00483181" w:rsidP="00ED0A1D">
      <w:pPr>
        <w:pStyle w:val="StandaardSV"/>
        <w:ind w:firstLine="426"/>
        <w:rPr>
          <w:i/>
        </w:rPr>
      </w:pPr>
      <w:r w:rsidRPr="00D42C30">
        <w:rPr>
          <w:i/>
        </w:rPr>
        <w:t xml:space="preserve">Subsidie vanuit het beleidsveld Economie: </w:t>
      </w:r>
    </w:p>
    <w:p w:rsidR="00483181" w:rsidRDefault="00483181" w:rsidP="00920A0E">
      <w:pPr>
        <w:rPr>
          <w:szCs w:val="24"/>
        </w:rPr>
      </w:pP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640"/>
        <w:gridCol w:w="1140"/>
        <w:gridCol w:w="1140"/>
      </w:tblGrid>
      <w:tr w:rsidR="00483181" w:rsidRPr="00755091" w:rsidTr="00ED0A1D">
        <w:tc>
          <w:tcPr>
            <w:tcW w:w="1640" w:type="dxa"/>
          </w:tcPr>
          <w:p w:rsidR="00483181" w:rsidRPr="00755091" w:rsidRDefault="00483181" w:rsidP="00AF072E">
            <w:pPr>
              <w:jc w:val="both"/>
              <w:rPr>
                <w:sz w:val="20"/>
              </w:rPr>
            </w:pPr>
            <w:r w:rsidRPr="00755091">
              <w:rPr>
                <w:sz w:val="20"/>
              </w:rPr>
              <w:t>ERSV</w:t>
            </w:r>
          </w:p>
        </w:tc>
        <w:tc>
          <w:tcPr>
            <w:tcW w:w="1140" w:type="dxa"/>
          </w:tcPr>
          <w:p w:rsidR="00483181" w:rsidRPr="00755091" w:rsidRDefault="00483181" w:rsidP="00D42C30">
            <w:pPr>
              <w:tabs>
                <w:tab w:val="left" w:pos="1843"/>
                <w:tab w:val="left" w:pos="4536"/>
              </w:tabs>
              <w:jc w:val="right"/>
              <w:rPr>
                <w:sz w:val="20"/>
              </w:rPr>
            </w:pPr>
            <w:r w:rsidRPr="00755091">
              <w:rPr>
                <w:b/>
                <w:sz w:val="20"/>
              </w:rPr>
              <w:t>2009</w:t>
            </w:r>
          </w:p>
        </w:tc>
        <w:tc>
          <w:tcPr>
            <w:tcW w:w="1140" w:type="dxa"/>
          </w:tcPr>
          <w:p w:rsidR="00483181" w:rsidRPr="00755091" w:rsidRDefault="00483181" w:rsidP="00D42C30">
            <w:pPr>
              <w:tabs>
                <w:tab w:val="left" w:pos="1843"/>
                <w:tab w:val="left" w:pos="4536"/>
              </w:tabs>
              <w:jc w:val="right"/>
              <w:rPr>
                <w:sz w:val="20"/>
              </w:rPr>
            </w:pPr>
            <w:r w:rsidRPr="00755091">
              <w:rPr>
                <w:b/>
                <w:sz w:val="20"/>
              </w:rPr>
              <w:t>2010</w:t>
            </w:r>
          </w:p>
        </w:tc>
      </w:tr>
      <w:tr w:rsidR="00483181" w:rsidRPr="00755091" w:rsidTr="00ED0A1D">
        <w:tc>
          <w:tcPr>
            <w:tcW w:w="1640" w:type="dxa"/>
          </w:tcPr>
          <w:p w:rsidR="00483181" w:rsidRPr="00755091" w:rsidRDefault="00483181" w:rsidP="00AF072E">
            <w:pPr>
              <w:jc w:val="both"/>
              <w:rPr>
                <w:sz w:val="20"/>
              </w:rPr>
            </w:pPr>
            <w:r w:rsidRPr="00755091">
              <w:rPr>
                <w:sz w:val="20"/>
              </w:rPr>
              <w:t>West-Vlaanderen</w:t>
            </w:r>
          </w:p>
        </w:tc>
        <w:tc>
          <w:tcPr>
            <w:tcW w:w="1140" w:type="dxa"/>
          </w:tcPr>
          <w:p w:rsidR="00483181" w:rsidRPr="00755091" w:rsidRDefault="00483181" w:rsidP="00D42C30">
            <w:pPr>
              <w:jc w:val="right"/>
              <w:rPr>
                <w:rFonts w:cs="Arial"/>
                <w:bCs/>
                <w:sz w:val="20"/>
              </w:rPr>
            </w:pPr>
            <w:r w:rsidRPr="00755091">
              <w:rPr>
                <w:rFonts w:cs="Arial"/>
                <w:bCs/>
                <w:sz w:val="20"/>
              </w:rPr>
              <w:t>228.371,01</w:t>
            </w:r>
          </w:p>
        </w:tc>
        <w:tc>
          <w:tcPr>
            <w:tcW w:w="1140" w:type="dxa"/>
          </w:tcPr>
          <w:p w:rsidR="00483181" w:rsidRPr="00755091" w:rsidRDefault="00483181" w:rsidP="00D42C30">
            <w:pPr>
              <w:jc w:val="right"/>
              <w:rPr>
                <w:rFonts w:cs="Arial"/>
                <w:bCs/>
                <w:sz w:val="20"/>
              </w:rPr>
            </w:pPr>
            <w:r w:rsidRPr="00755091">
              <w:rPr>
                <w:rFonts w:cs="Arial"/>
                <w:bCs/>
                <w:sz w:val="20"/>
              </w:rPr>
              <w:t>216.176,00</w:t>
            </w:r>
          </w:p>
        </w:tc>
      </w:tr>
      <w:tr w:rsidR="00483181" w:rsidRPr="00755091" w:rsidTr="00ED0A1D">
        <w:tc>
          <w:tcPr>
            <w:tcW w:w="1640" w:type="dxa"/>
          </w:tcPr>
          <w:p w:rsidR="00483181" w:rsidRPr="00755091" w:rsidRDefault="00483181" w:rsidP="00AF072E">
            <w:pPr>
              <w:jc w:val="both"/>
              <w:rPr>
                <w:sz w:val="20"/>
              </w:rPr>
            </w:pPr>
            <w:r w:rsidRPr="00755091">
              <w:rPr>
                <w:sz w:val="20"/>
              </w:rPr>
              <w:t>Oost-Vlaanderen</w:t>
            </w:r>
          </w:p>
        </w:tc>
        <w:tc>
          <w:tcPr>
            <w:tcW w:w="1140" w:type="dxa"/>
          </w:tcPr>
          <w:p w:rsidR="00483181" w:rsidRPr="00755091" w:rsidRDefault="00483181" w:rsidP="00D42C30">
            <w:pPr>
              <w:jc w:val="right"/>
              <w:rPr>
                <w:rFonts w:cs="Arial"/>
                <w:bCs/>
                <w:sz w:val="20"/>
              </w:rPr>
            </w:pPr>
            <w:r w:rsidRPr="00755091">
              <w:rPr>
                <w:rFonts w:cs="Arial"/>
                <w:bCs/>
                <w:sz w:val="20"/>
              </w:rPr>
              <w:t>241.833,92</w:t>
            </w:r>
          </w:p>
        </w:tc>
        <w:tc>
          <w:tcPr>
            <w:tcW w:w="1140" w:type="dxa"/>
          </w:tcPr>
          <w:p w:rsidR="00483181" w:rsidRPr="00755091" w:rsidRDefault="00483181" w:rsidP="00D42C30">
            <w:pPr>
              <w:jc w:val="right"/>
              <w:rPr>
                <w:rFonts w:cs="Arial"/>
                <w:bCs/>
                <w:sz w:val="20"/>
              </w:rPr>
            </w:pPr>
            <w:r w:rsidRPr="00755091">
              <w:rPr>
                <w:rFonts w:cs="Arial"/>
                <w:bCs/>
                <w:sz w:val="20"/>
              </w:rPr>
              <w:t>228.919,99</w:t>
            </w:r>
          </w:p>
        </w:tc>
      </w:tr>
      <w:tr w:rsidR="00483181" w:rsidRPr="00755091" w:rsidTr="00ED0A1D">
        <w:tc>
          <w:tcPr>
            <w:tcW w:w="1640" w:type="dxa"/>
          </w:tcPr>
          <w:p w:rsidR="00483181" w:rsidRPr="00755091" w:rsidRDefault="00483181" w:rsidP="00AF072E">
            <w:pPr>
              <w:jc w:val="both"/>
              <w:rPr>
                <w:sz w:val="20"/>
              </w:rPr>
            </w:pPr>
            <w:r w:rsidRPr="00755091">
              <w:rPr>
                <w:sz w:val="20"/>
              </w:rPr>
              <w:t>Vlaams-Brabant</w:t>
            </w:r>
          </w:p>
        </w:tc>
        <w:tc>
          <w:tcPr>
            <w:tcW w:w="1140" w:type="dxa"/>
          </w:tcPr>
          <w:p w:rsidR="00483181" w:rsidRPr="00755091" w:rsidRDefault="00483181" w:rsidP="00D42C30">
            <w:pPr>
              <w:jc w:val="right"/>
              <w:rPr>
                <w:rFonts w:cs="Arial"/>
                <w:bCs/>
                <w:sz w:val="20"/>
              </w:rPr>
            </w:pPr>
            <w:r w:rsidRPr="00755091">
              <w:rPr>
                <w:rFonts w:cs="Arial"/>
                <w:bCs/>
                <w:sz w:val="20"/>
              </w:rPr>
              <w:t>126.277,20</w:t>
            </w:r>
          </w:p>
        </w:tc>
        <w:tc>
          <w:tcPr>
            <w:tcW w:w="1140" w:type="dxa"/>
          </w:tcPr>
          <w:p w:rsidR="00483181" w:rsidRPr="00755091" w:rsidRDefault="00483181" w:rsidP="00D42C30">
            <w:pPr>
              <w:jc w:val="right"/>
              <w:rPr>
                <w:rFonts w:cs="Arial"/>
                <w:bCs/>
                <w:sz w:val="20"/>
              </w:rPr>
            </w:pPr>
            <w:r w:rsidRPr="00755091">
              <w:rPr>
                <w:rFonts w:cs="Arial"/>
                <w:bCs/>
                <w:sz w:val="20"/>
              </w:rPr>
              <w:t>119.534,00</w:t>
            </w:r>
          </w:p>
        </w:tc>
      </w:tr>
      <w:tr w:rsidR="00483181" w:rsidRPr="00755091" w:rsidTr="00ED0A1D">
        <w:tc>
          <w:tcPr>
            <w:tcW w:w="1640" w:type="dxa"/>
          </w:tcPr>
          <w:p w:rsidR="00483181" w:rsidRPr="00755091" w:rsidRDefault="00483181" w:rsidP="00AF072E">
            <w:pPr>
              <w:jc w:val="both"/>
              <w:rPr>
                <w:sz w:val="20"/>
              </w:rPr>
            </w:pPr>
            <w:r w:rsidRPr="00755091">
              <w:rPr>
                <w:sz w:val="20"/>
              </w:rPr>
              <w:t>Limburg</w:t>
            </w:r>
          </w:p>
        </w:tc>
        <w:tc>
          <w:tcPr>
            <w:tcW w:w="1140" w:type="dxa"/>
          </w:tcPr>
          <w:p w:rsidR="00483181" w:rsidRPr="00755091" w:rsidRDefault="00483181" w:rsidP="00D42C30">
            <w:pPr>
              <w:jc w:val="right"/>
              <w:rPr>
                <w:rFonts w:cs="Arial"/>
                <w:bCs/>
                <w:sz w:val="20"/>
              </w:rPr>
            </w:pPr>
            <w:r w:rsidRPr="00755091">
              <w:rPr>
                <w:rFonts w:cs="Arial"/>
                <w:bCs/>
                <w:sz w:val="20"/>
              </w:rPr>
              <w:t>150.335,94</w:t>
            </w:r>
          </w:p>
        </w:tc>
        <w:tc>
          <w:tcPr>
            <w:tcW w:w="1140" w:type="dxa"/>
          </w:tcPr>
          <w:p w:rsidR="00483181" w:rsidRPr="00755091" w:rsidRDefault="00483181" w:rsidP="00D42C30">
            <w:pPr>
              <w:jc w:val="right"/>
              <w:rPr>
                <w:rFonts w:cs="Arial"/>
                <w:bCs/>
                <w:sz w:val="20"/>
              </w:rPr>
            </w:pPr>
            <w:r w:rsidRPr="00755091">
              <w:rPr>
                <w:rFonts w:cs="Arial"/>
                <w:bCs/>
                <w:sz w:val="20"/>
              </w:rPr>
              <w:t>142.326,93</w:t>
            </w:r>
          </w:p>
        </w:tc>
      </w:tr>
      <w:tr w:rsidR="00483181" w:rsidRPr="00755091" w:rsidTr="00ED0A1D">
        <w:tc>
          <w:tcPr>
            <w:tcW w:w="1640" w:type="dxa"/>
          </w:tcPr>
          <w:p w:rsidR="00483181" w:rsidRPr="00755091" w:rsidRDefault="00483181" w:rsidP="00AF072E">
            <w:pPr>
              <w:jc w:val="both"/>
              <w:rPr>
                <w:sz w:val="20"/>
              </w:rPr>
            </w:pPr>
            <w:r w:rsidRPr="00755091">
              <w:rPr>
                <w:sz w:val="20"/>
              </w:rPr>
              <w:t>Limburg DAC</w:t>
            </w:r>
          </w:p>
        </w:tc>
        <w:tc>
          <w:tcPr>
            <w:tcW w:w="1140" w:type="dxa"/>
          </w:tcPr>
          <w:p w:rsidR="00483181" w:rsidRPr="00755091" w:rsidRDefault="00483181" w:rsidP="00D42C30">
            <w:pPr>
              <w:jc w:val="right"/>
              <w:rPr>
                <w:rFonts w:cs="Arial"/>
                <w:bCs/>
                <w:sz w:val="20"/>
              </w:rPr>
            </w:pPr>
            <w:r w:rsidRPr="00755091">
              <w:rPr>
                <w:rFonts w:cs="Arial"/>
                <w:bCs/>
                <w:sz w:val="20"/>
              </w:rPr>
              <w:t>37.895,79</w:t>
            </w:r>
          </w:p>
        </w:tc>
        <w:tc>
          <w:tcPr>
            <w:tcW w:w="1140" w:type="dxa"/>
          </w:tcPr>
          <w:p w:rsidR="00483181" w:rsidRPr="00755091" w:rsidRDefault="00483181" w:rsidP="00D42C30">
            <w:pPr>
              <w:jc w:val="right"/>
              <w:rPr>
                <w:rFonts w:cs="Arial"/>
                <w:bCs/>
                <w:sz w:val="20"/>
              </w:rPr>
            </w:pPr>
            <w:r w:rsidRPr="00755091">
              <w:rPr>
                <w:rFonts w:cs="Arial"/>
                <w:bCs/>
                <w:sz w:val="20"/>
              </w:rPr>
              <w:t>35.872,15</w:t>
            </w:r>
          </w:p>
        </w:tc>
      </w:tr>
      <w:tr w:rsidR="00483181" w:rsidRPr="00755091" w:rsidTr="00ED0A1D">
        <w:tc>
          <w:tcPr>
            <w:tcW w:w="1640" w:type="dxa"/>
          </w:tcPr>
          <w:p w:rsidR="00483181" w:rsidRPr="00755091" w:rsidRDefault="00483181" w:rsidP="00AF072E">
            <w:pPr>
              <w:jc w:val="both"/>
              <w:rPr>
                <w:sz w:val="20"/>
              </w:rPr>
            </w:pPr>
            <w:r w:rsidRPr="00755091">
              <w:rPr>
                <w:sz w:val="20"/>
              </w:rPr>
              <w:t>Antwerpen</w:t>
            </w:r>
          </w:p>
        </w:tc>
        <w:tc>
          <w:tcPr>
            <w:tcW w:w="1140" w:type="dxa"/>
          </w:tcPr>
          <w:p w:rsidR="00483181" w:rsidRPr="00755091" w:rsidRDefault="00483181" w:rsidP="00D42C30">
            <w:pPr>
              <w:jc w:val="right"/>
              <w:rPr>
                <w:rFonts w:cs="Arial"/>
                <w:bCs/>
                <w:sz w:val="20"/>
              </w:rPr>
            </w:pPr>
            <w:r w:rsidRPr="00755091">
              <w:rPr>
                <w:rFonts w:cs="Arial"/>
                <w:bCs/>
                <w:sz w:val="20"/>
              </w:rPr>
              <w:t>188.106,90</w:t>
            </w:r>
          </w:p>
        </w:tc>
        <w:tc>
          <w:tcPr>
            <w:tcW w:w="1140" w:type="dxa"/>
          </w:tcPr>
          <w:p w:rsidR="00483181" w:rsidRPr="00755091" w:rsidRDefault="00483181" w:rsidP="00D42C30">
            <w:pPr>
              <w:jc w:val="right"/>
              <w:rPr>
                <w:rFonts w:cs="Arial"/>
                <w:bCs/>
                <w:sz w:val="20"/>
              </w:rPr>
            </w:pPr>
            <w:r w:rsidRPr="00755091">
              <w:rPr>
                <w:rFonts w:cs="Arial"/>
                <w:bCs/>
                <w:sz w:val="20"/>
              </w:rPr>
              <w:t>178.061,99</w:t>
            </w:r>
          </w:p>
        </w:tc>
      </w:tr>
      <w:tr w:rsidR="00483181" w:rsidRPr="00755091" w:rsidTr="00ED0A1D">
        <w:trPr>
          <w:trHeight w:val="431"/>
        </w:trPr>
        <w:tc>
          <w:tcPr>
            <w:tcW w:w="1640" w:type="dxa"/>
          </w:tcPr>
          <w:p w:rsidR="00483181" w:rsidRPr="00755091" w:rsidRDefault="00483181" w:rsidP="00AF072E">
            <w:pPr>
              <w:jc w:val="both"/>
              <w:rPr>
                <w:sz w:val="20"/>
              </w:rPr>
            </w:pPr>
          </w:p>
          <w:p w:rsidR="00483181" w:rsidRPr="00755091" w:rsidRDefault="00483181" w:rsidP="00AF072E">
            <w:pPr>
              <w:jc w:val="both"/>
              <w:rPr>
                <w:b/>
                <w:sz w:val="20"/>
              </w:rPr>
            </w:pPr>
            <w:r w:rsidRPr="00755091">
              <w:rPr>
                <w:b/>
                <w:sz w:val="20"/>
              </w:rPr>
              <w:t>Totaal</w:t>
            </w:r>
          </w:p>
        </w:tc>
        <w:tc>
          <w:tcPr>
            <w:tcW w:w="1140" w:type="dxa"/>
          </w:tcPr>
          <w:p w:rsidR="00483181" w:rsidRPr="00755091" w:rsidRDefault="00483181" w:rsidP="00D42C30">
            <w:pPr>
              <w:jc w:val="right"/>
              <w:rPr>
                <w:rFonts w:cs="Arial"/>
                <w:b/>
                <w:bCs/>
                <w:sz w:val="20"/>
              </w:rPr>
            </w:pPr>
          </w:p>
          <w:p w:rsidR="00483181" w:rsidRPr="00755091" w:rsidRDefault="00483181" w:rsidP="00D42C30">
            <w:pPr>
              <w:jc w:val="right"/>
              <w:rPr>
                <w:rFonts w:cs="Arial"/>
                <w:b/>
                <w:bCs/>
                <w:sz w:val="20"/>
              </w:rPr>
            </w:pPr>
            <w:r w:rsidRPr="00755091">
              <w:rPr>
                <w:rFonts w:cs="Arial"/>
                <w:b/>
                <w:bCs/>
                <w:sz w:val="20"/>
              </w:rPr>
              <w:t>972.820,76</w:t>
            </w:r>
          </w:p>
        </w:tc>
        <w:tc>
          <w:tcPr>
            <w:tcW w:w="1140" w:type="dxa"/>
          </w:tcPr>
          <w:p w:rsidR="00483181" w:rsidRPr="00755091" w:rsidRDefault="00483181" w:rsidP="00D42C30">
            <w:pPr>
              <w:jc w:val="right"/>
              <w:rPr>
                <w:rFonts w:cs="Arial"/>
                <w:b/>
                <w:bCs/>
                <w:sz w:val="20"/>
              </w:rPr>
            </w:pPr>
          </w:p>
          <w:p w:rsidR="00483181" w:rsidRPr="00755091" w:rsidRDefault="00483181" w:rsidP="00D42C30">
            <w:pPr>
              <w:jc w:val="right"/>
              <w:rPr>
                <w:rFonts w:cs="Arial"/>
                <w:b/>
                <w:bCs/>
                <w:sz w:val="20"/>
              </w:rPr>
            </w:pPr>
            <w:r w:rsidRPr="00755091">
              <w:rPr>
                <w:rFonts w:cs="Arial"/>
                <w:b/>
                <w:bCs/>
                <w:sz w:val="20"/>
              </w:rPr>
              <w:t>920.891,06</w:t>
            </w:r>
          </w:p>
        </w:tc>
      </w:tr>
    </w:tbl>
    <w:p w:rsidR="00483181" w:rsidRDefault="00483181" w:rsidP="00920A0E">
      <w:pPr>
        <w:rPr>
          <w:szCs w:val="24"/>
        </w:rPr>
      </w:pPr>
    </w:p>
    <w:p w:rsidR="00483181" w:rsidRPr="00D42C30" w:rsidRDefault="00483181" w:rsidP="00ED0A1D">
      <w:pPr>
        <w:pStyle w:val="StandaardSV"/>
        <w:ind w:firstLine="426"/>
        <w:rPr>
          <w:i/>
        </w:rPr>
      </w:pPr>
      <w:r w:rsidRPr="00D42C30">
        <w:rPr>
          <w:i/>
        </w:rPr>
        <w:t>Subsidie vanuit het beleidsveld Werk:</w:t>
      </w:r>
    </w:p>
    <w:tbl>
      <w:tblPr>
        <w:tblpPr w:leftFromText="141" w:rightFromText="141"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8"/>
        <w:gridCol w:w="1116"/>
        <w:gridCol w:w="1016"/>
      </w:tblGrid>
      <w:tr w:rsidR="00483181" w:rsidRPr="00755091" w:rsidTr="00ED0A1D">
        <w:tc>
          <w:tcPr>
            <w:tcW w:w="2078" w:type="dxa"/>
          </w:tcPr>
          <w:p w:rsidR="00483181" w:rsidRPr="00755091" w:rsidRDefault="00483181" w:rsidP="00ED0A1D">
            <w:pPr>
              <w:rPr>
                <w:b/>
                <w:sz w:val="20"/>
              </w:rPr>
            </w:pPr>
          </w:p>
        </w:tc>
        <w:tc>
          <w:tcPr>
            <w:tcW w:w="1116" w:type="dxa"/>
          </w:tcPr>
          <w:p w:rsidR="00483181" w:rsidRPr="00755091" w:rsidRDefault="00483181" w:rsidP="00ED0A1D">
            <w:pPr>
              <w:jc w:val="right"/>
              <w:rPr>
                <w:b/>
                <w:sz w:val="20"/>
              </w:rPr>
            </w:pPr>
            <w:r w:rsidRPr="00755091">
              <w:rPr>
                <w:b/>
                <w:sz w:val="20"/>
              </w:rPr>
              <w:t>2009</w:t>
            </w:r>
          </w:p>
        </w:tc>
        <w:tc>
          <w:tcPr>
            <w:tcW w:w="0" w:type="auto"/>
          </w:tcPr>
          <w:p w:rsidR="00483181" w:rsidRPr="00755091" w:rsidRDefault="00483181" w:rsidP="00ED0A1D">
            <w:pPr>
              <w:jc w:val="right"/>
              <w:rPr>
                <w:b/>
                <w:sz w:val="20"/>
              </w:rPr>
            </w:pPr>
            <w:r w:rsidRPr="00755091">
              <w:rPr>
                <w:b/>
                <w:sz w:val="20"/>
              </w:rPr>
              <w:t>2010</w:t>
            </w:r>
          </w:p>
        </w:tc>
      </w:tr>
      <w:tr w:rsidR="00483181" w:rsidRPr="00755091" w:rsidTr="00ED0A1D">
        <w:tc>
          <w:tcPr>
            <w:tcW w:w="2078" w:type="dxa"/>
          </w:tcPr>
          <w:p w:rsidR="00483181" w:rsidRPr="00755091" w:rsidRDefault="00483181" w:rsidP="00ED0A1D">
            <w:pPr>
              <w:rPr>
                <w:b/>
                <w:sz w:val="20"/>
              </w:rPr>
            </w:pPr>
            <w:r w:rsidRPr="00755091">
              <w:rPr>
                <w:b/>
                <w:sz w:val="20"/>
              </w:rPr>
              <w:t>ERSV</w:t>
            </w:r>
          </w:p>
        </w:tc>
        <w:tc>
          <w:tcPr>
            <w:tcW w:w="1116" w:type="dxa"/>
          </w:tcPr>
          <w:p w:rsidR="00483181" w:rsidRPr="00755091" w:rsidRDefault="00483181" w:rsidP="00ED0A1D">
            <w:pPr>
              <w:jc w:val="right"/>
              <w:rPr>
                <w:b/>
                <w:sz w:val="20"/>
              </w:rPr>
            </w:pPr>
            <w:r w:rsidRPr="00755091">
              <w:rPr>
                <w:b/>
                <w:sz w:val="20"/>
              </w:rPr>
              <w:t>4.489.000</w:t>
            </w:r>
          </w:p>
        </w:tc>
        <w:tc>
          <w:tcPr>
            <w:tcW w:w="0" w:type="auto"/>
          </w:tcPr>
          <w:p w:rsidR="00483181" w:rsidRPr="00755091" w:rsidRDefault="00483181" w:rsidP="00ED0A1D">
            <w:pPr>
              <w:jc w:val="right"/>
              <w:rPr>
                <w:b/>
                <w:sz w:val="20"/>
              </w:rPr>
            </w:pPr>
            <w:r w:rsidRPr="00755091">
              <w:rPr>
                <w:b/>
                <w:sz w:val="20"/>
              </w:rPr>
              <w:t>4.463.000</w:t>
            </w:r>
          </w:p>
        </w:tc>
      </w:tr>
      <w:tr w:rsidR="00483181" w:rsidRPr="00755091" w:rsidTr="00ED0A1D">
        <w:tc>
          <w:tcPr>
            <w:tcW w:w="2078" w:type="dxa"/>
          </w:tcPr>
          <w:p w:rsidR="00483181" w:rsidRPr="00755091" w:rsidRDefault="00483181" w:rsidP="00ED0A1D">
            <w:pPr>
              <w:jc w:val="right"/>
              <w:rPr>
                <w:b/>
                <w:sz w:val="20"/>
              </w:rPr>
            </w:pPr>
            <w:r w:rsidRPr="00755091">
              <w:rPr>
                <w:sz w:val="20"/>
              </w:rPr>
              <w:t>Oost-Vlaanderen</w:t>
            </w:r>
          </w:p>
        </w:tc>
        <w:tc>
          <w:tcPr>
            <w:tcW w:w="1116" w:type="dxa"/>
          </w:tcPr>
          <w:p w:rsidR="00483181" w:rsidRPr="00755091" w:rsidRDefault="00483181" w:rsidP="00ED0A1D">
            <w:pPr>
              <w:jc w:val="right"/>
              <w:rPr>
                <w:rFonts w:cs="Arial"/>
                <w:sz w:val="20"/>
              </w:rPr>
            </w:pPr>
            <w:r w:rsidRPr="00755091">
              <w:rPr>
                <w:rFonts w:cs="Arial"/>
                <w:sz w:val="20"/>
              </w:rPr>
              <w:t>1.002.708</w:t>
            </w:r>
          </w:p>
          <w:p w:rsidR="00483181" w:rsidRPr="00755091" w:rsidRDefault="00483181" w:rsidP="00ED0A1D">
            <w:pPr>
              <w:jc w:val="right"/>
              <w:rPr>
                <w:b/>
                <w:sz w:val="20"/>
              </w:rPr>
            </w:pPr>
          </w:p>
        </w:tc>
        <w:tc>
          <w:tcPr>
            <w:tcW w:w="0" w:type="auto"/>
          </w:tcPr>
          <w:p w:rsidR="00483181" w:rsidRPr="00755091" w:rsidRDefault="00483181" w:rsidP="00ED0A1D">
            <w:pPr>
              <w:jc w:val="right"/>
              <w:rPr>
                <w:rFonts w:cs="Arial"/>
                <w:sz w:val="20"/>
              </w:rPr>
            </w:pPr>
            <w:r w:rsidRPr="00755091">
              <w:rPr>
                <w:rFonts w:cs="Arial"/>
                <w:sz w:val="20"/>
              </w:rPr>
              <w:t>1.002.708</w:t>
            </w:r>
          </w:p>
        </w:tc>
      </w:tr>
      <w:tr w:rsidR="00483181" w:rsidRPr="00755091" w:rsidTr="00ED0A1D">
        <w:tc>
          <w:tcPr>
            <w:tcW w:w="2078" w:type="dxa"/>
          </w:tcPr>
          <w:p w:rsidR="00483181" w:rsidRPr="00755091" w:rsidRDefault="00483181" w:rsidP="00ED0A1D">
            <w:pPr>
              <w:jc w:val="right"/>
              <w:rPr>
                <w:b/>
                <w:sz w:val="20"/>
              </w:rPr>
            </w:pPr>
            <w:r w:rsidRPr="00755091">
              <w:rPr>
                <w:sz w:val="20"/>
              </w:rPr>
              <w:t>Limburg</w:t>
            </w:r>
          </w:p>
        </w:tc>
        <w:tc>
          <w:tcPr>
            <w:tcW w:w="1116" w:type="dxa"/>
          </w:tcPr>
          <w:p w:rsidR="00483181" w:rsidRPr="00755091" w:rsidRDefault="00483181" w:rsidP="00ED0A1D">
            <w:pPr>
              <w:jc w:val="right"/>
              <w:rPr>
                <w:rFonts w:cs="Arial"/>
                <w:sz w:val="20"/>
              </w:rPr>
            </w:pPr>
            <w:r w:rsidRPr="00755091">
              <w:rPr>
                <w:rFonts w:cs="Arial"/>
                <w:sz w:val="20"/>
              </w:rPr>
              <w:t>641.840</w:t>
            </w:r>
          </w:p>
          <w:p w:rsidR="00483181" w:rsidRPr="00755091" w:rsidRDefault="00483181" w:rsidP="00ED0A1D">
            <w:pPr>
              <w:jc w:val="right"/>
              <w:rPr>
                <w:b/>
                <w:sz w:val="20"/>
              </w:rPr>
            </w:pPr>
          </w:p>
        </w:tc>
        <w:tc>
          <w:tcPr>
            <w:tcW w:w="0" w:type="auto"/>
          </w:tcPr>
          <w:p w:rsidR="00483181" w:rsidRPr="00755091" w:rsidRDefault="00483181" w:rsidP="00ED0A1D">
            <w:pPr>
              <w:jc w:val="right"/>
              <w:rPr>
                <w:b/>
                <w:sz w:val="20"/>
              </w:rPr>
            </w:pPr>
            <w:r w:rsidRPr="00755091">
              <w:rPr>
                <w:rFonts w:cs="Arial"/>
                <w:sz w:val="20"/>
              </w:rPr>
              <w:t>641.840</w:t>
            </w:r>
          </w:p>
        </w:tc>
      </w:tr>
      <w:tr w:rsidR="00483181" w:rsidRPr="00755091" w:rsidTr="00ED0A1D">
        <w:tc>
          <w:tcPr>
            <w:tcW w:w="2078" w:type="dxa"/>
          </w:tcPr>
          <w:p w:rsidR="00483181" w:rsidRPr="00755091" w:rsidRDefault="00483181" w:rsidP="00ED0A1D">
            <w:pPr>
              <w:jc w:val="right"/>
              <w:rPr>
                <w:b/>
                <w:sz w:val="20"/>
              </w:rPr>
            </w:pPr>
            <w:r w:rsidRPr="00755091">
              <w:rPr>
                <w:sz w:val="20"/>
              </w:rPr>
              <w:t>West-Vlaanderen</w:t>
            </w:r>
          </w:p>
        </w:tc>
        <w:tc>
          <w:tcPr>
            <w:tcW w:w="1116" w:type="dxa"/>
          </w:tcPr>
          <w:p w:rsidR="00483181" w:rsidRPr="00755091" w:rsidRDefault="00483181" w:rsidP="00ED0A1D">
            <w:pPr>
              <w:jc w:val="right"/>
              <w:rPr>
                <w:rFonts w:cs="Arial"/>
                <w:sz w:val="20"/>
              </w:rPr>
            </w:pPr>
            <w:r w:rsidRPr="00755091">
              <w:rPr>
                <w:rFonts w:cs="Arial"/>
                <w:sz w:val="20"/>
              </w:rPr>
              <w:t>901.174</w:t>
            </w:r>
          </w:p>
          <w:p w:rsidR="00483181" w:rsidRPr="00755091" w:rsidRDefault="00483181" w:rsidP="00ED0A1D">
            <w:pPr>
              <w:jc w:val="right"/>
              <w:rPr>
                <w:b/>
                <w:sz w:val="20"/>
              </w:rPr>
            </w:pPr>
          </w:p>
        </w:tc>
        <w:tc>
          <w:tcPr>
            <w:tcW w:w="0" w:type="auto"/>
          </w:tcPr>
          <w:p w:rsidR="00483181" w:rsidRPr="00755091" w:rsidRDefault="00483181" w:rsidP="00ED0A1D">
            <w:pPr>
              <w:jc w:val="right"/>
              <w:rPr>
                <w:b/>
                <w:sz w:val="20"/>
              </w:rPr>
            </w:pPr>
            <w:r w:rsidRPr="00755091">
              <w:rPr>
                <w:rFonts w:cs="Arial"/>
                <w:sz w:val="20"/>
              </w:rPr>
              <w:t>901.174</w:t>
            </w:r>
          </w:p>
        </w:tc>
      </w:tr>
      <w:tr w:rsidR="00483181" w:rsidRPr="00755091" w:rsidTr="00ED0A1D">
        <w:tc>
          <w:tcPr>
            <w:tcW w:w="2078" w:type="dxa"/>
          </w:tcPr>
          <w:p w:rsidR="00483181" w:rsidRPr="00755091" w:rsidRDefault="00483181" w:rsidP="00ED0A1D">
            <w:pPr>
              <w:jc w:val="right"/>
              <w:rPr>
                <w:b/>
                <w:sz w:val="20"/>
              </w:rPr>
            </w:pPr>
            <w:r w:rsidRPr="00755091">
              <w:rPr>
                <w:sz w:val="20"/>
              </w:rPr>
              <w:t>Antwerpen</w:t>
            </w:r>
          </w:p>
        </w:tc>
        <w:tc>
          <w:tcPr>
            <w:tcW w:w="1116" w:type="dxa"/>
          </w:tcPr>
          <w:p w:rsidR="00483181" w:rsidRPr="00755091" w:rsidRDefault="00483181" w:rsidP="00ED0A1D">
            <w:pPr>
              <w:jc w:val="right"/>
              <w:rPr>
                <w:rFonts w:cs="Arial"/>
                <w:sz w:val="20"/>
              </w:rPr>
            </w:pPr>
            <w:r w:rsidRPr="00755091">
              <w:rPr>
                <w:rFonts w:cs="Arial"/>
                <w:sz w:val="20"/>
              </w:rPr>
              <w:t>1.032.575</w:t>
            </w:r>
          </w:p>
          <w:p w:rsidR="00483181" w:rsidRPr="00755091" w:rsidRDefault="00483181" w:rsidP="00ED0A1D">
            <w:pPr>
              <w:jc w:val="right"/>
              <w:rPr>
                <w:b/>
                <w:sz w:val="20"/>
              </w:rPr>
            </w:pPr>
          </w:p>
        </w:tc>
        <w:tc>
          <w:tcPr>
            <w:tcW w:w="0" w:type="auto"/>
          </w:tcPr>
          <w:p w:rsidR="00483181" w:rsidRPr="00755091" w:rsidRDefault="00483181" w:rsidP="00ED0A1D">
            <w:pPr>
              <w:jc w:val="right"/>
              <w:rPr>
                <w:b/>
                <w:sz w:val="20"/>
              </w:rPr>
            </w:pPr>
            <w:r w:rsidRPr="00755091">
              <w:rPr>
                <w:rFonts w:cs="Arial"/>
                <w:sz w:val="20"/>
              </w:rPr>
              <w:t>1.032.575</w:t>
            </w:r>
          </w:p>
        </w:tc>
      </w:tr>
      <w:tr w:rsidR="00483181" w:rsidRPr="00755091" w:rsidTr="00ED0A1D">
        <w:tc>
          <w:tcPr>
            <w:tcW w:w="2078" w:type="dxa"/>
          </w:tcPr>
          <w:p w:rsidR="00483181" w:rsidRPr="00755091" w:rsidRDefault="00483181" w:rsidP="00ED0A1D">
            <w:pPr>
              <w:jc w:val="right"/>
              <w:rPr>
                <w:b/>
                <w:sz w:val="20"/>
              </w:rPr>
            </w:pPr>
            <w:r w:rsidRPr="00755091">
              <w:rPr>
                <w:sz w:val="20"/>
              </w:rPr>
              <w:t>Vlaams Brabant</w:t>
            </w:r>
          </w:p>
        </w:tc>
        <w:tc>
          <w:tcPr>
            <w:tcW w:w="1116" w:type="dxa"/>
          </w:tcPr>
          <w:p w:rsidR="00483181" w:rsidRPr="00755091" w:rsidRDefault="00483181" w:rsidP="00ED0A1D">
            <w:pPr>
              <w:jc w:val="right"/>
              <w:rPr>
                <w:rFonts w:cs="Arial"/>
                <w:sz w:val="20"/>
              </w:rPr>
            </w:pPr>
            <w:r w:rsidRPr="00755091">
              <w:rPr>
                <w:rFonts w:cs="Arial"/>
                <w:sz w:val="20"/>
              </w:rPr>
              <w:t>658.505</w:t>
            </w:r>
          </w:p>
          <w:p w:rsidR="00483181" w:rsidRPr="00755091" w:rsidRDefault="00483181" w:rsidP="00ED0A1D">
            <w:pPr>
              <w:jc w:val="right"/>
              <w:rPr>
                <w:b/>
                <w:sz w:val="20"/>
              </w:rPr>
            </w:pPr>
          </w:p>
        </w:tc>
        <w:tc>
          <w:tcPr>
            <w:tcW w:w="0" w:type="auto"/>
          </w:tcPr>
          <w:p w:rsidR="00483181" w:rsidRPr="00755091" w:rsidRDefault="00483181" w:rsidP="00ED0A1D">
            <w:pPr>
              <w:jc w:val="right"/>
              <w:rPr>
                <w:b/>
                <w:sz w:val="20"/>
              </w:rPr>
            </w:pPr>
            <w:r w:rsidRPr="00755091">
              <w:rPr>
                <w:rFonts w:cs="Arial"/>
                <w:sz w:val="20"/>
              </w:rPr>
              <w:t>658.505</w:t>
            </w:r>
          </w:p>
        </w:tc>
      </w:tr>
      <w:tr w:rsidR="00483181" w:rsidRPr="00755091" w:rsidTr="00ED0A1D">
        <w:tc>
          <w:tcPr>
            <w:tcW w:w="2078" w:type="dxa"/>
          </w:tcPr>
          <w:p w:rsidR="00483181" w:rsidRPr="00755091" w:rsidRDefault="00483181" w:rsidP="00ED0A1D">
            <w:pPr>
              <w:jc w:val="right"/>
              <w:rPr>
                <w:sz w:val="20"/>
              </w:rPr>
            </w:pPr>
            <w:r w:rsidRPr="00755091">
              <w:rPr>
                <w:sz w:val="20"/>
              </w:rPr>
              <w:t>BNCTO</w:t>
            </w:r>
          </w:p>
        </w:tc>
        <w:tc>
          <w:tcPr>
            <w:tcW w:w="1116" w:type="dxa"/>
          </w:tcPr>
          <w:p w:rsidR="00483181" w:rsidRPr="00755091" w:rsidRDefault="00483181" w:rsidP="00ED0A1D">
            <w:pPr>
              <w:jc w:val="right"/>
              <w:rPr>
                <w:rFonts w:cs="Arial"/>
                <w:sz w:val="20"/>
              </w:rPr>
            </w:pPr>
            <w:r w:rsidRPr="00755091">
              <w:rPr>
                <w:rFonts w:cs="Arial"/>
                <w:sz w:val="20"/>
              </w:rPr>
              <w:t>225.658</w:t>
            </w:r>
          </w:p>
          <w:p w:rsidR="00483181" w:rsidRPr="00755091" w:rsidRDefault="00483181" w:rsidP="00ED0A1D">
            <w:pPr>
              <w:jc w:val="right"/>
              <w:rPr>
                <w:b/>
                <w:sz w:val="20"/>
              </w:rPr>
            </w:pPr>
          </w:p>
        </w:tc>
        <w:tc>
          <w:tcPr>
            <w:tcW w:w="0" w:type="auto"/>
          </w:tcPr>
          <w:p w:rsidR="00483181" w:rsidRPr="00755091" w:rsidRDefault="00483181" w:rsidP="00ED0A1D">
            <w:pPr>
              <w:jc w:val="right"/>
              <w:rPr>
                <w:b/>
                <w:sz w:val="20"/>
              </w:rPr>
            </w:pPr>
            <w:r w:rsidRPr="00755091">
              <w:rPr>
                <w:rFonts w:cs="Arial"/>
                <w:sz w:val="20"/>
              </w:rPr>
              <w:t>216.300</w:t>
            </w:r>
          </w:p>
        </w:tc>
      </w:tr>
      <w:tr w:rsidR="00483181" w:rsidRPr="00755091" w:rsidTr="00ED0A1D">
        <w:tc>
          <w:tcPr>
            <w:tcW w:w="2078" w:type="dxa"/>
          </w:tcPr>
          <w:p w:rsidR="00483181" w:rsidRPr="00755091" w:rsidRDefault="00483181" w:rsidP="00ED0A1D">
            <w:pPr>
              <w:jc w:val="right"/>
              <w:rPr>
                <w:b/>
                <w:sz w:val="20"/>
              </w:rPr>
            </w:pPr>
            <w:r w:rsidRPr="00755091">
              <w:rPr>
                <w:b/>
                <w:sz w:val="20"/>
              </w:rPr>
              <w:t>Totaal vastleggingen</w:t>
            </w:r>
          </w:p>
        </w:tc>
        <w:tc>
          <w:tcPr>
            <w:tcW w:w="1116" w:type="dxa"/>
          </w:tcPr>
          <w:p w:rsidR="00483181" w:rsidRPr="00755091" w:rsidRDefault="00483181" w:rsidP="00ED0A1D">
            <w:pPr>
              <w:jc w:val="right"/>
              <w:rPr>
                <w:rFonts w:cs="Arial"/>
                <w:sz w:val="20"/>
              </w:rPr>
            </w:pPr>
            <w:r w:rsidRPr="00755091">
              <w:rPr>
                <w:rFonts w:cs="Arial"/>
                <w:sz w:val="20"/>
              </w:rPr>
              <w:t>4.462.461</w:t>
            </w:r>
          </w:p>
          <w:p w:rsidR="00483181" w:rsidRPr="00755091" w:rsidRDefault="00483181" w:rsidP="00ED0A1D">
            <w:pPr>
              <w:jc w:val="right"/>
              <w:rPr>
                <w:b/>
                <w:sz w:val="20"/>
              </w:rPr>
            </w:pPr>
          </w:p>
        </w:tc>
        <w:tc>
          <w:tcPr>
            <w:tcW w:w="0" w:type="auto"/>
          </w:tcPr>
          <w:p w:rsidR="00483181" w:rsidRPr="00755091" w:rsidRDefault="00483181" w:rsidP="00ED0A1D">
            <w:pPr>
              <w:jc w:val="right"/>
              <w:rPr>
                <w:rFonts w:cs="Arial"/>
                <w:sz w:val="20"/>
              </w:rPr>
            </w:pPr>
            <w:r w:rsidRPr="00755091">
              <w:rPr>
                <w:rFonts w:cs="Arial"/>
                <w:sz w:val="20"/>
              </w:rPr>
              <w:t>4.453.101</w:t>
            </w:r>
          </w:p>
          <w:p w:rsidR="00483181" w:rsidRPr="00755091" w:rsidRDefault="00483181" w:rsidP="00ED0A1D">
            <w:pPr>
              <w:jc w:val="right"/>
              <w:rPr>
                <w:rFonts w:cs="Arial"/>
                <w:sz w:val="20"/>
              </w:rPr>
            </w:pPr>
          </w:p>
        </w:tc>
      </w:tr>
    </w:tbl>
    <w:p w:rsidR="00483181" w:rsidRDefault="00483181" w:rsidP="00A13631">
      <w:pPr>
        <w:rPr>
          <w:b/>
        </w:rPr>
      </w:pPr>
    </w:p>
    <w:p w:rsidR="00483181" w:rsidRPr="0077225E" w:rsidRDefault="00483181" w:rsidP="00A13631">
      <w:pPr>
        <w:rPr>
          <w:b/>
        </w:rPr>
      </w:pPr>
    </w:p>
    <w:p w:rsidR="00483181" w:rsidRDefault="00483181" w:rsidP="00FF184E">
      <w:pPr>
        <w:pStyle w:val="StandaardSV"/>
      </w:pPr>
    </w:p>
    <w:p w:rsidR="00483181" w:rsidRPr="00D42C30" w:rsidRDefault="00483181" w:rsidP="00ED0A1D">
      <w:pPr>
        <w:ind w:left="426" w:hanging="426"/>
        <w:jc w:val="both"/>
        <w:rPr>
          <w:sz w:val="22"/>
          <w:szCs w:val="22"/>
        </w:rPr>
      </w:pPr>
      <w:r>
        <w:rPr>
          <w:sz w:val="22"/>
          <w:szCs w:val="22"/>
        </w:rPr>
        <w:br w:type="page"/>
      </w:r>
      <w:r w:rsidRPr="00D42C30">
        <w:rPr>
          <w:sz w:val="22"/>
          <w:szCs w:val="22"/>
        </w:rPr>
        <w:t>2.</w:t>
      </w:r>
      <w:r>
        <w:rPr>
          <w:sz w:val="22"/>
          <w:szCs w:val="22"/>
        </w:rPr>
        <w:tab/>
      </w:r>
      <w:r w:rsidRPr="00D42C30">
        <w:rPr>
          <w:sz w:val="22"/>
          <w:szCs w:val="22"/>
        </w:rPr>
        <w:t>Aantal Voltijds Equivalenten per ERSV (in boekjaar 2009) en dit op basis van de jaarrekeni</w:t>
      </w:r>
      <w:r w:rsidRPr="00D42C30">
        <w:rPr>
          <w:sz w:val="22"/>
          <w:szCs w:val="22"/>
        </w:rPr>
        <w:t>n</w:t>
      </w:r>
      <w:r w:rsidRPr="00D42C30">
        <w:rPr>
          <w:sz w:val="22"/>
          <w:szCs w:val="22"/>
        </w:rPr>
        <w:t>gen en/of de sociale balans voor het jaar 2009, waar nodig aangevuld met telefonische bevr</w:t>
      </w:r>
      <w:r w:rsidRPr="00D42C30">
        <w:rPr>
          <w:sz w:val="22"/>
          <w:szCs w:val="22"/>
        </w:rPr>
        <w:t>a</w:t>
      </w:r>
      <w:r w:rsidRPr="00D42C30">
        <w:rPr>
          <w:sz w:val="22"/>
          <w:szCs w:val="22"/>
        </w:rPr>
        <w:t>ging:</w:t>
      </w:r>
    </w:p>
    <w:p w:rsidR="00483181" w:rsidRPr="00D42C30" w:rsidRDefault="00483181" w:rsidP="006E6E7A">
      <w:pPr>
        <w:numPr>
          <w:ilvl w:val="0"/>
          <w:numId w:val="30"/>
        </w:numPr>
        <w:jc w:val="both"/>
        <w:rPr>
          <w:sz w:val="22"/>
          <w:szCs w:val="22"/>
        </w:rPr>
      </w:pPr>
      <w:r w:rsidRPr="00D42C30">
        <w:rPr>
          <w:sz w:val="22"/>
          <w:szCs w:val="22"/>
        </w:rPr>
        <w:t>West Vlaanderen: 26,5 VTE;</w:t>
      </w:r>
    </w:p>
    <w:p w:rsidR="00483181" w:rsidRPr="00D42C30" w:rsidRDefault="00483181" w:rsidP="006E6E7A">
      <w:pPr>
        <w:numPr>
          <w:ilvl w:val="0"/>
          <w:numId w:val="30"/>
        </w:numPr>
        <w:jc w:val="both"/>
        <w:rPr>
          <w:sz w:val="22"/>
          <w:szCs w:val="22"/>
        </w:rPr>
      </w:pPr>
      <w:r w:rsidRPr="00D42C30">
        <w:rPr>
          <w:sz w:val="22"/>
          <w:szCs w:val="22"/>
        </w:rPr>
        <w:t>Oost-Vlaanderen: 24,8 VTE;</w:t>
      </w:r>
    </w:p>
    <w:p w:rsidR="00483181" w:rsidRPr="00D42C30" w:rsidRDefault="00483181" w:rsidP="006E6E7A">
      <w:pPr>
        <w:numPr>
          <w:ilvl w:val="0"/>
          <w:numId w:val="30"/>
        </w:numPr>
        <w:jc w:val="both"/>
        <w:rPr>
          <w:sz w:val="22"/>
          <w:szCs w:val="22"/>
        </w:rPr>
      </w:pPr>
      <w:r w:rsidRPr="00D42C30">
        <w:rPr>
          <w:sz w:val="22"/>
          <w:szCs w:val="22"/>
        </w:rPr>
        <w:t>Antwerpen: 24,8 VTE;</w:t>
      </w:r>
    </w:p>
    <w:p w:rsidR="00483181" w:rsidRPr="00D42C30" w:rsidRDefault="00483181" w:rsidP="006E6E7A">
      <w:pPr>
        <w:numPr>
          <w:ilvl w:val="0"/>
          <w:numId w:val="30"/>
        </w:numPr>
        <w:jc w:val="both"/>
        <w:rPr>
          <w:sz w:val="22"/>
          <w:szCs w:val="22"/>
        </w:rPr>
      </w:pPr>
      <w:r w:rsidRPr="00D42C30">
        <w:rPr>
          <w:sz w:val="22"/>
          <w:szCs w:val="22"/>
        </w:rPr>
        <w:t>Limburg: 11,8 VTE (plus 4 gedet</w:t>
      </w:r>
      <w:r w:rsidRPr="00D42C30">
        <w:rPr>
          <w:sz w:val="22"/>
          <w:szCs w:val="22"/>
        </w:rPr>
        <w:t>a</w:t>
      </w:r>
      <w:r w:rsidRPr="00D42C30">
        <w:rPr>
          <w:sz w:val="22"/>
          <w:szCs w:val="22"/>
        </w:rPr>
        <w:t>cheerden vanuit POM en 2 vanuit VDAB);</w:t>
      </w:r>
    </w:p>
    <w:p w:rsidR="00483181" w:rsidRPr="00D42C30" w:rsidRDefault="00483181" w:rsidP="006E6E7A">
      <w:pPr>
        <w:numPr>
          <w:ilvl w:val="0"/>
          <w:numId w:val="30"/>
        </w:numPr>
        <w:jc w:val="both"/>
        <w:rPr>
          <w:sz w:val="22"/>
          <w:szCs w:val="22"/>
        </w:rPr>
      </w:pPr>
      <w:r w:rsidRPr="00D42C30">
        <w:rPr>
          <w:sz w:val="22"/>
          <w:szCs w:val="22"/>
        </w:rPr>
        <w:t xml:space="preserve">Vlaams Brabant: 12,9 VTE. </w:t>
      </w:r>
    </w:p>
    <w:p w:rsidR="00483181" w:rsidRPr="00D42C30" w:rsidRDefault="00483181" w:rsidP="006E6E7A">
      <w:pPr>
        <w:jc w:val="both"/>
        <w:rPr>
          <w:sz w:val="22"/>
          <w:szCs w:val="22"/>
        </w:rPr>
      </w:pPr>
    </w:p>
    <w:p w:rsidR="00483181" w:rsidRPr="00D42C30" w:rsidRDefault="00483181" w:rsidP="00ED0A1D">
      <w:pPr>
        <w:ind w:left="426"/>
        <w:jc w:val="both"/>
        <w:rPr>
          <w:sz w:val="22"/>
          <w:szCs w:val="22"/>
        </w:rPr>
      </w:pPr>
      <w:r w:rsidRPr="00D42C30">
        <w:rPr>
          <w:sz w:val="22"/>
          <w:szCs w:val="22"/>
        </w:rPr>
        <w:t>Het betreft de totale personeelsbezetting van de ERSV’s, die dus slecht voor een deel vanuit de basissubsidies betaald wordt zoals ter beschikking gesteld vanuit de Vlaamse overheid. Ook de overige financieringskanalen van de ERSV’s worden hiervoor gebruikt. Deze personeel</w:t>
      </w:r>
      <w:r w:rsidRPr="00D42C30">
        <w:rPr>
          <w:sz w:val="22"/>
          <w:szCs w:val="22"/>
        </w:rPr>
        <w:t>s</w:t>
      </w:r>
      <w:r w:rsidRPr="00D42C30">
        <w:rPr>
          <w:sz w:val="22"/>
          <w:szCs w:val="22"/>
        </w:rPr>
        <w:t>bezetting omvat dus zowel de coördinatoren, de stafmedewerkers arbeidsmarktbeleid, de 43 projectontwi</w:t>
      </w:r>
      <w:r w:rsidRPr="00D42C30">
        <w:rPr>
          <w:sz w:val="22"/>
          <w:szCs w:val="22"/>
        </w:rPr>
        <w:t>k</w:t>
      </w:r>
      <w:r w:rsidRPr="00D42C30">
        <w:rPr>
          <w:sz w:val="22"/>
          <w:szCs w:val="22"/>
        </w:rPr>
        <w:t>kelaars EAD en Leeftijd &amp; Werk, de stafmedewerkers economie als de administratieve onde</w:t>
      </w:r>
      <w:r w:rsidRPr="00D42C30">
        <w:rPr>
          <w:sz w:val="22"/>
          <w:szCs w:val="22"/>
        </w:rPr>
        <w:t>r</w:t>
      </w:r>
      <w:r w:rsidRPr="00D42C30">
        <w:rPr>
          <w:sz w:val="22"/>
          <w:szCs w:val="22"/>
        </w:rPr>
        <w:t>steuners.</w:t>
      </w:r>
    </w:p>
    <w:p w:rsidR="00483181" w:rsidRPr="00D42C30" w:rsidRDefault="00483181" w:rsidP="006E6E7A">
      <w:pPr>
        <w:pStyle w:val="StandaardSV"/>
        <w:rPr>
          <w:szCs w:val="22"/>
        </w:rPr>
      </w:pPr>
    </w:p>
    <w:p w:rsidR="00483181" w:rsidRDefault="00483181" w:rsidP="00ED0A1D">
      <w:pPr>
        <w:pStyle w:val="StandaardSV"/>
        <w:ind w:left="426" w:hanging="426"/>
      </w:pPr>
      <w:r w:rsidRPr="00D42C30">
        <w:rPr>
          <w:szCs w:val="22"/>
        </w:rPr>
        <w:t>3.</w:t>
      </w:r>
      <w:r w:rsidRPr="00D42C30">
        <w:rPr>
          <w:szCs w:val="22"/>
        </w:rPr>
        <w:tab/>
        <w:t>Onderstaande tabel werd gedistilleerd op basis van het werkjaar 2008, zoals gecontroleerd einde</w:t>
      </w:r>
      <w:r>
        <w:t xml:space="preserve"> 2009. De controleverslagen voor het werkjaar 2009 zijn nog niet voor alle ERSV’s binnen zodat het de meest recente beschikbare gegevens betreft. Normaal gesproken kan dergelijke tabel o</w:t>
      </w:r>
      <w:r>
        <w:t>p</w:t>
      </w:r>
      <w:r>
        <w:t>nieuw gemaakt worden voor het werkjaar 2009 einde 2010. Overfinanciering is mogelijk aang</w:t>
      </w:r>
      <w:r>
        <w:t>e</w:t>
      </w:r>
      <w:r>
        <w:t>zien de ERSV’s inkomsten kunnen krijgen vanuit verschillende bronnen. In dat geval bouwen de ERSV’s reserves op.</w:t>
      </w:r>
    </w:p>
    <w:p w:rsidR="00483181" w:rsidRDefault="00483181" w:rsidP="00A13631"/>
    <w:tbl>
      <w:tblPr>
        <w:tblW w:w="5185" w:type="pct"/>
        <w:tblInd w:w="7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1382"/>
        <w:gridCol w:w="1142"/>
        <w:gridCol w:w="1156"/>
        <w:gridCol w:w="1183"/>
        <w:gridCol w:w="932"/>
        <w:gridCol w:w="1137"/>
        <w:gridCol w:w="1016"/>
        <w:gridCol w:w="1684"/>
      </w:tblGrid>
      <w:tr w:rsidR="00483181" w:rsidRPr="00755091" w:rsidTr="006E6E7A">
        <w:tc>
          <w:tcPr>
            <w:tcW w:w="717" w:type="pct"/>
          </w:tcPr>
          <w:p w:rsidR="00483181" w:rsidRPr="00755091" w:rsidRDefault="00483181" w:rsidP="00AF072E">
            <w:pPr>
              <w:jc w:val="both"/>
              <w:rPr>
                <w:rFonts w:cs="Arial"/>
                <w:b/>
                <w:sz w:val="20"/>
              </w:rPr>
            </w:pPr>
            <w:r w:rsidRPr="00755091">
              <w:rPr>
                <w:rFonts w:cs="Arial"/>
                <w:b/>
                <w:sz w:val="20"/>
              </w:rPr>
              <w:t>Werkjaar 2008</w:t>
            </w:r>
          </w:p>
        </w:tc>
        <w:tc>
          <w:tcPr>
            <w:tcW w:w="2881" w:type="pct"/>
            <w:gridSpan w:val="5"/>
          </w:tcPr>
          <w:p w:rsidR="00483181" w:rsidRPr="00755091" w:rsidRDefault="00483181" w:rsidP="00AF072E">
            <w:pPr>
              <w:jc w:val="both"/>
              <w:rPr>
                <w:rFonts w:cs="Arial"/>
                <w:b/>
                <w:sz w:val="20"/>
              </w:rPr>
            </w:pPr>
            <w:r w:rsidRPr="00755091">
              <w:rPr>
                <w:rFonts w:cs="Arial"/>
                <w:b/>
                <w:sz w:val="20"/>
              </w:rPr>
              <w:t>Inkomsten</w:t>
            </w:r>
          </w:p>
        </w:tc>
        <w:tc>
          <w:tcPr>
            <w:tcW w:w="527" w:type="pct"/>
          </w:tcPr>
          <w:p w:rsidR="00483181" w:rsidRPr="00755091" w:rsidRDefault="00483181" w:rsidP="00D42C30">
            <w:pPr>
              <w:jc w:val="right"/>
              <w:rPr>
                <w:rFonts w:cs="Arial"/>
                <w:b/>
                <w:sz w:val="20"/>
              </w:rPr>
            </w:pPr>
            <w:r w:rsidRPr="00755091">
              <w:rPr>
                <w:rFonts w:cs="Arial"/>
                <w:b/>
                <w:sz w:val="20"/>
              </w:rPr>
              <w:t>Uitgaven</w:t>
            </w:r>
          </w:p>
        </w:tc>
        <w:tc>
          <w:tcPr>
            <w:tcW w:w="874" w:type="pct"/>
          </w:tcPr>
          <w:p w:rsidR="00483181" w:rsidRPr="00755091" w:rsidRDefault="00483181" w:rsidP="00D42C30">
            <w:pPr>
              <w:jc w:val="right"/>
              <w:rPr>
                <w:rFonts w:cs="Arial"/>
                <w:b/>
                <w:sz w:val="20"/>
              </w:rPr>
            </w:pPr>
            <w:r w:rsidRPr="00755091">
              <w:rPr>
                <w:rFonts w:cs="Arial"/>
                <w:b/>
                <w:sz w:val="20"/>
              </w:rPr>
              <w:t>Overfinanciering</w:t>
            </w:r>
          </w:p>
        </w:tc>
      </w:tr>
      <w:tr w:rsidR="00483181" w:rsidRPr="00755091" w:rsidTr="006E6E7A">
        <w:tc>
          <w:tcPr>
            <w:tcW w:w="717" w:type="pct"/>
          </w:tcPr>
          <w:p w:rsidR="00483181" w:rsidRPr="00755091" w:rsidRDefault="00483181" w:rsidP="00AF072E">
            <w:pPr>
              <w:jc w:val="both"/>
              <w:rPr>
                <w:rFonts w:cs="Arial"/>
                <w:b/>
                <w:sz w:val="20"/>
              </w:rPr>
            </w:pPr>
          </w:p>
        </w:tc>
        <w:tc>
          <w:tcPr>
            <w:tcW w:w="593" w:type="pct"/>
          </w:tcPr>
          <w:p w:rsidR="00483181" w:rsidRPr="00755091" w:rsidRDefault="00483181" w:rsidP="00D42C30">
            <w:pPr>
              <w:jc w:val="right"/>
              <w:rPr>
                <w:rFonts w:cs="Arial"/>
                <w:b/>
                <w:sz w:val="20"/>
              </w:rPr>
            </w:pPr>
            <w:r w:rsidRPr="00755091">
              <w:rPr>
                <w:rFonts w:cs="Arial"/>
                <w:b/>
                <w:sz w:val="20"/>
              </w:rPr>
              <w:t>Vlaamse</w:t>
            </w:r>
          </w:p>
          <w:p w:rsidR="00483181" w:rsidRPr="00755091" w:rsidRDefault="00483181" w:rsidP="00D42C30">
            <w:pPr>
              <w:jc w:val="right"/>
              <w:rPr>
                <w:rFonts w:cs="Arial"/>
                <w:b/>
                <w:sz w:val="20"/>
              </w:rPr>
            </w:pPr>
            <w:r w:rsidRPr="00755091">
              <w:rPr>
                <w:rFonts w:cs="Arial"/>
                <w:b/>
                <w:sz w:val="20"/>
              </w:rPr>
              <w:t>overheid</w:t>
            </w:r>
          </w:p>
        </w:tc>
        <w:tc>
          <w:tcPr>
            <w:tcW w:w="600" w:type="pct"/>
          </w:tcPr>
          <w:p w:rsidR="00483181" w:rsidRPr="00755091" w:rsidRDefault="00483181" w:rsidP="00D42C30">
            <w:pPr>
              <w:jc w:val="right"/>
              <w:rPr>
                <w:rFonts w:cs="Arial"/>
                <w:b/>
                <w:sz w:val="20"/>
              </w:rPr>
            </w:pPr>
            <w:r w:rsidRPr="00755091">
              <w:rPr>
                <w:rFonts w:cs="Arial"/>
                <w:b/>
                <w:sz w:val="20"/>
              </w:rPr>
              <w:t>Provincie</w:t>
            </w:r>
          </w:p>
        </w:tc>
        <w:tc>
          <w:tcPr>
            <w:tcW w:w="614" w:type="pct"/>
          </w:tcPr>
          <w:p w:rsidR="00483181" w:rsidRPr="00755091" w:rsidRDefault="00483181" w:rsidP="00D42C30">
            <w:pPr>
              <w:jc w:val="right"/>
              <w:rPr>
                <w:rFonts w:cs="Arial"/>
                <w:b/>
                <w:sz w:val="20"/>
              </w:rPr>
            </w:pPr>
            <w:r w:rsidRPr="00755091">
              <w:rPr>
                <w:rFonts w:cs="Arial"/>
                <w:b/>
                <w:sz w:val="20"/>
              </w:rPr>
              <w:t>Gemeenten</w:t>
            </w:r>
          </w:p>
        </w:tc>
        <w:tc>
          <w:tcPr>
            <w:tcW w:w="484" w:type="pct"/>
          </w:tcPr>
          <w:p w:rsidR="00483181" w:rsidRPr="00755091" w:rsidRDefault="00483181" w:rsidP="00D42C30">
            <w:pPr>
              <w:jc w:val="right"/>
              <w:rPr>
                <w:rFonts w:cs="Arial"/>
                <w:b/>
                <w:sz w:val="20"/>
              </w:rPr>
            </w:pPr>
            <w:r w:rsidRPr="00755091">
              <w:rPr>
                <w:rFonts w:cs="Arial"/>
                <w:b/>
                <w:sz w:val="20"/>
              </w:rPr>
              <w:t>Andere</w:t>
            </w:r>
          </w:p>
        </w:tc>
        <w:tc>
          <w:tcPr>
            <w:tcW w:w="590" w:type="pct"/>
          </w:tcPr>
          <w:p w:rsidR="00483181" w:rsidRPr="00755091" w:rsidRDefault="00483181" w:rsidP="00D42C30">
            <w:pPr>
              <w:jc w:val="right"/>
              <w:rPr>
                <w:rFonts w:cs="Arial"/>
                <w:b/>
                <w:sz w:val="20"/>
              </w:rPr>
            </w:pPr>
            <w:r w:rsidRPr="00755091">
              <w:rPr>
                <w:rFonts w:cs="Arial"/>
                <w:b/>
                <w:sz w:val="20"/>
              </w:rPr>
              <w:t>Totaal</w:t>
            </w:r>
          </w:p>
        </w:tc>
        <w:tc>
          <w:tcPr>
            <w:tcW w:w="527" w:type="pct"/>
          </w:tcPr>
          <w:p w:rsidR="00483181" w:rsidRPr="00755091" w:rsidRDefault="00483181" w:rsidP="00D42C30">
            <w:pPr>
              <w:jc w:val="right"/>
              <w:rPr>
                <w:rFonts w:cs="Arial"/>
                <w:b/>
                <w:sz w:val="20"/>
              </w:rPr>
            </w:pPr>
            <w:r w:rsidRPr="00755091">
              <w:rPr>
                <w:rFonts w:cs="Arial"/>
                <w:b/>
                <w:sz w:val="20"/>
              </w:rPr>
              <w:t>Totaal</w:t>
            </w:r>
          </w:p>
        </w:tc>
        <w:tc>
          <w:tcPr>
            <w:tcW w:w="874" w:type="pct"/>
          </w:tcPr>
          <w:p w:rsidR="00483181" w:rsidRPr="00755091" w:rsidRDefault="00483181" w:rsidP="00D42C30">
            <w:pPr>
              <w:jc w:val="right"/>
              <w:rPr>
                <w:rFonts w:cs="Arial"/>
                <w:b/>
                <w:sz w:val="20"/>
              </w:rPr>
            </w:pPr>
          </w:p>
        </w:tc>
      </w:tr>
      <w:tr w:rsidR="00483181" w:rsidRPr="00755091" w:rsidTr="006E6E7A">
        <w:tc>
          <w:tcPr>
            <w:tcW w:w="717" w:type="pct"/>
          </w:tcPr>
          <w:p w:rsidR="00483181" w:rsidRPr="00755091" w:rsidRDefault="00483181" w:rsidP="00AF072E">
            <w:pPr>
              <w:jc w:val="both"/>
              <w:rPr>
                <w:rFonts w:cs="Arial"/>
                <w:b/>
                <w:sz w:val="20"/>
              </w:rPr>
            </w:pPr>
            <w:r w:rsidRPr="00755091">
              <w:rPr>
                <w:rFonts w:cs="Arial"/>
                <w:b/>
                <w:sz w:val="20"/>
              </w:rPr>
              <w:t>West-Vlaanderen</w:t>
            </w:r>
          </w:p>
        </w:tc>
        <w:tc>
          <w:tcPr>
            <w:tcW w:w="593" w:type="pct"/>
          </w:tcPr>
          <w:p w:rsidR="00483181" w:rsidRPr="00755091" w:rsidRDefault="00483181" w:rsidP="00D42C30">
            <w:pPr>
              <w:jc w:val="right"/>
              <w:rPr>
                <w:rFonts w:cs="Arial"/>
                <w:sz w:val="20"/>
              </w:rPr>
            </w:pPr>
            <w:r w:rsidRPr="00755091">
              <w:rPr>
                <w:rFonts w:cs="Arial"/>
                <w:sz w:val="20"/>
              </w:rPr>
              <w:t>1.292.743</w:t>
            </w:r>
          </w:p>
        </w:tc>
        <w:tc>
          <w:tcPr>
            <w:tcW w:w="600" w:type="pct"/>
          </w:tcPr>
          <w:p w:rsidR="00483181" w:rsidRPr="00755091" w:rsidRDefault="00483181" w:rsidP="00D42C30">
            <w:pPr>
              <w:jc w:val="right"/>
              <w:rPr>
                <w:rFonts w:cs="Arial"/>
                <w:sz w:val="20"/>
              </w:rPr>
            </w:pPr>
            <w:r w:rsidRPr="00755091">
              <w:rPr>
                <w:rFonts w:cs="Arial"/>
                <w:sz w:val="20"/>
              </w:rPr>
              <w:t xml:space="preserve">706.125 </w:t>
            </w:r>
          </w:p>
        </w:tc>
        <w:tc>
          <w:tcPr>
            <w:tcW w:w="614" w:type="pct"/>
          </w:tcPr>
          <w:p w:rsidR="00483181" w:rsidRPr="00755091" w:rsidRDefault="00483181" w:rsidP="00D42C30">
            <w:pPr>
              <w:jc w:val="right"/>
              <w:rPr>
                <w:rFonts w:cs="Arial"/>
                <w:sz w:val="20"/>
              </w:rPr>
            </w:pPr>
            <w:r w:rsidRPr="00755091">
              <w:rPr>
                <w:rFonts w:cs="Arial"/>
                <w:sz w:val="20"/>
              </w:rPr>
              <w:t>55.707</w:t>
            </w:r>
            <w:r w:rsidRPr="00755091">
              <w:rPr>
                <w:rStyle w:val="FootnoteReference"/>
                <w:rFonts w:cs="Arial"/>
                <w:sz w:val="20"/>
              </w:rPr>
              <w:footnoteReference w:id="2"/>
            </w:r>
          </w:p>
        </w:tc>
        <w:tc>
          <w:tcPr>
            <w:tcW w:w="484" w:type="pct"/>
          </w:tcPr>
          <w:p w:rsidR="00483181" w:rsidRPr="00755091" w:rsidRDefault="00483181" w:rsidP="00D42C30">
            <w:pPr>
              <w:tabs>
                <w:tab w:val="center" w:pos="4111"/>
              </w:tabs>
              <w:jc w:val="right"/>
              <w:rPr>
                <w:rFonts w:cs="Arial"/>
                <w:sz w:val="20"/>
              </w:rPr>
            </w:pPr>
            <w:r w:rsidRPr="00755091">
              <w:rPr>
                <w:rFonts w:cs="Arial"/>
                <w:sz w:val="20"/>
              </w:rPr>
              <w:t>66.935</w:t>
            </w:r>
            <w:r w:rsidRPr="00755091">
              <w:rPr>
                <w:rStyle w:val="FootnoteReference"/>
                <w:rFonts w:cs="Arial"/>
                <w:sz w:val="20"/>
              </w:rPr>
              <w:footnoteReference w:id="3"/>
            </w:r>
          </w:p>
          <w:p w:rsidR="00483181" w:rsidRPr="00755091" w:rsidRDefault="00483181" w:rsidP="00D42C30">
            <w:pPr>
              <w:tabs>
                <w:tab w:val="center" w:pos="4111"/>
              </w:tabs>
              <w:jc w:val="right"/>
              <w:rPr>
                <w:rFonts w:cs="Arial"/>
                <w:sz w:val="20"/>
              </w:rPr>
            </w:pPr>
            <w:r w:rsidRPr="00755091">
              <w:rPr>
                <w:rFonts w:cs="Arial"/>
                <w:sz w:val="20"/>
              </w:rPr>
              <w:t>18.092</w:t>
            </w:r>
            <w:r w:rsidRPr="00755091">
              <w:rPr>
                <w:rStyle w:val="FootnoteReference"/>
                <w:rFonts w:cs="Arial"/>
                <w:sz w:val="20"/>
              </w:rPr>
              <w:footnoteReference w:id="4"/>
            </w:r>
          </w:p>
          <w:p w:rsidR="00483181" w:rsidRPr="00755091" w:rsidRDefault="00483181" w:rsidP="00D42C30">
            <w:pPr>
              <w:tabs>
                <w:tab w:val="center" w:pos="4111"/>
              </w:tabs>
              <w:jc w:val="right"/>
              <w:rPr>
                <w:rFonts w:cs="Arial"/>
                <w:sz w:val="20"/>
              </w:rPr>
            </w:pPr>
            <w:r w:rsidRPr="00755091">
              <w:rPr>
                <w:rFonts w:cs="Arial"/>
                <w:sz w:val="20"/>
              </w:rPr>
              <w:t>366</w:t>
            </w:r>
            <w:r w:rsidRPr="00755091">
              <w:rPr>
                <w:rStyle w:val="FootnoteReference"/>
                <w:rFonts w:cs="Arial"/>
                <w:sz w:val="20"/>
              </w:rPr>
              <w:footnoteReference w:id="5"/>
            </w:r>
          </w:p>
          <w:p w:rsidR="00483181" w:rsidRPr="00755091" w:rsidRDefault="00483181" w:rsidP="00D42C30">
            <w:pPr>
              <w:tabs>
                <w:tab w:val="center" w:pos="4111"/>
              </w:tabs>
              <w:jc w:val="right"/>
              <w:rPr>
                <w:rFonts w:cs="Arial"/>
                <w:sz w:val="20"/>
              </w:rPr>
            </w:pPr>
            <w:r w:rsidRPr="00755091">
              <w:rPr>
                <w:rFonts w:cs="Arial"/>
                <w:sz w:val="20"/>
              </w:rPr>
              <w:t>56.143</w:t>
            </w:r>
            <w:r w:rsidRPr="00755091">
              <w:rPr>
                <w:rStyle w:val="FootnoteReference"/>
                <w:rFonts w:cs="Arial"/>
                <w:sz w:val="20"/>
              </w:rPr>
              <w:footnoteReference w:id="6"/>
            </w:r>
          </w:p>
        </w:tc>
        <w:tc>
          <w:tcPr>
            <w:tcW w:w="590" w:type="pct"/>
          </w:tcPr>
          <w:p w:rsidR="00483181" w:rsidRPr="00755091" w:rsidRDefault="00483181" w:rsidP="00D42C30">
            <w:pPr>
              <w:jc w:val="right"/>
              <w:rPr>
                <w:rFonts w:cs="Arial"/>
                <w:sz w:val="20"/>
              </w:rPr>
            </w:pPr>
            <w:r w:rsidRPr="00755091">
              <w:rPr>
                <w:rFonts w:cs="Arial"/>
                <w:sz w:val="20"/>
              </w:rPr>
              <w:t>2.110.719</w:t>
            </w:r>
          </w:p>
        </w:tc>
        <w:tc>
          <w:tcPr>
            <w:tcW w:w="527" w:type="pct"/>
          </w:tcPr>
          <w:p w:rsidR="00483181" w:rsidRPr="00755091" w:rsidRDefault="00483181" w:rsidP="00D42C30">
            <w:pPr>
              <w:jc w:val="right"/>
              <w:rPr>
                <w:rFonts w:cs="Arial"/>
                <w:sz w:val="20"/>
              </w:rPr>
            </w:pPr>
            <w:r w:rsidRPr="00755091">
              <w:rPr>
                <w:rFonts w:cs="Arial"/>
                <w:sz w:val="20"/>
              </w:rPr>
              <w:t>1.728.878</w:t>
            </w:r>
          </w:p>
        </w:tc>
        <w:tc>
          <w:tcPr>
            <w:tcW w:w="874" w:type="pct"/>
          </w:tcPr>
          <w:p w:rsidR="00483181" w:rsidRPr="00755091" w:rsidRDefault="00483181" w:rsidP="00D42C30">
            <w:pPr>
              <w:jc w:val="right"/>
              <w:rPr>
                <w:rFonts w:cs="Arial"/>
                <w:sz w:val="20"/>
              </w:rPr>
            </w:pPr>
            <w:r w:rsidRPr="00755091">
              <w:rPr>
                <w:rFonts w:cs="Arial"/>
                <w:sz w:val="20"/>
              </w:rPr>
              <w:t>381.840</w:t>
            </w:r>
          </w:p>
        </w:tc>
      </w:tr>
      <w:tr w:rsidR="00483181" w:rsidRPr="00755091" w:rsidTr="006E6E7A">
        <w:tc>
          <w:tcPr>
            <w:tcW w:w="717" w:type="pct"/>
          </w:tcPr>
          <w:p w:rsidR="00483181" w:rsidRPr="00755091" w:rsidRDefault="00483181" w:rsidP="00AF072E">
            <w:pPr>
              <w:jc w:val="both"/>
              <w:rPr>
                <w:rFonts w:cs="Arial"/>
                <w:b/>
                <w:sz w:val="20"/>
              </w:rPr>
            </w:pPr>
            <w:r w:rsidRPr="00755091">
              <w:rPr>
                <w:rFonts w:cs="Arial"/>
                <w:b/>
                <w:sz w:val="20"/>
              </w:rPr>
              <w:t>Oost-Vlaanderen</w:t>
            </w:r>
          </w:p>
        </w:tc>
        <w:tc>
          <w:tcPr>
            <w:tcW w:w="593" w:type="pct"/>
          </w:tcPr>
          <w:p w:rsidR="00483181" w:rsidRPr="00755091" w:rsidRDefault="00483181" w:rsidP="00D42C30">
            <w:pPr>
              <w:jc w:val="right"/>
              <w:rPr>
                <w:rFonts w:cs="Arial"/>
                <w:sz w:val="20"/>
              </w:rPr>
            </w:pPr>
            <w:r w:rsidRPr="00755091">
              <w:rPr>
                <w:rFonts w:cs="Arial"/>
                <w:sz w:val="20"/>
              </w:rPr>
              <w:t>1.276.706</w:t>
            </w:r>
          </w:p>
        </w:tc>
        <w:tc>
          <w:tcPr>
            <w:tcW w:w="600" w:type="pct"/>
          </w:tcPr>
          <w:p w:rsidR="00483181" w:rsidRPr="00755091" w:rsidRDefault="00483181" w:rsidP="00D42C30">
            <w:pPr>
              <w:jc w:val="right"/>
              <w:rPr>
                <w:rFonts w:cs="Arial"/>
                <w:sz w:val="20"/>
              </w:rPr>
            </w:pPr>
            <w:r w:rsidRPr="00755091">
              <w:rPr>
                <w:rFonts w:cs="Arial"/>
                <w:sz w:val="20"/>
              </w:rPr>
              <w:t>135.605</w:t>
            </w:r>
            <w:r w:rsidRPr="00755091">
              <w:rPr>
                <w:rStyle w:val="FootnoteReference"/>
                <w:rFonts w:cs="Arial"/>
                <w:sz w:val="20"/>
              </w:rPr>
              <w:footnoteReference w:id="7"/>
            </w:r>
          </w:p>
        </w:tc>
        <w:tc>
          <w:tcPr>
            <w:tcW w:w="614" w:type="pct"/>
          </w:tcPr>
          <w:p w:rsidR="00483181" w:rsidRPr="00755091" w:rsidRDefault="00483181" w:rsidP="00D42C30">
            <w:pPr>
              <w:jc w:val="right"/>
              <w:rPr>
                <w:rFonts w:cs="Arial"/>
                <w:sz w:val="20"/>
              </w:rPr>
            </w:pPr>
            <w:r w:rsidRPr="00755091">
              <w:rPr>
                <w:rFonts w:cs="Arial"/>
                <w:sz w:val="20"/>
              </w:rPr>
              <w:t>62.799</w:t>
            </w:r>
            <w:r w:rsidRPr="00755091">
              <w:rPr>
                <w:rStyle w:val="FootnoteReference"/>
                <w:rFonts w:cs="Arial"/>
                <w:sz w:val="20"/>
              </w:rPr>
              <w:footnoteReference w:id="8"/>
            </w:r>
          </w:p>
        </w:tc>
        <w:tc>
          <w:tcPr>
            <w:tcW w:w="484" w:type="pct"/>
          </w:tcPr>
          <w:p w:rsidR="00483181" w:rsidRPr="00755091" w:rsidRDefault="00483181" w:rsidP="00D42C30">
            <w:pPr>
              <w:jc w:val="right"/>
              <w:rPr>
                <w:rFonts w:cs="Arial"/>
                <w:sz w:val="20"/>
              </w:rPr>
            </w:pPr>
            <w:r w:rsidRPr="00755091">
              <w:rPr>
                <w:rFonts w:cs="Arial"/>
                <w:sz w:val="20"/>
              </w:rPr>
              <w:t>61.692</w:t>
            </w:r>
            <w:r w:rsidRPr="00755091">
              <w:rPr>
                <w:rStyle w:val="FootnoteReference"/>
                <w:rFonts w:cs="Arial"/>
                <w:sz w:val="20"/>
              </w:rPr>
              <w:footnoteReference w:id="9"/>
            </w:r>
          </w:p>
        </w:tc>
        <w:tc>
          <w:tcPr>
            <w:tcW w:w="590" w:type="pct"/>
          </w:tcPr>
          <w:p w:rsidR="00483181" w:rsidRPr="00755091" w:rsidRDefault="00483181" w:rsidP="00D42C30">
            <w:pPr>
              <w:jc w:val="right"/>
              <w:rPr>
                <w:rFonts w:cs="Arial"/>
                <w:sz w:val="20"/>
              </w:rPr>
            </w:pPr>
            <w:r w:rsidRPr="00755091">
              <w:rPr>
                <w:rFonts w:cs="Arial"/>
                <w:sz w:val="20"/>
              </w:rPr>
              <w:t>1.536.804</w:t>
            </w:r>
          </w:p>
        </w:tc>
        <w:tc>
          <w:tcPr>
            <w:tcW w:w="527" w:type="pct"/>
          </w:tcPr>
          <w:p w:rsidR="00483181" w:rsidRPr="00755091" w:rsidRDefault="00483181" w:rsidP="00D42C30">
            <w:pPr>
              <w:jc w:val="right"/>
              <w:rPr>
                <w:rFonts w:cs="Arial"/>
                <w:sz w:val="20"/>
              </w:rPr>
            </w:pPr>
            <w:r w:rsidRPr="00755091">
              <w:rPr>
                <w:rFonts w:cs="Arial"/>
                <w:sz w:val="20"/>
              </w:rPr>
              <w:t>1.429.906</w:t>
            </w:r>
          </w:p>
        </w:tc>
        <w:tc>
          <w:tcPr>
            <w:tcW w:w="874" w:type="pct"/>
          </w:tcPr>
          <w:p w:rsidR="00483181" w:rsidRPr="00755091" w:rsidRDefault="00483181" w:rsidP="00D42C30">
            <w:pPr>
              <w:jc w:val="right"/>
              <w:rPr>
                <w:rFonts w:cs="Arial"/>
                <w:sz w:val="20"/>
              </w:rPr>
            </w:pPr>
            <w:r w:rsidRPr="00755091">
              <w:rPr>
                <w:rFonts w:cs="Arial"/>
                <w:sz w:val="20"/>
              </w:rPr>
              <w:t>188.200</w:t>
            </w:r>
          </w:p>
        </w:tc>
      </w:tr>
      <w:tr w:rsidR="00483181" w:rsidRPr="00755091" w:rsidTr="006E6E7A">
        <w:tc>
          <w:tcPr>
            <w:tcW w:w="717" w:type="pct"/>
          </w:tcPr>
          <w:p w:rsidR="00483181" w:rsidRPr="00755091" w:rsidRDefault="00483181" w:rsidP="00AF072E">
            <w:pPr>
              <w:jc w:val="both"/>
              <w:rPr>
                <w:rFonts w:cs="Arial"/>
                <w:b/>
                <w:sz w:val="20"/>
              </w:rPr>
            </w:pPr>
            <w:r w:rsidRPr="00755091">
              <w:rPr>
                <w:rFonts w:cs="Arial"/>
                <w:b/>
                <w:sz w:val="20"/>
              </w:rPr>
              <w:t>Limburg</w:t>
            </w:r>
          </w:p>
        </w:tc>
        <w:tc>
          <w:tcPr>
            <w:tcW w:w="593" w:type="pct"/>
          </w:tcPr>
          <w:p w:rsidR="00483181" w:rsidRPr="00755091" w:rsidRDefault="00483181" w:rsidP="00D42C30">
            <w:pPr>
              <w:jc w:val="right"/>
              <w:rPr>
                <w:rFonts w:cs="Arial"/>
                <w:sz w:val="20"/>
              </w:rPr>
            </w:pPr>
            <w:r w:rsidRPr="00755091">
              <w:rPr>
                <w:rFonts w:cs="Arial"/>
                <w:sz w:val="20"/>
              </w:rPr>
              <w:t>944.421</w:t>
            </w:r>
          </w:p>
        </w:tc>
        <w:tc>
          <w:tcPr>
            <w:tcW w:w="600" w:type="pct"/>
          </w:tcPr>
          <w:p w:rsidR="00483181" w:rsidRPr="00755091" w:rsidRDefault="00483181" w:rsidP="00D42C30">
            <w:pPr>
              <w:jc w:val="right"/>
              <w:rPr>
                <w:rFonts w:cs="Arial"/>
                <w:sz w:val="20"/>
              </w:rPr>
            </w:pPr>
            <w:r w:rsidRPr="00755091">
              <w:rPr>
                <w:rFonts w:cs="Arial"/>
                <w:sz w:val="20"/>
              </w:rPr>
              <w:t>205.872</w:t>
            </w:r>
          </w:p>
        </w:tc>
        <w:tc>
          <w:tcPr>
            <w:tcW w:w="614" w:type="pct"/>
          </w:tcPr>
          <w:p w:rsidR="00483181" w:rsidRPr="00755091" w:rsidRDefault="00483181" w:rsidP="00D42C30">
            <w:pPr>
              <w:jc w:val="right"/>
              <w:rPr>
                <w:rFonts w:cs="Arial"/>
                <w:sz w:val="20"/>
              </w:rPr>
            </w:pPr>
            <w:r w:rsidRPr="00755091">
              <w:rPr>
                <w:rFonts w:cs="Arial"/>
                <w:sz w:val="20"/>
              </w:rPr>
              <w:t>216.711</w:t>
            </w:r>
          </w:p>
        </w:tc>
        <w:tc>
          <w:tcPr>
            <w:tcW w:w="484" w:type="pct"/>
          </w:tcPr>
          <w:p w:rsidR="00483181" w:rsidRPr="00755091" w:rsidRDefault="00483181" w:rsidP="00D42C30">
            <w:pPr>
              <w:tabs>
                <w:tab w:val="center" w:pos="4111"/>
              </w:tabs>
              <w:jc w:val="right"/>
              <w:rPr>
                <w:rFonts w:cs="Arial"/>
                <w:sz w:val="20"/>
              </w:rPr>
            </w:pPr>
            <w:r w:rsidRPr="00755091">
              <w:rPr>
                <w:rFonts w:cs="Arial"/>
                <w:sz w:val="20"/>
              </w:rPr>
              <w:t>50.123</w:t>
            </w:r>
            <w:r w:rsidRPr="00755091">
              <w:rPr>
                <w:rStyle w:val="FootnoteReference"/>
                <w:rFonts w:cs="Arial"/>
                <w:sz w:val="20"/>
              </w:rPr>
              <w:footnoteReference w:id="10"/>
            </w:r>
          </w:p>
          <w:p w:rsidR="00483181" w:rsidRPr="00755091" w:rsidRDefault="00483181" w:rsidP="00D42C30">
            <w:pPr>
              <w:tabs>
                <w:tab w:val="center" w:pos="4111"/>
              </w:tabs>
              <w:jc w:val="right"/>
              <w:rPr>
                <w:rFonts w:cs="Arial"/>
                <w:sz w:val="20"/>
              </w:rPr>
            </w:pPr>
            <w:r w:rsidRPr="00755091">
              <w:rPr>
                <w:rFonts w:cs="Arial"/>
                <w:sz w:val="20"/>
              </w:rPr>
              <w:t>313</w:t>
            </w:r>
          </w:p>
        </w:tc>
        <w:tc>
          <w:tcPr>
            <w:tcW w:w="590" w:type="pct"/>
          </w:tcPr>
          <w:p w:rsidR="00483181" w:rsidRPr="00755091" w:rsidRDefault="00483181" w:rsidP="00D42C30">
            <w:pPr>
              <w:jc w:val="right"/>
              <w:rPr>
                <w:rFonts w:cs="Arial"/>
                <w:sz w:val="20"/>
              </w:rPr>
            </w:pPr>
            <w:r w:rsidRPr="00755091">
              <w:rPr>
                <w:rFonts w:cs="Arial"/>
                <w:sz w:val="20"/>
              </w:rPr>
              <w:t>1.417.441</w:t>
            </w:r>
          </w:p>
        </w:tc>
        <w:tc>
          <w:tcPr>
            <w:tcW w:w="527" w:type="pct"/>
          </w:tcPr>
          <w:p w:rsidR="00483181" w:rsidRPr="00755091" w:rsidRDefault="00483181" w:rsidP="00D42C30">
            <w:pPr>
              <w:jc w:val="right"/>
              <w:rPr>
                <w:rFonts w:cs="Arial"/>
                <w:sz w:val="20"/>
              </w:rPr>
            </w:pPr>
            <w:r w:rsidRPr="00755091">
              <w:rPr>
                <w:rFonts w:cs="Arial"/>
                <w:sz w:val="20"/>
              </w:rPr>
              <w:t>1.260.384</w:t>
            </w:r>
          </w:p>
        </w:tc>
        <w:tc>
          <w:tcPr>
            <w:tcW w:w="874" w:type="pct"/>
          </w:tcPr>
          <w:p w:rsidR="00483181" w:rsidRPr="00755091" w:rsidRDefault="00483181" w:rsidP="00D42C30">
            <w:pPr>
              <w:jc w:val="right"/>
              <w:rPr>
                <w:rFonts w:cs="Arial"/>
                <w:sz w:val="20"/>
              </w:rPr>
            </w:pPr>
            <w:r w:rsidRPr="00755091">
              <w:rPr>
                <w:rFonts w:cs="Arial"/>
                <w:sz w:val="20"/>
              </w:rPr>
              <w:t>157.057</w:t>
            </w:r>
          </w:p>
        </w:tc>
      </w:tr>
      <w:tr w:rsidR="00483181" w:rsidRPr="00755091" w:rsidTr="006E6E7A">
        <w:tc>
          <w:tcPr>
            <w:tcW w:w="717" w:type="pct"/>
          </w:tcPr>
          <w:p w:rsidR="00483181" w:rsidRPr="00755091" w:rsidRDefault="00483181" w:rsidP="00AF072E">
            <w:pPr>
              <w:jc w:val="both"/>
              <w:rPr>
                <w:rFonts w:cs="Arial"/>
                <w:b/>
                <w:sz w:val="20"/>
              </w:rPr>
            </w:pPr>
            <w:r w:rsidRPr="00755091">
              <w:rPr>
                <w:rFonts w:cs="Arial"/>
                <w:b/>
                <w:sz w:val="20"/>
              </w:rPr>
              <w:t>Antwerpen</w:t>
            </w:r>
          </w:p>
        </w:tc>
        <w:tc>
          <w:tcPr>
            <w:tcW w:w="593" w:type="pct"/>
          </w:tcPr>
          <w:p w:rsidR="00483181" w:rsidRPr="00755091" w:rsidRDefault="00483181" w:rsidP="00D42C30">
            <w:pPr>
              <w:jc w:val="right"/>
              <w:rPr>
                <w:rFonts w:cs="Arial"/>
                <w:sz w:val="20"/>
              </w:rPr>
            </w:pPr>
            <w:r w:rsidRPr="00755091">
              <w:rPr>
                <w:rFonts w:cs="Arial"/>
                <w:sz w:val="20"/>
              </w:rPr>
              <w:t>1.382.382</w:t>
            </w:r>
          </w:p>
        </w:tc>
        <w:tc>
          <w:tcPr>
            <w:tcW w:w="600" w:type="pct"/>
          </w:tcPr>
          <w:p w:rsidR="00483181" w:rsidRPr="00755091" w:rsidRDefault="00483181" w:rsidP="00D42C30">
            <w:pPr>
              <w:jc w:val="right"/>
              <w:rPr>
                <w:rFonts w:cs="Arial"/>
                <w:sz w:val="20"/>
              </w:rPr>
            </w:pPr>
            <w:r w:rsidRPr="00755091">
              <w:rPr>
                <w:rFonts w:cs="Arial"/>
                <w:sz w:val="20"/>
              </w:rPr>
              <w:t>110.000,</w:t>
            </w:r>
          </w:p>
        </w:tc>
        <w:tc>
          <w:tcPr>
            <w:tcW w:w="614" w:type="pct"/>
          </w:tcPr>
          <w:p w:rsidR="00483181" w:rsidRPr="00755091" w:rsidRDefault="00483181" w:rsidP="00D42C30">
            <w:pPr>
              <w:jc w:val="right"/>
              <w:rPr>
                <w:rFonts w:cs="Arial"/>
                <w:sz w:val="20"/>
              </w:rPr>
            </w:pPr>
            <w:r w:rsidRPr="00755091">
              <w:rPr>
                <w:rFonts w:cs="Arial"/>
                <w:sz w:val="20"/>
              </w:rPr>
              <w:t>0</w:t>
            </w:r>
          </w:p>
        </w:tc>
        <w:tc>
          <w:tcPr>
            <w:tcW w:w="484" w:type="pct"/>
          </w:tcPr>
          <w:p w:rsidR="00483181" w:rsidRPr="00755091" w:rsidRDefault="00483181" w:rsidP="00D42C30">
            <w:pPr>
              <w:jc w:val="right"/>
              <w:rPr>
                <w:rFonts w:cs="Arial"/>
                <w:sz w:val="20"/>
              </w:rPr>
            </w:pPr>
            <w:r w:rsidRPr="00755091">
              <w:rPr>
                <w:rFonts w:cs="Arial"/>
                <w:sz w:val="20"/>
              </w:rPr>
              <w:t>?</w:t>
            </w:r>
          </w:p>
        </w:tc>
        <w:tc>
          <w:tcPr>
            <w:tcW w:w="590" w:type="pct"/>
          </w:tcPr>
          <w:p w:rsidR="00483181" w:rsidRPr="00755091" w:rsidRDefault="00483181" w:rsidP="00D42C30">
            <w:pPr>
              <w:jc w:val="right"/>
              <w:rPr>
                <w:rFonts w:cs="Arial"/>
                <w:sz w:val="20"/>
              </w:rPr>
            </w:pPr>
            <w:r w:rsidRPr="00755091">
              <w:rPr>
                <w:rFonts w:cs="Arial"/>
                <w:sz w:val="20"/>
              </w:rPr>
              <w:t>1.492.382</w:t>
            </w:r>
          </w:p>
        </w:tc>
        <w:tc>
          <w:tcPr>
            <w:tcW w:w="527" w:type="pct"/>
          </w:tcPr>
          <w:p w:rsidR="00483181" w:rsidRPr="00755091" w:rsidRDefault="00483181" w:rsidP="00D42C30">
            <w:pPr>
              <w:jc w:val="right"/>
              <w:rPr>
                <w:rFonts w:cs="Arial"/>
                <w:sz w:val="20"/>
              </w:rPr>
            </w:pPr>
            <w:r w:rsidRPr="00755091">
              <w:rPr>
                <w:rFonts w:cs="Arial"/>
                <w:sz w:val="20"/>
              </w:rPr>
              <w:t>1.445.985</w:t>
            </w:r>
          </w:p>
        </w:tc>
        <w:tc>
          <w:tcPr>
            <w:tcW w:w="874" w:type="pct"/>
          </w:tcPr>
          <w:p w:rsidR="00483181" w:rsidRPr="00755091" w:rsidRDefault="00483181" w:rsidP="00D42C30">
            <w:pPr>
              <w:jc w:val="right"/>
              <w:rPr>
                <w:rFonts w:cs="Arial"/>
                <w:sz w:val="20"/>
              </w:rPr>
            </w:pPr>
            <w:r w:rsidRPr="00755091">
              <w:rPr>
                <w:rFonts w:cs="Arial"/>
                <w:sz w:val="20"/>
              </w:rPr>
              <w:t>63.602</w:t>
            </w:r>
          </w:p>
        </w:tc>
      </w:tr>
      <w:tr w:rsidR="00483181" w:rsidRPr="00755091" w:rsidTr="006E6E7A">
        <w:tc>
          <w:tcPr>
            <w:tcW w:w="717" w:type="pct"/>
          </w:tcPr>
          <w:p w:rsidR="00483181" w:rsidRPr="00755091" w:rsidRDefault="00483181" w:rsidP="00AF072E">
            <w:pPr>
              <w:jc w:val="both"/>
              <w:rPr>
                <w:rFonts w:cs="Arial"/>
                <w:b/>
                <w:sz w:val="20"/>
              </w:rPr>
            </w:pPr>
            <w:r w:rsidRPr="00755091">
              <w:rPr>
                <w:rFonts w:cs="Arial"/>
                <w:b/>
                <w:sz w:val="20"/>
              </w:rPr>
              <w:t>Vlaams-Brabant</w:t>
            </w:r>
          </w:p>
        </w:tc>
        <w:tc>
          <w:tcPr>
            <w:tcW w:w="593" w:type="pct"/>
          </w:tcPr>
          <w:p w:rsidR="00483181" w:rsidRPr="00755091" w:rsidRDefault="00483181" w:rsidP="00D42C30">
            <w:pPr>
              <w:jc w:val="right"/>
              <w:rPr>
                <w:rFonts w:cs="Arial"/>
                <w:sz w:val="20"/>
              </w:rPr>
            </w:pPr>
            <w:r w:rsidRPr="00755091">
              <w:rPr>
                <w:rFonts w:cs="Arial"/>
                <w:sz w:val="20"/>
              </w:rPr>
              <w:t>893.619</w:t>
            </w:r>
            <w:r w:rsidRPr="00755091">
              <w:rPr>
                <w:rStyle w:val="FootnoteReference"/>
                <w:rFonts w:cs="Arial"/>
                <w:sz w:val="20"/>
              </w:rPr>
              <w:footnoteReference w:id="11"/>
            </w:r>
          </w:p>
        </w:tc>
        <w:tc>
          <w:tcPr>
            <w:tcW w:w="600" w:type="pct"/>
          </w:tcPr>
          <w:p w:rsidR="00483181" w:rsidRPr="00755091" w:rsidRDefault="00483181" w:rsidP="00D42C30">
            <w:pPr>
              <w:jc w:val="right"/>
              <w:rPr>
                <w:rFonts w:cs="Arial"/>
                <w:sz w:val="20"/>
              </w:rPr>
            </w:pPr>
            <w:r w:rsidRPr="00755091">
              <w:rPr>
                <w:rFonts w:cs="Arial"/>
                <w:sz w:val="20"/>
              </w:rPr>
              <w:t xml:space="preserve">0 </w:t>
            </w:r>
          </w:p>
        </w:tc>
        <w:tc>
          <w:tcPr>
            <w:tcW w:w="614" w:type="pct"/>
          </w:tcPr>
          <w:p w:rsidR="00483181" w:rsidRPr="00755091" w:rsidRDefault="00483181" w:rsidP="00D42C30">
            <w:pPr>
              <w:jc w:val="right"/>
              <w:rPr>
                <w:rFonts w:cs="Arial"/>
                <w:sz w:val="20"/>
              </w:rPr>
            </w:pPr>
            <w:r w:rsidRPr="00755091">
              <w:rPr>
                <w:rFonts w:cs="Arial"/>
                <w:sz w:val="20"/>
              </w:rPr>
              <w:t xml:space="preserve">0 </w:t>
            </w:r>
          </w:p>
        </w:tc>
        <w:tc>
          <w:tcPr>
            <w:tcW w:w="484" w:type="pct"/>
          </w:tcPr>
          <w:p w:rsidR="00483181" w:rsidRPr="00755091" w:rsidRDefault="00483181" w:rsidP="00D42C30">
            <w:pPr>
              <w:jc w:val="right"/>
              <w:rPr>
                <w:rFonts w:cs="Arial"/>
                <w:sz w:val="20"/>
              </w:rPr>
            </w:pPr>
            <w:r w:rsidRPr="00755091">
              <w:rPr>
                <w:rFonts w:cs="Arial"/>
                <w:sz w:val="20"/>
              </w:rPr>
              <w:t>10.102</w:t>
            </w:r>
            <w:r w:rsidRPr="00755091">
              <w:rPr>
                <w:rStyle w:val="FootnoteReference"/>
                <w:rFonts w:cs="Arial"/>
                <w:sz w:val="20"/>
              </w:rPr>
              <w:footnoteReference w:id="12"/>
            </w:r>
          </w:p>
        </w:tc>
        <w:tc>
          <w:tcPr>
            <w:tcW w:w="590" w:type="pct"/>
          </w:tcPr>
          <w:p w:rsidR="00483181" w:rsidRPr="00755091" w:rsidRDefault="00483181" w:rsidP="00D42C30">
            <w:pPr>
              <w:jc w:val="right"/>
              <w:rPr>
                <w:rFonts w:cs="Arial"/>
                <w:sz w:val="20"/>
              </w:rPr>
            </w:pPr>
            <w:r w:rsidRPr="00755091">
              <w:rPr>
                <w:rFonts w:cs="Arial"/>
                <w:sz w:val="20"/>
              </w:rPr>
              <w:t xml:space="preserve">   757.170</w:t>
            </w:r>
          </w:p>
        </w:tc>
        <w:tc>
          <w:tcPr>
            <w:tcW w:w="527" w:type="pct"/>
          </w:tcPr>
          <w:p w:rsidR="00483181" w:rsidRPr="00755091" w:rsidRDefault="00483181" w:rsidP="00D42C30">
            <w:pPr>
              <w:jc w:val="right"/>
              <w:rPr>
                <w:rFonts w:cs="Arial"/>
                <w:sz w:val="20"/>
              </w:rPr>
            </w:pPr>
            <w:r w:rsidRPr="00755091">
              <w:rPr>
                <w:rFonts w:cs="Arial"/>
                <w:sz w:val="20"/>
              </w:rPr>
              <w:t>757.170</w:t>
            </w:r>
          </w:p>
        </w:tc>
        <w:tc>
          <w:tcPr>
            <w:tcW w:w="874" w:type="pct"/>
          </w:tcPr>
          <w:p w:rsidR="00483181" w:rsidRPr="00755091" w:rsidRDefault="00483181" w:rsidP="00D42C30">
            <w:pPr>
              <w:jc w:val="right"/>
              <w:rPr>
                <w:rFonts w:cs="Arial"/>
                <w:sz w:val="20"/>
              </w:rPr>
            </w:pPr>
            <w:r w:rsidRPr="00755091">
              <w:rPr>
                <w:rFonts w:cs="Arial"/>
                <w:sz w:val="20"/>
              </w:rPr>
              <w:t>0</w:t>
            </w:r>
          </w:p>
        </w:tc>
      </w:tr>
    </w:tbl>
    <w:p w:rsidR="00483181" w:rsidRDefault="00483181" w:rsidP="00FF184E">
      <w:pPr>
        <w:pStyle w:val="StandaardSV"/>
      </w:pPr>
    </w:p>
    <w:p w:rsidR="00483181" w:rsidRPr="006E6E7A" w:rsidRDefault="00483181" w:rsidP="00ED0A1D">
      <w:pPr>
        <w:ind w:left="426"/>
        <w:jc w:val="both"/>
        <w:rPr>
          <w:sz w:val="22"/>
          <w:szCs w:val="22"/>
        </w:rPr>
      </w:pPr>
      <w:r>
        <w:rPr>
          <w:sz w:val="22"/>
          <w:szCs w:val="22"/>
        </w:rPr>
        <w:br w:type="page"/>
      </w:r>
      <w:r w:rsidRPr="006E6E7A">
        <w:rPr>
          <w:sz w:val="22"/>
          <w:szCs w:val="22"/>
        </w:rPr>
        <w:t>Momenteel beschikken de ERSV’s over volgende gecumuleerde financiële reserves (sociale r</w:t>
      </w:r>
      <w:r w:rsidRPr="006E6E7A">
        <w:rPr>
          <w:sz w:val="22"/>
          <w:szCs w:val="22"/>
        </w:rPr>
        <w:t>e</w:t>
      </w:r>
      <w:r w:rsidRPr="006E6E7A">
        <w:rPr>
          <w:sz w:val="22"/>
          <w:szCs w:val="22"/>
        </w:rPr>
        <w:t>serves inbegrepen):</w:t>
      </w:r>
    </w:p>
    <w:tbl>
      <w:tblPr>
        <w:tblpPr w:leftFromText="141" w:rightFromText="141" w:vertAnchor="text" w:horzAnchor="page" w:tblpX="2134" w:tblpY="153"/>
        <w:tblW w:w="24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6"/>
        <w:gridCol w:w="2917"/>
      </w:tblGrid>
      <w:tr w:rsidR="00483181" w:rsidRPr="00755091" w:rsidTr="00ED0A1D">
        <w:tc>
          <w:tcPr>
            <w:tcW w:w="1852" w:type="pct"/>
          </w:tcPr>
          <w:p w:rsidR="00483181" w:rsidRPr="00755091" w:rsidRDefault="00483181" w:rsidP="00ED0A1D">
            <w:pPr>
              <w:rPr>
                <w:b/>
                <w:sz w:val="20"/>
              </w:rPr>
            </w:pPr>
            <w:r w:rsidRPr="00755091">
              <w:rPr>
                <w:b/>
                <w:sz w:val="20"/>
              </w:rPr>
              <w:t>ERSV</w:t>
            </w:r>
          </w:p>
        </w:tc>
        <w:tc>
          <w:tcPr>
            <w:tcW w:w="3148" w:type="pct"/>
          </w:tcPr>
          <w:p w:rsidR="00483181" w:rsidRPr="00755091" w:rsidRDefault="00483181" w:rsidP="00ED0A1D">
            <w:pPr>
              <w:jc w:val="center"/>
              <w:rPr>
                <w:b/>
                <w:sz w:val="20"/>
              </w:rPr>
            </w:pPr>
            <w:r w:rsidRPr="00755091">
              <w:rPr>
                <w:b/>
                <w:sz w:val="20"/>
              </w:rPr>
              <w:t>Reserves op 31 december 2009</w:t>
            </w:r>
          </w:p>
        </w:tc>
      </w:tr>
      <w:tr w:rsidR="00483181" w:rsidRPr="00755091" w:rsidTr="00ED0A1D">
        <w:tc>
          <w:tcPr>
            <w:tcW w:w="1852" w:type="pct"/>
          </w:tcPr>
          <w:p w:rsidR="00483181" w:rsidRPr="00755091" w:rsidRDefault="00483181" w:rsidP="00ED0A1D">
            <w:pPr>
              <w:rPr>
                <w:sz w:val="20"/>
              </w:rPr>
            </w:pPr>
            <w:r w:rsidRPr="00755091">
              <w:rPr>
                <w:sz w:val="20"/>
              </w:rPr>
              <w:t>Oost-Vlaanderen</w:t>
            </w:r>
          </w:p>
        </w:tc>
        <w:tc>
          <w:tcPr>
            <w:tcW w:w="3148" w:type="pct"/>
          </w:tcPr>
          <w:p w:rsidR="00483181" w:rsidRPr="00755091" w:rsidRDefault="00483181" w:rsidP="00ED0A1D">
            <w:pPr>
              <w:jc w:val="center"/>
              <w:rPr>
                <w:sz w:val="20"/>
              </w:rPr>
            </w:pPr>
            <w:r w:rsidRPr="00755091">
              <w:rPr>
                <w:sz w:val="20"/>
              </w:rPr>
              <w:t>999.442,77</w:t>
            </w:r>
          </w:p>
        </w:tc>
      </w:tr>
      <w:tr w:rsidR="00483181" w:rsidRPr="00755091" w:rsidTr="00ED0A1D">
        <w:tc>
          <w:tcPr>
            <w:tcW w:w="1852" w:type="pct"/>
          </w:tcPr>
          <w:p w:rsidR="00483181" w:rsidRPr="00755091" w:rsidRDefault="00483181" w:rsidP="00ED0A1D">
            <w:pPr>
              <w:rPr>
                <w:sz w:val="20"/>
              </w:rPr>
            </w:pPr>
            <w:r w:rsidRPr="00755091">
              <w:rPr>
                <w:sz w:val="20"/>
              </w:rPr>
              <w:t>Limburg</w:t>
            </w:r>
          </w:p>
        </w:tc>
        <w:tc>
          <w:tcPr>
            <w:tcW w:w="3148" w:type="pct"/>
          </w:tcPr>
          <w:p w:rsidR="00483181" w:rsidRPr="00755091" w:rsidRDefault="00483181" w:rsidP="00ED0A1D">
            <w:pPr>
              <w:jc w:val="center"/>
              <w:rPr>
                <w:sz w:val="20"/>
              </w:rPr>
            </w:pPr>
            <w:r w:rsidRPr="00755091">
              <w:rPr>
                <w:sz w:val="20"/>
              </w:rPr>
              <w:t>1.407.844,23</w:t>
            </w:r>
          </w:p>
        </w:tc>
      </w:tr>
      <w:tr w:rsidR="00483181" w:rsidRPr="00755091" w:rsidTr="00ED0A1D">
        <w:tc>
          <w:tcPr>
            <w:tcW w:w="1852" w:type="pct"/>
          </w:tcPr>
          <w:p w:rsidR="00483181" w:rsidRPr="00755091" w:rsidRDefault="00483181" w:rsidP="00ED0A1D">
            <w:pPr>
              <w:rPr>
                <w:sz w:val="20"/>
              </w:rPr>
            </w:pPr>
            <w:r w:rsidRPr="00755091">
              <w:rPr>
                <w:sz w:val="20"/>
              </w:rPr>
              <w:t>West-Vlaanderen</w:t>
            </w:r>
          </w:p>
        </w:tc>
        <w:tc>
          <w:tcPr>
            <w:tcW w:w="3148" w:type="pct"/>
          </w:tcPr>
          <w:p w:rsidR="00483181" w:rsidRPr="00755091" w:rsidRDefault="00483181" w:rsidP="00ED0A1D">
            <w:pPr>
              <w:jc w:val="center"/>
              <w:rPr>
                <w:sz w:val="20"/>
              </w:rPr>
            </w:pPr>
            <w:r w:rsidRPr="00755091">
              <w:rPr>
                <w:sz w:val="20"/>
              </w:rPr>
              <w:t>2.172.023,00</w:t>
            </w:r>
          </w:p>
        </w:tc>
      </w:tr>
      <w:tr w:rsidR="00483181" w:rsidRPr="00755091" w:rsidTr="00ED0A1D">
        <w:tc>
          <w:tcPr>
            <w:tcW w:w="1852" w:type="pct"/>
          </w:tcPr>
          <w:p w:rsidR="00483181" w:rsidRPr="00755091" w:rsidRDefault="00483181" w:rsidP="00ED0A1D">
            <w:pPr>
              <w:rPr>
                <w:sz w:val="20"/>
              </w:rPr>
            </w:pPr>
            <w:r w:rsidRPr="00755091">
              <w:rPr>
                <w:sz w:val="20"/>
              </w:rPr>
              <w:t>Antwerpen</w:t>
            </w:r>
          </w:p>
        </w:tc>
        <w:tc>
          <w:tcPr>
            <w:tcW w:w="3148" w:type="pct"/>
          </w:tcPr>
          <w:p w:rsidR="00483181" w:rsidRPr="00755091" w:rsidRDefault="00483181" w:rsidP="00ED0A1D">
            <w:pPr>
              <w:jc w:val="center"/>
              <w:rPr>
                <w:sz w:val="20"/>
              </w:rPr>
            </w:pPr>
            <w:r w:rsidRPr="00755091">
              <w:rPr>
                <w:sz w:val="20"/>
              </w:rPr>
              <w:t>812.602,97</w:t>
            </w:r>
          </w:p>
        </w:tc>
      </w:tr>
      <w:tr w:rsidR="00483181" w:rsidRPr="00755091" w:rsidTr="00ED0A1D">
        <w:tc>
          <w:tcPr>
            <w:tcW w:w="1852" w:type="pct"/>
          </w:tcPr>
          <w:p w:rsidR="00483181" w:rsidRPr="00755091" w:rsidRDefault="00483181" w:rsidP="00ED0A1D">
            <w:pPr>
              <w:rPr>
                <w:sz w:val="20"/>
              </w:rPr>
            </w:pPr>
            <w:r w:rsidRPr="00755091">
              <w:rPr>
                <w:sz w:val="20"/>
              </w:rPr>
              <w:t>Vlaams-Brabant</w:t>
            </w:r>
          </w:p>
        </w:tc>
        <w:tc>
          <w:tcPr>
            <w:tcW w:w="3148" w:type="pct"/>
          </w:tcPr>
          <w:p w:rsidR="00483181" w:rsidRPr="00755091" w:rsidRDefault="00483181" w:rsidP="00ED0A1D">
            <w:pPr>
              <w:jc w:val="center"/>
              <w:rPr>
                <w:sz w:val="20"/>
              </w:rPr>
            </w:pPr>
            <w:r w:rsidRPr="00755091">
              <w:rPr>
                <w:sz w:val="20"/>
              </w:rPr>
              <w:t>187.768,07</w:t>
            </w:r>
          </w:p>
        </w:tc>
      </w:tr>
      <w:tr w:rsidR="00483181" w:rsidRPr="00755091" w:rsidTr="00ED0A1D">
        <w:tc>
          <w:tcPr>
            <w:tcW w:w="1852" w:type="pct"/>
          </w:tcPr>
          <w:p w:rsidR="00483181" w:rsidRPr="00755091" w:rsidRDefault="00483181" w:rsidP="00ED0A1D">
            <w:pPr>
              <w:rPr>
                <w:b/>
                <w:sz w:val="20"/>
              </w:rPr>
            </w:pPr>
            <w:r w:rsidRPr="00755091">
              <w:rPr>
                <w:b/>
                <w:sz w:val="20"/>
              </w:rPr>
              <w:t>Totaal</w:t>
            </w:r>
          </w:p>
        </w:tc>
        <w:tc>
          <w:tcPr>
            <w:tcW w:w="3148" w:type="pct"/>
          </w:tcPr>
          <w:p w:rsidR="00483181" w:rsidRPr="00755091" w:rsidRDefault="00483181" w:rsidP="00ED0A1D">
            <w:pPr>
              <w:jc w:val="center"/>
              <w:rPr>
                <w:b/>
                <w:sz w:val="20"/>
              </w:rPr>
            </w:pPr>
            <w:r w:rsidRPr="00755091">
              <w:rPr>
                <w:b/>
                <w:sz w:val="20"/>
              </w:rPr>
              <w:fldChar w:fldCharType="begin"/>
            </w:r>
            <w:r w:rsidRPr="00755091">
              <w:rPr>
                <w:b/>
                <w:sz w:val="20"/>
              </w:rPr>
              <w:instrText xml:space="preserve"> =SUM(ABOVE) </w:instrText>
            </w:r>
            <w:r w:rsidRPr="00755091">
              <w:rPr>
                <w:b/>
                <w:sz w:val="20"/>
              </w:rPr>
              <w:fldChar w:fldCharType="separate"/>
            </w:r>
            <w:r w:rsidRPr="00755091">
              <w:rPr>
                <w:b/>
                <w:noProof/>
                <w:sz w:val="20"/>
              </w:rPr>
              <w:t>5.579.681,04</w:t>
            </w:r>
            <w:r w:rsidRPr="00755091">
              <w:rPr>
                <w:b/>
                <w:sz w:val="20"/>
              </w:rPr>
              <w:fldChar w:fldCharType="end"/>
            </w:r>
          </w:p>
        </w:tc>
      </w:tr>
    </w:tbl>
    <w:p w:rsidR="00483181" w:rsidRDefault="00483181" w:rsidP="00A13631">
      <w:pPr>
        <w:rPr>
          <w:szCs w:val="22"/>
        </w:rPr>
      </w:pPr>
    </w:p>
    <w:p w:rsidR="00483181" w:rsidRDefault="00483181" w:rsidP="00FF184E">
      <w:pPr>
        <w:pStyle w:val="StandaardSV"/>
      </w:pPr>
    </w:p>
    <w:p w:rsidR="00483181" w:rsidRDefault="00483181" w:rsidP="00FF184E">
      <w:pPr>
        <w:pStyle w:val="StandaardSV"/>
      </w:pPr>
    </w:p>
    <w:p w:rsidR="00483181" w:rsidRDefault="00483181" w:rsidP="00ED0A1D">
      <w:pPr>
        <w:jc w:val="both"/>
        <w:rPr>
          <w:sz w:val="22"/>
          <w:szCs w:val="22"/>
        </w:rPr>
      </w:pPr>
    </w:p>
    <w:p w:rsidR="00483181" w:rsidRDefault="00483181" w:rsidP="00ED0A1D">
      <w:pPr>
        <w:jc w:val="both"/>
        <w:rPr>
          <w:sz w:val="22"/>
          <w:szCs w:val="22"/>
        </w:rPr>
      </w:pPr>
    </w:p>
    <w:p w:rsidR="00483181" w:rsidRDefault="00483181" w:rsidP="00ED0A1D">
      <w:pPr>
        <w:jc w:val="both"/>
        <w:rPr>
          <w:sz w:val="22"/>
          <w:szCs w:val="22"/>
        </w:rPr>
      </w:pPr>
    </w:p>
    <w:p w:rsidR="00483181" w:rsidRDefault="00483181" w:rsidP="00ED0A1D">
      <w:pPr>
        <w:jc w:val="both"/>
        <w:rPr>
          <w:sz w:val="22"/>
          <w:szCs w:val="22"/>
        </w:rPr>
      </w:pPr>
    </w:p>
    <w:p w:rsidR="00483181" w:rsidRDefault="00483181" w:rsidP="00ED0A1D">
      <w:pPr>
        <w:jc w:val="both"/>
        <w:rPr>
          <w:sz w:val="22"/>
          <w:szCs w:val="22"/>
        </w:rPr>
      </w:pPr>
    </w:p>
    <w:p w:rsidR="00483181" w:rsidRPr="006E6E7A" w:rsidRDefault="00483181" w:rsidP="00ED0A1D">
      <w:pPr>
        <w:numPr>
          <w:ilvl w:val="0"/>
          <w:numId w:val="33"/>
        </w:numPr>
        <w:tabs>
          <w:tab w:val="clear" w:pos="705"/>
          <w:tab w:val="num" w:pos="426"/>
        </w:tabs>
        <w:ind w:left="426" w:hanging="426"/>
        <w:jc w:val="both"/>
        <w:rPr>
          <w:sz w:val="22"/>
          <w:szCs w:val="22"/>
        </w:rPr>
      </w:pPr>
      <w:r w:rsidRPr="006E6E7A">
        <w:rPr>
          <w:sz w:val="22"/>
          <w:szCs w:val="22"/>
        </w:rPr>
        <w:t>Er werden in de afgelopen periode verschillende evaluaties uitgevoerd van het subregi</w:t>
      </w:r>
      <w:r w:rsidRPr="006E6E7A">
        <w:rPr>
          <w:sz w:val="22"/>
          <w:szCs w:val="22"/>
        </w:rPr>
        <w:t>o</w:t>
      </w:r>
      <w:r w:rsidRPr="006E6E7A">
        <w:rPr>
          <w:sz w:val="22"/>
          <w:szCs w:val="22"/>
        </w:rPr>
        <w:t>naal streekontwikkelingsbeleid zoals het in 2004 als hervorming van de STC’s en stree</w:t>
      </w:r>
      <w:r w:rsidRPr="006E6E7A">
        <w:rPr>
          <w:sz w:val="22"/>
          <w:szCs w:val="22"/>
        </w:rPr>
        <w:t>k</w:t>
      </w:r>
      <w:r w:rsidRPr="006E6E7A">
        <w:rPr>
          <w:sz w:val="22"/>
          <w:szCs w:val="22"/>
        </w:rPr>
        <w:t>platformen tot stand kwam in het kader van het kerntakendebat. Deze evaluaties zijn beschikbaar bij de organ</w:t>
      </w:r>
      <w:r w:rsidRPr="006E6E7A">
        <w:rPr>
          <w:sz w:val="22"/>
          <w:szCs w:val="22"/>
        </w:rPr>
        <w:t>i</w:t>
      </w:r>
      <w:r w:rsidRPr="006E6E7A">
        <w:rPr>
          <w:sz w:val="22"/>
          <w:szCs w:val="22"/>
        </w:rPr>
        <w:t>saties die de evaluatie uitvoerde of bij de mensen van het depart</w:t>
      </w:r>
      <w:r w:rsidRPr="006E6E7A">
        <w:rPr>
          <w:sz w:val="22"/>
          <w:szCs w:val="22"/>
        </w:rPr>
        <w:t>e</w:t>
      </w:r>
      <w:r w:rsidRPr="006E6E7A">
        <w:rPr>
          <w:sz w:val="22"/>
          <w:szCs w:val="22"/>
        </w:rPr>
        <w:t>ment Werk en Sociale Economie of het Agentschap Ondernemen die de ERSV’s vanuit de administratie opvolgen.</w:t>
      </w:r>
    </w:p>
    <w:p w:rsidR="00483181" w:rsidRPr="006E6E7A" w:rsidRDefault="00483181" w:rsidP="006E6E7A">
      <w:pPr>
        <w:jc w:val="both"/>
        <w:rPr>
          <w:sz w:val="22"/>
          <w:szCs w:val="22"/>
        </w:rPr>
      </w:pPr>
    </w:p>
    <w:p w:rsidR="00483181" w:rsidRPr="006E6E7A" w:rsidRDefault="00483181" w:rsidP="00ED0A1D">
      <w:pPr>
        <w:ind w:left="426"/>
        <w:jc w:val="both"/>
        <w:rPr>
          <w:sz w:val="22"/>
          <w:szCs w:val="22"/>
        </w:rPr>
      </w:pPr>
      <w:r w:rsidRPr="006E6E7A">
        <w:rPr>
          <w:sz w:val="22"/>
          <w:szCs w:val="22"/>
        </w:rPr>
        <w:t xml:space="preserve">In het kerntakendebat en het daaruit volgend bestuursakkoord tussen lokale besturen, provincies en Vlaamse overheid werd de bevoegdheid over het sociaaleconomisch streekbeleid zoals u weet toegekend aan de provincies en lokale besturen. </w:t>
      </w:r>
      <w:r w:rsidRPr="006E6E7A">
        <w:rPr>
          <w:color w:val="000000"/>
          <w:sz w:val="22"/>
          <w:szCs w:val="22"/>
        </w:rPr>
        <w:t>Uiteindelijk werd het sociaaleconomisch stree</w:t>
      </w:r>
      <w:r w:rsidRPr="006E6E7A">
        <w:rPr>
          <w:color w:val="000000"/>
          <w:sz w:val="22"/>
          <w:szCs w:val="22"/>
        </w:rPr>
        <w:t>k</w:t>
      </w:r>
      <w:r w:rsidRPr="006E6E7A">
        <w:rPr>
          <w:color w:val="000000"/>
          <w:sz w:val="22"/>
          <w:szCs w:val="22"/>
        </w:rPr>
        <w:t xml:space="preserve">ontwikkelingsbeleid hervormd en een nieuwe gestalte gegeven in het </w:t>
      </w:r>
      <w:r w:rsidRPr="006E6E7A">
        <w:rPr>
          <w:sz w:val="22"/>
          <w:szCs w:val="22"/>
        </w:rPr>
        <w:t>decreet van 7 mei 2004 op het sociaaleconomisch streekontwikkelingsbeleid. Daarbij werden SERRs en RESOCs en de overkoepelende ERSV vzw’s in het leven geroepen.</w:t>
      </w:r>
    </w:p>
    <w:p w:rsidR="00483181" w:rsidRPr="006E6E7A" w:rsidRDefault="00483181" w:rsidP="006E6E7A">
      <w:pPr>
        <w:jc w:val="both"/>
        <w:rPr>
          <w:color w:val="000000"/>
          <w:sz w:val="22"/>
          <w:szCs w:val="22"/>
        </w:rPr>
      </w:pPr>
    </w:p>
    <w:p w:rsidR="00483181" w:rsidRPr="006E6E7A" w:rsidRDefault="00483181" w:rsidP="00ED0A1D">
      <w:pPr>
        <w:autoSpaceDE w:val="0"/>
        <w:autoSpaceDN w:val="0"/>
        <w:adjustRightInd w:val="0"/>
        <w:ind w:left="426"/>
        <w:jc w:val="both"/>
        <w:rPr>
          <w:sz w:val="22"/>
          <w:szCs w:val="22"/>
        </w:rPr>
      </w:pPr>
      <w:r w:rsidRPr="006E6E7A">
        <w:rPr>
          <w:sz w:val="22"/>
          <w:szCs w:val="22"/>
        </w:rPr>
        <w:t>Na vijf jaar werking van de nieuwe structuren werden evaluaties uitgevoerd door de SERV, door VVSG, door VVP en werd ook een evaluatie uitgevoerd naar aanleiding van de dialoo</w:t>
      </w:r>
      <w:r w:rsidRPr="006E6E7A">
        <w:rPr>
          <w:sz w:val="22"/>
          <w:szCs w:val="22"/>
        </w:rPr>
        <w:t>g</w:t>
      </w:r>
      <w:r w:rsidRPr="006E6E7A">
        <w:rPr>
          <w:sz w:val="22"/>
          <w:szCs w:val="22"/>
        </w:rPr>
        <w:t xml:space="preserve">momenten die de Vlaamse Regering organiseerde met elke RESOC over de streekpacten. </w:t>
      </w:r>
    </w:p>
    <w:p w:rsidR="00483181" w:rsidRPr="006E6E7A" w:rsidRDefault="00483181" w:rsidP="006E6E7A">
      <w:pPr>
        <w:autoSpaceDE w:val="0"/>
        <w:autoSpaceDN w:val="0"/>
        <w:adjustRightInd w:val="0"/>
        <w:jc w:val="both"/>
        <w:rPr>
          <w:sz w:val="22"/>
          <w:szCs w:val="22"/>
        </w:rPr>
      </w:pPr>
    </w:p>
    <w:p w:rsidR="00483181" w:rsidRPr="006E6E7A" w:rsidRDefault="00483181" w:rsidP="00ED0A1D">
      <w:pPr>
        <w:ind w:left="426"/>
        <w:jc w:val="both"/>
        <w:rPr>
          <w:sz w:val="22"/>
          <w:szCs w:val="22"/>
        </w:rPr>
      </w:pPr>
      <w:r w:rsidRPr="006E6E7A">
        <w:rPr>
          <w:sz w:val="22"/>
          <w:szCs w:val="22"/>
        </w:rPr>
        <w:t>De belangrijkste gemeenschappelijke aandachtspunten uit deze evaluaties zijn:</w:t>
      </w:r>
    </w:p>
    <w:p w:rsidR="00483181" w:rsidRPr="006E6E7A" w:rsidRDefault="00483181" w:rsidP="00ED0A1D">
      <w:pPr>
        <w:numPr>
          <w:ilvl w:val="0"/>
          <w:numId w:val="31"/>
        </w:numPr>
        <w:tabs>
          <w:tab w:val="num" w:pos="1064"/>
        </w:tabs>
        <w:autoSpaceDE w:val="0"/>
        <w:autoSpaceDN w:val="0"/>
        <w:adjustRightInd w:val="0"/>
        <w:ind w:left="786"/>
        <w:jc w:val="both"/>
        <w:rPr>
          <w:sz w:val="22"/>
          <w:szCs w:val="22"/>
        </w:rPr>
      </w:pPr>
      <w:r w:rsidRPr="006E6E7A">
        <w:rPr>
          <w:sz w:val="22"/>
          <w:szCs w:val="22"/>
        </w:rPr>
        <w:t>het streekoverleg heeft meerwaarde indien het als strategisch overlegorgaan wordt erkend en een voldoende betrokkenheid kan gegarandeerd worden van de belangrijkste actoren uit elke subregio. Dat wil zeggen de gemeentes, provincies en sociale partners, maar ook de eventueel toe te voegen regiospecifieke actoren zoals bijvoorbeeld intercommunales of POM’s. De b</w:t>
      </w:r>
      <w:r w:rsidRPr="006E6E7A">
        <w:rPr>
          <w:sz w:val="22"/>
          <w:szCs w:val="22"/>
        </w:rPr>
        <w:t>e</w:t>
      </w:r>
      <w:r w:rsidRPr="006E6E7A">
        <w:rPr>
          <w:sz w:val="22"/>
          <w:szCs w:val="22"/>
        </w:rPr>
        <w:t>trokkenheid van al deze actoren is niet overal optimaal. De concrete organisatie van het soc</w:t>
      </w:r>
      <w:r w:rsidRPr="006E6E7A">
        <w:rPr>
          <w:sz w:val="22"/>
          <w:szCs w:val="22"/>
        </w:rPr>
        <w:t>i</w:t>
      </w:r>
      <w:r w:rsidRPr="006E6E7A">
        <w:rPr>
          <w:sz w:val="22"/>
          <w:szCs w:val="22"/>
        </w:rPr>
        <w:t xml:space="preserve">aal-economisch streekbeleid is de bevoegdheid van de regio’s zelf. </w:t>
      </w:r>
    </w:p>
    <w:p w:rsidR="00483181" w:rsidRPr="006E6E7A" w:rsidRDefault="00483181" w:rsidP="00ED0A1D">
      <w:pPr>
        <w:autoSpaceDE w:val="0"/>
        <w:autoSpaceDN w:val="0"/>
        <w:adjustRightInd w:val="0"/>
        <w:ind w:left="1064"/>
        <w:jc w:val="both"/>
        <w:rPr>
          <w:sz w:val="22"/>
          <w:szCs w:val="22"/>
        </w:rPr>
      </w:pPr>
    </w:p>
    <w:p w:rsidR="00483181" w:rsidRPr="006E6E7A" w:rsidRDefault="00483181" w:rsidP="00ED0A1D">
      <w:pPr>
        <w:numPr>
          <w:ilvl w:val="0"/>
          <w:numId w:val="31"/>
        </w:numPr>
        <w:tabs>
          <w:tab w:val="num" w:pos="1064"/>
        </w:tabs>
        <w:autoSpaceDE w:val="0"/>
        <w:autoSpaceDN w:val="0"/>
        <w:adjustRightInd w:val="0"/>
        <w:ind w:left="786"/>
        <w:jc w:val="both"/>
        <w:rPr>
          <w:sz w:val="22"/>
          <w:szCs w:val="22"/>
        </w:rPr>
      </w:pPr>
      <w:r w:rsidRPr="006E6E7A">
        <w:rPr>
          <w:sz w:val="22"/>
          <w:szCs w:val="22"/>
        </w:rPr>
        <w:t>er worden sterke regionale verschillen vastgesteld inzake de werking van de verschillende RESOC’s en SERR’s. Voor een deel zal dit te maken hebben met de mate van lokale betro</w:t>
      </w:r>
      <w:r w:rsidRPr="006E6E7A">
        <w:rPr>
          <w:sz w:val="22"/>
          <w:szCs w:val="22"/>
        </w:rPr>
        <w:t>k</w:t>
      </w:r>
      <w:r w:rsidRPr="006E6E7A">
        <w:rPr>
          <w:sz w:val="22"/>
          <w:szCs w:val="22"/>
        </w:rPr>
        <w:t>kenheid en de invulling van plaatselijke engagementen, alsook de geografische indeling. De verschillende streken in Vlaanderen kennen een eigen sociaaleconomische dyn</w:t>
      </w:r>
      <w:r w:rsidRPr="006E6E7A">
        <w:rPr>
          <w:sz w:val="22"/>
          <w:szCs w:val="22"/>
        </w:rPr>
        <w:t>a</w:t>
      </w:r>
      <w:r w:rsidRPr="006E6E7A">
        <w:rPr>
          <w:sz w:val="22"/>
          <w:szCs w:val="22"/>
        </w:rPr>
        <w:t>miek en staan daarbij voor specifieke uitdagingen. Op streekniveau spelen de sociale partners en de lokale overheden in onderling overleg in op die dynamiek en die uitdagingen. Hierbij wordt ook de stad/rand problematiek (vooral m.b.t. Antwerpen, en in zekere mate ook Gent) als een pr</w:t>
      </w:r>
      <w:r w:rsidRPr="006E6E7A">
        <w:rPr>
          <w:sz w:val="22"/>
          <w:szCs w:val="22"/>
        </w:rPr>
        <w:t>o</w:t>
      </w:r>
      <w:r w:rsidRPr="006E6E7A">
        <w:rPr>
          <w:sz w:val="22"/>
          <w:szCs w:val="22"/>
        </w:rPr>
        <w:t xml:space="preserve">bleem ervaren. </w:t>
      </w:r>
    </w:p>
    <w:p w:rsidR="00483181" w:rsidRPr="006E6E7A" w:rsidRDefault="00483181" w:rsidP="006E6E7A">
      <w:pPr>
        <w:autoSpaceDE w:val="0"/>
        <w:autoSpaceDN w:val="0"/>
        <w:adjustRightInd w:val="0"/>
        <w:ind w:left="1068"/>
        <w:jc w:val="both"/>
        <w:rPr>
          <w:sz w:val="22"/>
          <w:szCs w:val="22"/>
        </w:rPr>
      </w:pPr>
    </w:p>
    <w:p w:rsidR="00483181" w:rsidRPr="006E6E7A" w:rsidRDefault="00483181" w:rsidP="006E6E7A">
      <w:pPr>
        <w:numPr>
          <w:ilvl w:val="0"/>
          <w:numId w:val="31"/>
        </w:numPr>
        <w:autoSpaceDE w:val="0"/>
        <w:autoSpaceDN w:val="0"/>
        <w:adjustRightInd w:val="0"/>
        <w:jc w:val="both"/>
        <w:rPr>
          <w:sz w:val="22"/>
          <w:szCs w:val="22"/>
        </w:rPr>
      </w:pPr>
      <w:r w:rsidRPr="006E6E7A">
        <w:rPr>
          <w:sz w:val="22"/>
          <w:szCs w:val="22"/>
        </w:rPr>
        <w:t>in verschillende aanbevelingen wordt de kernopdracht, namelijk beleidsvoorbereiding en c</w:t>
      </w:r>
      <w:r w:rsidRPr="006E6E7A">
        <w:rPr>
          <w:sz w:val="22"/>
          <w:szCs w:val="22"/>
        </w:rPr>
        <w:t>o</w:t>
      </w:r>
      <w:r w:rsidRPr="006E6E7A">
        <w:rPr>
          <w:sz w:val="22"/>
          <w:szCs w:val="22"/>
        </w:rPr>
        <w:t>ördinatie d.m.v. adviesverlening en streekoverleg benadrukt, maar wordt voor de projectui</w:t>
      </w:r>
      <w:r w:rsidRPr="006E6E7A">
        <w:rPr>
          <w:sz w:val="22"/>
          <w:szCs w:val="22"/>
        </w:rPr>
        <w:t>t</w:t>
      </w:r>
      <w:r w:rsidRPr="006E6E7A">
        <w:rPr>
          <w:sz w:val="22"/>
          <w:szCs w:val="22"/>
        </w:rPr>
        <w:t>voering uitdrukkelijk verwezen naar democratisch gelegitimeerde lokale overheden i.s.m. POM of intercommunales. De vraag in welke mate en onder welke voorwaarden er toch pr</w:t>
      </w:r>
      <w:r w:rsidRPr="006E6E7A">
        <w:rPr>
          <w:sz w:val="22"/>
          <w:szCs w:val="22"/>
        </w:rPr>
        <w:t>o</w:t>
      </w:r>
      <w:r w:rsidRPr="006E6E7A">
        <w:rPr>
          <w:sz w:val="22"/>
          <w:szCs w:val="22"/>
        </w:rPr>
        <w:t>jecten kunnen uitgevoerd worden blijft een terugkomend aandachtspunt bij de diverse R</w:t>
      </w:r>
      <w:r w:rsidRPr="006E6E7A">
        <w:rPr>
          <w:sz w:val="22"/>
          <w:szCs w:val="22"/>
        </w:rPr>
        <w:t>E</w:t>
      </w:r>
      <w:r w:rsidRPr="006E6E7A">
        <w:rPr>
          <w:sz w:val="22"/>
          <w:szCs w:val="22"/>
        </w:rPr>
        <w:t xml:space="preserve">SOC’s, zeker ingeval er in de betrokken regio geen onmiddellijke uitvoerder voor handen is. </w:t>
      </w:r>
      <w:r w:rsidRPr="006E6E7A">
        <w:rPr>
          <w:rStyle w:val="Emphasis"/>
          <w:bCs/>
          <w:i w:val="0"/>
          <w:sz w:val="22"/>
          <w:szCs w:val="22"/>
          <w:lang w:val="nl-BE"/>
        </w:rPr>
        <w:t>Ook bij de</w:t>
      </w:r>
      <w:r w:rsidRPr="006E6E7A">
        <w:rPr>
          <w:rStyle w:val="Emphasis"/>
          <w:bCs/>
          <w:i w:val="0"/>
          <w:sz w:val="22"/>
          <w:szCs w:val="22"/>
        </w:rPr>
        <w:t xml:space="preserve"> adviesopdrachten worden er soms vragen gesteld: wordt er voldoende mee rek</w:t>
      </w:r>
      <w:r w:rsidRPr="006E6E7A">
        <w:rPr>
          <w:rStyle w:val="Emphasis"/>
          <w:bCs/>
          <w:i w:val="0"/>
          <w:sz w:val="22"/>
          <w:szCs w:val="22"/>
        </w:rPr>
        <w:t>e</w:t>
      </w:r>
      <w:r w:rsidRPr="006E6E7A">
        <w:rPr>
          <w:rStyle w:val="Emphasis"/>
          <w:bCs/>
          <w:i w:val="0"/>
          <w:sz w:val="22"/>
          <w:szCs w:val="22"/>
        </w:rPr>
        <w:t>ning gehouden, wordt er voldoende teruggekoppeld?</w:t>
      </w:r>
      <w:r w:rsidRPr="006E6E7A">
        <w:rPr>
          <w:rStyle w:val="Emphasis"/>
          <w:i w:val="0"/>
          <w:iCs w:val="0"/>
          <w:sz w:val="22"/>
          <w:szCs w:val="22"/>
        </w:rPr>
        <w:t xml:space="preserve"> </w:t>
      </w:r>
      <w:r w:rsidRPr="006E6E7A">
        <w:rPr>
          <w:rStyle w:val="Emphasis"/>
          <w:bCs/>
          <w:i w:val="0"/>
          <w:sz w:val="22"/>
          <w:szCs w:val="22"/>
        </w:rPr>
        <w:t>De opdrachten beperken zich tot (de r</w:t>
      </w:r>
      <w:r w:rsidRPr="006E6E7A">
        <w:rPr>
          <w:rStyle w:val="Emphasis"/>
          <w:bCs/>
          <w:i w:val="0"/>
          <w:sz w:val="22"/>
          <w:szCs w:val="22"/>
        </w:rPr>
        <w:t>e</w:t>
      </w:r>
      <w:r w:rsidRPr="006E6E7A">
        <w:rPr>
          <w:rStyle w:val="Emphasis"/>
          <w:bCs/>
          <w:i w:val="0"/>
          <w:sz w:val="22"/>
          <w:szCs w:val="22"/>
        </w:rPr>
        <w:t>levantie van) specifieke regiogebonden dossiers, en gaan niet over de daarmee verbonden b</w:t>
      </w:r>
      <w:r w:rsidRPr="006E6E7A">
        <w:rPr>
          <w:rStyle w:val="Emphasis"/>
          <w:bCs/>
          <w:i w:val="0"/>
          <w:sz w:val="22"/>
          <w:szCs w:val="22"/>
        </w:rPr>
        <w:t>e</w:t>
      </w:r>
      <w:r w:rsidRPr="006E6E7A">
        <w:rPr>
          <w:rStyle w:val="Emphasis"/>
          <w:bCs/>
          <w:i w:val="0"/>
          <w:sz w:val="22"/>
          <w:szCs w:val="22"/>
        </w:rPr>
        <w:t xml:space="preserve">leidstrategische doelstellingen, wat soms wordt geambieerd door sommige regio’s. </w:t>
      </w:r>
      <w:r w:rsidRPr="006E6E7A">
        <w:rPr>
          <w:sz w:val="22"/>
          <w:szCs w:val="22"/>
        </w:rPr>
        <w:t>Het a</w:t>
      </w:r>
      <w:r w:rsidRPr="006E6E7A">
        <w:rPr>
          <w:sz w:val="22"/>
          <w:szCs w:val="22"/>
        </w:rPr>
        <w:t>f</w:t>
      </w:r>
      <w:r w:rsidRPr="006E6E7A">
        <w:rPr>
          <w:sz w:val="22"/>
          <w:szCs w:val="22"/>
        </w:rPr>
        <w:t>stemmen en optimaliseren van de adviesopdrachten op de diverse niveaus moet ook onde</w:t>
      </w:r>
      <w:r w:rsidRPr="006E6E7A">
        <w:rPr>
          <w:sz w:val="22"/>
          <w:szCs w:val="22"/>
        </w:rPr>
        <w:t>r</w:t>
      </w:r>
      <w:r w:rsidRPr="006E6E7A">
        <w:rPr>
          <w:sz w:val="22"/>
          <w:szCs w:val="22"/>
        </w:rPr>
        <w:t>werp uitmaken van overleg met de sociale partners waarbij uitgeklaard moet worden of a</w:t>
      </w:r>
      <w:r w:rsidRPr="006E6E7A">
        <w:rPr>
          <w:sz w:val="22"/>
          <w:szCs w:val="22"/>
        </w:rPr>
        <w:t>d</w:t>
      </w:r>
      <w:r w:rsidRPr="006E6E7A">
        <w:rPr>
          <w:sz w:val="22"/>
          <w:szCs w:val="22"/>
        </w:rPr>
        <w:t>viezen dan wel op Vlaams of op subregionaal niveau worden g</w:t>
      </w:r>
      <w:r w:rsidRPr="006E6E7A">
        <w:rPr>
          <w:sz w:val="22"/>
          <w:szCs w:val="22"/>
        </w:rPr>
        <w:t>e</w:t>
      </w:r>
      <w:r w:rsidRPr="006E6E7A">
        <w:rPr>
          <w:sz w:val="22"/>
          <w:szCs w:val="22"/>
        </w:rPr>
        <w:t>geven;</w:t>
      </w:r>
    </w:p>
    <w:p w:rsidR="00483181" w:rsidRPr="006E6E7A" w:rsidRDefault="00483181" w:rsidP="006E6E7A">
      <w:pPr>
        <w:pStyle w:val="ListParagraph"/>
        <w:jc w:val="both"/>
        <w:rPr>
          <w:rStyle w:val="Emphasis"/>
          <w:i w:val="0"/>
          <w:iCs w:val="0"/>
          <w:sz w:val="22"/>
          <w:szCs w:val="22"/>
        </w:rPr>
      </w:pPr>
    </w:p>
    <w:p w:rsidR="00483181" w:rsidRPr="006E6E7A" w:rsidRDefault="00483181" w:rsidP="006E6E7A">
      <w:pPr>
        <w:numPr>
          <w:ilvl w:val="0"/>
          <w:numId w:val="31"/>
        </w:numPr>
        <w:autoSpaceDE w:val="0"/>
        <w:autoSpaceDN w:val="0"/>
        <w:adjustRightInd w:val="0"/>
        <w:jc w:val="both"/>
        <w:rPr>
          <w:rStyle w:val="Emphasis"/>
          <w:bCs/>
          <w:i w:val="0"/>
          <w:sz w:val="22"/>
          <w:szCs w:val="22"/>
        </w:rPr>
      </w:pPr>
      <w:r w:rsidRPr="006E6E7A">
        <w:rPr>
          <w:sz w:val="22"/>
          <w:szCs w:val="22"/>
        </w:rPr>
        <w:t>alhoewel enerzijds telkens de subregionale autonomie in het streekontwikkelingsbeleid wordt benadrukt, wordt ook gewezen op de betrokkenheid van de Vlaamse overheid. Dit engag</w:t>
      </w:r>
      <w:r w:rsidRPr="006E6E7A">
        <w:rPr>
          <w:sz w:val="22"/>
          <w:szCs w:val="22"/>
        </w:rPr>
        <w:t>e</w:t>
      </w:r>
      <w:r w:rsidRPr="006E6E7A">
        <w:rPr>
          <w:sz w:val="22"/>
          <w:szCs w:val="22"/>
        </w:rPr>
        <w:t>ment wordt vertaald via de eerstelijnsfinanciering van de ERSV/RESOC/SERR structuren vanuit</w:t>
      </w:r>
      <w:r w:rsidRPr="006E6E7A">
        <w:rPr>
          <w:rStyle w:val="Emphasis"/>
          <w:bCs/>
          <w:i w:val="0"/>
          <w:sz w:val="22"/>
          <w:szCs w:val="22"/>
        </w:rPr>
        <w:t xml:space="preserve"> de Vlaamse overheid, en verder via de dialoogmomenten over de stree</w:t>
      </w:r>
      <w:r w:rsidRPr="006E6E7A">
        <w:rPr>
          <w:rStyle w:val="Emphasis"/>
          <w:bCs/>
          <w:i w:val="0"/>
          <w:sz w:val="22"/>
          <w:szCs w:val="22"/>
        </w:rPr>
        <w:t>k</w:t>
      </w:r>
      <w:r w:rsidRPr="006E6E7A">
        <w:rPr>
          <w:rStyle w:val="Emphasis"/>
          <w:bCs/>
          <w:i w:val="0"/>
          <w:sz w:val="22"/>
          <w:szCs w:val="22"/>
        </w:rPr>
        <w:t>pacten, het overlegplatform en de andere consultaties en overlegvormen met de stree</w:t>
      </w:r>
      <w:r w:rsidRPr="006E6E7A">
        <w:rPr>
          <w:rStyle w:val="Emphasis"/>
          <w:bCs/>
          <w:i w:val="0"/>
          <w:sz w:val="22"/>
          <w:szCs w:val="22"/>
        </w:rPr>
        <w:t>k</w:t>
      </w:r>
      <w:r w:rsidRPr="006E6E7A">
        <w:rPr>
          <w:rStyle w:val="Emphasis"/>
          <w:bCs/>
          <w:i w:val="0"/>
          <w:sz w:val="22"/>
          <w:szCs w:val="22"/>
        </w:rPr>
        <w:t xml:space="preserve">structuren. </w:t>
      </w:r>
    </w:p>
    <w:p w:rsidR="00483181" w:rsidRPr="006E6E7A" w:rsidRDefault="00483181" w:rsidP="006E6E7A">
      <w:pPr>
        <w:pStyle w:val="ListParagraph"/>
        <w:jc w:val="both"/>
        <w:rPr>
          <w:rStyle w:val="Emphasis"/>
          <w:bCs/>
          <w:i w:val="0"/>
          <w:sz w:val="22"/>
          <w:szCs w:val="22"/>
        </w:rPr>
      </w:pPr>
    </w:p>
    <w:p w:rsidR="00483181" w:rsidRPr="006E6E7A" w:rsidRDefault="00483181" w:rsidP="006E6E7A">
      <w:pPr>
        <w:numPr>
          <w:ilvl w:val="0"/>
          <w:numId w:val="31"/>
        </w:numPr>
        <w:autoSpaceDE w:val="0"/>
        <w:autoSpaceDN w:val="0"/>
        <w:adjustRightInd w:val="0"/>
        <w:jc w:val="both"/>
        <w:rPr>
          <w:sz w:val="22"/>
          <w:szCs w:val="22"/>
        </w:rPr>
      </w:pPr>
      <w:r w:rsidRPr="006E6E7A">
        <w:rPr>
          <w:sz w:val="22"/>
          <w:szCs w:val="22"/>
          <w:lang w:val="nl-BE"/>
        </w:rPr>
        <w:t>het subregionaal sociaaleconomisch streekontwikkelingsbeleid omvat meer beleidsdome</w:t>
      </w:r>
      <w:r w:rsidRPr="006E6E7A">
        <w:rPr>
          <w:sz w:val="22"/>
          <w:szCs w:val="22"/>
          <w:lang w:val="nl-BE"/>
        </w:rPr>
        <w:t>i</w:t>
      </w:r>
      <w:r w:rsidRPr="006E6E7A">
        <w:rPr>
          <w:sz w:val="22"/>
          <w:szCs w:val="22"/>
          <w:lang w:val="nl-BE"/>
        </w:rPr>
        <w:t>nen dan enkel werk en economie, zoals ook duidelijk blijkt uit de streekpacten en dialoogmome</w:t>
      </w:r>
      <w:r w:rsidRPr="006E6E7A">
        <w:rPr>
          <w:sz w:val="22"/>
          <w:szCs w:val="22"/>
          <w:lang w:val="nl-BE"/>
        </w:rPr>
        <w:t>n</w:t>
      </w:r>
      <w:r w:rsidRPr="006E6E7A">
        <w:rPr>
          <w:sz w:val="22"/>
          <w:szCs w:val="22"/>
          <w:lang w:val="nl-BE"/>
        </w:rPr>
        <w:t xml:space="preserve">ten. Ook domeinen zoals onderwijs, ruimtelijke ordening, infrastructuur, openbare werken, mobiliteit en welzijn komen vaak aan bod. In dat opzicht wordt sociaal-economisch in ruime zin ingevuld. </w:t>
      </w:r>
    </w:p>
    <w:p w:rsidR="00483181" w:rsidRPr="006E6E7A" w:rsidRDefault="00483181" w:rsidP="006E6E7A">
      <w:pPr>
        <w:pStyle w:val="ListParagraph"/>
        <w:jc w:val="both"/>
        <w:rPr>
          <w:sz w:val="22"/>
          <w:szCs w:val="22"/>
          <w:lang w:val="nl-BE"/>
        </w:rPr>
      </w:pPr>
    </w:p>
    <w:p w:rsidR="00483181" w:rsidRPr="006E6E7A" w:rsidRDefault="00483181" w:rsidP="006E6E7A">
      <w:pPr>
        <w:numPr>
          <w:ilvl w:val="0"/>
          <w:numId w:val="31"/>
        </w:numPr>
        <w:autoSpaceDE w:val="0"/>
        <w:autoSpaceDN w:val="0"/>
        <w:adjustRightInd w:val="0"/>
        <w:jc w:val="both"/>
        <w:rPr>
          <w:sz w:val="22"/>
          <w:szCs w:val="22"/>
        </w:rPr>
      </w:pPr>
      <w:r w:rsidRPr="006E6E7A">
        <w:rPr>
          <w:sz w:val="22"/>
          <w:szCs w:val="22"/>
        </w:rPr>
        <w:t>de geografische regio afbakening van de huidige RESOC/SERR structuren is vanuit o</w:t>
      </w:r>
      <w:r w:rsidRPr="006E6E7A">
        <w:rPr>
          <w:sz w:val="22"/>
          <w:szCs w:val="22"/>
        </w:rPr>
        <w:t>n</w:t>
      </w:r>
      <w:r w:rsidRPr="006E6E7A">
        <w:rPr>
          <w:sz w:val="22"/>
          <w:szCs w:val="22"/>
        </w:rPr>
        <w:t>deruit gegroeid, met als gevolg een onevenwichtige verdeling en schaalgrootte tussen en binnen de provincies. Daarenboven valt deze indeling in subregio’s niet samen met vele andere subreg</w:t>
      </w:r>
      <w:r w:rsidRPr="006E6E7A">
        <w:rPr>
          <w:sz w:val="22"/>
          <w:szCs w:val="22"/>
        </w:rPr>
        <w:t>i</w:t>
      </w:r>
      <w:r w:rsidRPr="006E6E7A">
        <w:rPr>
          <w:sz w:val="22"/>
          <w:szCs w:val="22"/>
        </w:rPr>
        <w:t>onale afbakeningen die door de Vlaamse overheid zijn opgezet op andere beleidsdomeinen. Dit impliceert vele extra vergaderingen voor vaak dezelfde mensen.</w:t>
      </w:r>
    </w:p>
    <w:p w:rsidR="00483181" w:rsidRPr="006E6E7A" w:rsidRDefault="00483181" w:rsidP="006E6E7A">
      <w:pPr>
        <w:pStyle w:val="ListParagraph"/>
        <w:jc w:val="both"/>
        <w:rPr>
          <w:sz w:val="22"/>
          <w:szCs w:val="22"/>
        </w:rPr>
      </w:pPr>
    </w:p>
    <w:p w:rsidR="00483181" w:rsidRPr="006E6E7A" w:rsidRDefault="00483181" w:rsidP="006E6E7A">
      <w:pPr>
        <w:numPr>
          <w:ilvl w:val="0"/>
          <w:numId w:val="31"/>
        </w:numPr>
        <w:autoSpaceDE w:val="0"/>
        <w:autoSpaceDN w:val="0"/>
        <w:adjustRightInd w:val="0"/>
        <w:jc w:val="both"/>
        <w:rPr>
          <w:sz w:val="22"/>
          <w:szCs w:val="22"/>
        </w:rPr>
      </w:pPr>
      <w:r w:rsidRPr="006E6E7A">
        <w:rPr>
          <w:sz w:val="22"/>
          <w:szCs w:val="22"/>
        </w:rPr>
        <w:t>Tenslotte. De meerwaarde van het sociaal-economisch streekbeleid wordt niet in vraag g</w:t>
      </w:r>
      <w:r w:rsidRPr="006E6E7A">
        <w:rPr>
          <w:sz w:val="22"/>
          <w:szCs w:val="22"/>
        </w:rPr>
        <w:t>e</w:t>
      </w:r>
      <w:r w:rsidRPr="006E6E7A">
        <w:rPr>
          <w:sz w:val="22"/>
          <w:szCs w:val="22"/>
        </w:rPr>
        <w:t>steld, zo blijft althans uit de diverse evaluaties. Toch zo blijkt uit voorgaande, zijn er aa</w:t>
      </w:r>
      <w:r w:rsidRPr="006E6E7A">
        <w:rPr>
          <w:sz w:val="22"/>
          <w:szCs w:val="22"/>
        </w:rPr>
        <w:t>n</w:t>
      </w:r>
      <w:r w:rsidRPr="006E6E7A">
        <w:rPr>
          <w:sz w:val="22"/>
          <w:szCs w:val="22"/>
        </w:rPr>
        <w:t>dachtspunten die voor bespreking en aanpassing vatbaar zijn. Vandaar is het sociaal-economisch streekbeleid ook opgenomen als thema in het Groenboek Interne Staatshervo</w:t>
      </w:r>
      <w:r w:rsidRPr="006E6E7A">
        <w:rPr>
          <w:sz w:val="22"/>
          <w:szCs w:val="22"/>
        </w:rPr>
        <w:t>r</w:t>
      </w:r>
      <w:r w:rsidRPr="006E6E7A">
        <w:rPr>
          <w:sz w:val="22"/>
          <w:szCs w:val="22"/>
        </w:rPr>
        <w:t>ming. Op deze manier kan er een ruime discussie gevoerd worden over de organisatie en aa</w:t>
      </w:r>
      <w:r w:rsidRPr="006E6E7A">
        <w:rPr>
          <w:sz w:val="22"/>
          <w:szCs w:val="22"/>
        </w:rPr>
        <w:t>n</w:t>
      </w:r>
      <w:r w:rsidRPr="006E6E7A">
        <w:rPr>
          <w:sz w:val="22"/>
          <w:szCs w:val="22"/>
        </w:rPr>
        <w:t xml:space="preserve">pak van het sociaal-ecinomisch streekbeleid. </w:t>
      </w:r>
    </w:p>
    <w:sectPr w:rsidR="00483181" w:rsidRPr="006E6E7A" w:rsidSect="009A2069">
      <w:headerReference w:type="even" r:id="rId7"/>
      <w:headerReference w:type="first" r:id="rId8"/>
      <w:footerReference w:type="first" r:id="rId9"/>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181" w:rsidRDefault="00483181">
      <w:r>
        <w:separator/>
      </w:r>
    </w:p>
  </w:endnote>
  <w:endnote w:type="continuationSeparator" w:id="1">
    <w:p w:rsidR="00483181" w:rsidRDefault="004831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imes New Roman Ve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181" w:rsidRDefault="00483181" w:rsidP="006530C8">
    <w:pPr>
      <w:pStyle w:val="Footer"/>
      <w:tabs>
        <w:tab w:val="clear" w:pos="8789"/>
        <w:tab w:val="right" w:pos="9214"/>
      </w:tabs>
      <w:jc w:val="right"/>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2050" type="#_x0000_t75" alt="wse_stationary_pijlen.png" style="position:absolute;left:0;text-align:left;margin-left:0;margin-top:771pt;width:595.3pt;height:71pt;z-index:-251654144;visibility:visible;mso-position-horizontal-relative:page;mso-position-vertical-relative:page">
          <v:imagedata r:id="rId1" o:title=""/>
          <w10:wrap anchorx="page" anchory="page"/>
        </v:shape>
      </w:pict>
    </w:r>
    <w:r>
      <w:t>www.werk.be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181" w:rsidRDefault="00483181">
      <w:r>
        <w:separator/>
      </w:r>
    </w:p>
  </w:footnote>
  <w:footnote w:type="continuationSeparator" w:id="1">
    <w:p w:rsidR="00483181" w:rsidRDefault="00483181">
      <w:r>
        <w:continuationSeparator/>
      </w:r>
    </w:p>
  </w:footnote>
  <w:footnote w:id="2">
    <w:p w:rsidR="00483181" w:rsidRDefault="00483181" w:rsidP="00A13631">
      <w:pPr>
        <w:pStyle w:val="FootnoteText"/>
      </w:pPr>
      <w:r>
        <w:rPr>
          <w:rStyle w:val="FootnoteReference"/>
        </w:rPr>
        <w:footnoteRef/>
      </w:r>
      <w:r>
        <w:t xml:space="preserve"> Enkel de gemeenten in Midden-West-Vlaanderen doen een bijdrage aan de resoc-werking aldaar.</w:t>
      </w:r>
    </w:p>
  </w:footnote>
  <w:footnote w:id="3">
    <w:p w:rsidR="00483181" w:rsidRDefault="00483181" w:rsidP="00A13631">
      <w:pPr>
        <w:pStyle w:val="FootnoteText"/>
      </w:pPr>
      <w:r>
        <w:rPr>
          <w:rStyle w:val="FootnoteReference"/>
        </w:rPr>
        <w:footnoteRef/>
      </w:r>
      <w:r>
        <w:t xml:space="preserve"> </w:t>
      </w:r>
      <w:r>
        <w:rPr>
          <w:lang w:val="nl-BE"/>
        </w:rPr>
        <w:t>Overdracht saldo streekplatform Midden-West-Vlaanderen.</w:t>
      </w:r>
    </w:p>
  </w:footnote>
  <w:footnote w:id="4">
    <w:p w:rsidR="00483181" w:rsidRDefault="00483181" w:rsidP="00A13631">
      <w:pPr>
        <w:pStyle w:val="FootnoteText"/>
      </w:pPr>
      <w:r>
        <w:rPr>
          <w:rStyle w:val="FootnoteReference"/>
        </w:rPr>
        <w:footnoteRef/>
      </w:r>
      <w:r>
        <w:t xml:space="preserve"> </w:t>
      </w:r>
      <w:r>
        <w:rPr>
          <w:lang w:val="nl-BE"/>
        </w:rPr>
        <w:t>Overdracht saldo STC Brugge.</w:t>
      </w:r>
    </w:p>
  </w:footnote>
  <w:footnote w:id="5">
    <w:p w:rsidR="00483181" w:rsidRDefault="00483181" w:rsidP="00A13631">
      <w:pPr>
        <w:pStyle w:val="FootnoteText"/>
      </w:pPr>
      <w:r>
        <w:rPr>
          <w:rStyle w:val="FootnoteReference"/>
        </w:rPr>
        <w:footnoteRef/>
      </w:r>
      <w:r>
        <w:t xml:space="preserve"> </w:t>
      </w:r>
      <w:r>
        <w:rPr>
          <w:lang w:val="nl-BE"/>
        </w:rPr>
        <w:t>Overdracht saldo STC Oostende-Westhoek.</w:t>
      </w:r>
    </w:p>
  </w:footnote>
  <w:footnote w:id="6">
    <w:p w:rsidR="00483181" w:rsidRDefault="00483181" w:rsidP="00A13631">
      <w:pPr>
        <w:pStyle w:val="FootnoteText"/>
      </w:pPr>
      <w:r>
        <w:rPr>
          <w:rStyle w:val="FootnoteReference"/>
        </w:rPr>
        <w:footnoteRef/>
      </w:r>
      <w:r>
        <w:t xml:space="preserve"> Intresten.</w:t>
      </w:r>
    </w:p>
  </w:footnote>
  <w:footnote w:id="7">
    <w:p w:rsidR="00483181" w:rsidRDefault="00483181" w:rsidP="00A13631">
      <w:pPr>
        <w:pStyle w:val="FootnoteText"/>
      </w:pPr>
      <w:r>
        <w:rPr>
          <w:rStyle w:val="FootnoteReference"/>
        </w:rPr>
        <w:footnoteRef/>
      </w:r>
      <w:r>
        <w:t xml:space="preserve"> </w:t>
      </w:r>
      <w:r>
        <w:rPr>
          <w:lang w:val="nl-BE"/>
        </w:rPr>
        <w:t>Daarnaast worden nog twee personeelsleden ter beschikking gesteld voor de ERSV-werking. Deze staan op de loonlijst van de provincie.</w:t>
      </w:r>
    </w:p>
  </w:footnote>
  <w:footnote w:id="8">
    <w:p w:rsidR="00483181" w:rsidRDefault="00483181" w:rsidP="00A13631">
      <w:pPr>
        <w:pStyle w:val="FootnoteText"/>
      </w:pPr>
      <w:r>
        <w:rPr>
          <w:rStyle w:val="FootnoteReference"/>
        </w:rPr>
        <w:footnoteRef/>
      </w:r>
      <w:r>
        <w:t xml:space="preserve"> </w:t>
      </w:r>
      <w:r>
        <w:rPr>
          <w:lang w:val="nl-BE"/>
        </w:rPr>
        <w:t>In ZO-Vlaanderen en het Meetjesland zijn er bijdragen van de gemeenten.</w:t>
      </w:r>
    </w:p>
  </w:footnote>
  <w:footnote w:id="9">
    <w:p w:rsidR="00483181" w:rsidRDefault="00483181" w:rsidP="00A13631">
      <w:pPr>
        <w:pStyle w:val="FootnoteText"/>
      </w:pPr>
      <w:r>
        <w:rPr>
          <w:rStyle w:val="FootnoteReference"/>
        </w:rPr>
        <w:footnoteRef/>
      </w:r>
      <w:r>
        <w:t xml:space="preserve"> </w:t>
      </w:r>
      <w:r>
        <w:rPr>
          <w:lang w:val="nl-BE"/>
        </w:rPr>
        <w:t>Intresten.</w:t>
      </w:r>
    </w:p>
  </w:footnote>
  <w:footnote w:id="10">
    <w:p w:rsidR="00483181" w:rsidRDefault="00483181" w:rsidP="00A13631">
      <w:pPr>
        <w:pStyle w:val="FootnoteText"/>
      </w:pPr>
      <w:r>
        <w:rPr>
          <w:rStyle w:val="FootnoteReference"/>
        </w:rPr>
        <w:footnoteRef/>
      </w:r>
      <w:r>
        <w:t xml:space="preserve"> Intresten.</w:t>
      </w:r>
    </w:p>
  </w:footnote>
  <w:footnote w:id="11">
    <w:p w:rsidR="00483181" w:rsidRDefault="00483181" w:rsidP="00A13631">
      <w:pPr>
        <w:pStyle w:val="FootnoteText"/>
      </w:pPr>
      <w:r>
        <w:rPr>
          <w:rStyle w:val="FootnoteReference"/>
        </w:rPr>
        <w:footnoteRef/>
      </w:r>
      <w:r>
        <w:t xml:space="preserve"> </w:t>
      </w:r>
      <w:r>
        <w:rPr>
          <w:lang w:val="nl-BE"/>
        </w:rPr>
        <w:t>Dit zijn de theoretische inkomsten die vanuit de Vlaamse overheid kunnen verkregen worden. Het ERSV Vlaams-Brabant is zoals uit het vervolg van de tabel blijkt het enige ERSV dat niet voldoende kosten kan aant</w:t>
      </w:r>
      <w:r>
        <w:rPr>
          <w:lang w:val="nl-BE"/>
        </w:rPr>
        <w:t>o</w:t>
      </w:r>
      <w:r>
        <w:rPr>
          <w:lang w:val="nl-BE"/>
        </w:rPr>
        <w:t>nen om alle Vlaamse subsidie effectief te benutten.</w:t>
      </w:r>
    </w:p>
  </w:footnote>
  <w:footnote w:id="12">
    <w:p w:rsidR="00483181" w:rsidRDefault="00483181" w:rsidP="00A13631">
      <w:pPr>
        <w:pStyle w:val="FootnoteText"/>
      </w:pPr>
      <w:r>
        <w:rPr>
          <w:rStyle w:val="FootnoteReference"/>
        </w:rPr>
        <w:footnoteRef/>
      </w:r>
      <w:r>
        <w:t xml:space="preserve"> </w:t>
      </w:r>
      <w:r>
        <w:rPr>
          <w:lang w:val="nl-BE"/>
        </w:rPr>
        <w:t>Intresten.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181" w:rsidRDefault="00483181" w:rsidP="006530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3181" w:rsidRDefault="00483181" w:rsidP="006530C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181" w:rsidRDefault="00483181" w:rsidP="006530C8">
    <w:pPr>
      <w:pStyle w:val="Header"/>
      <w:tabs>
        <w:tab w:val="clear" w:pos="8789"/>
        <w:tab w:val="clear" w:pos="9072"/>
        <w:tab w:val="right" w:pos="9214"/>
      </w:tabs>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2049" type="#_x0000_t75" alt="wse_stationary_top.png" style="position:absolute;margin-left:0;margin-top:0;width:595.2pt;height:88pt;z-index:-251656192;visibility:visible;mso-position-horizontal-relative:page;mso-position-vertical-relative:page">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58CF"/>
    <w:multiLevelType w:val="hybridMultilevel"/>
    <w:tmpl w:val="70B6963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07CC4E15"/>
    <w:multiLevelType w:val="hybridMultilevel"/>
    <w:tmpl w:val="65C0113C"/>
    <w:lvl w:ilvl="0" w:tplc="70D28B0E">
      <w:start w:val="1"/>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D330F3A"/>
    <w:multiLevelType w:val="hybridMultilevel"/>
    <w:tmpl w:val="03FEA73C"/>
    <w:lvl w:ilvl="0" w:tplc="0813000F">
      <w:start w:val="1"/>
      <w:numFmt w:val="decimal"/>
      <w:lvlText w:val="%1."/>
      <w:lvlJc w:val="left"/>
      <w:pPr>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
    <w:nsid w:val="111456B9"/>
    <w:multiLevelType w:val="hybridMultilevel"/>
    <w:tmpl w:val="707A812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11CB5775"/>
    <w:multiLevelType w:val="multilevel"/>
    <w:tmpl w:val="0C848890"/>
    <w:lvl w:ilvl="0">
      <w:start w:val="1"/>
      <w:numFmt w:val="decimal"/>
      <w:pStyle w:val="Heading1"/>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567"/>
        </w:tabs>
        <w:ind w:left="567" w:hanging="567"/>
      </w:pPr>
      <w:rPr>
        <w:rFonts w:cs="Times New Roman"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nsid w:val="1B9D1CFC"/>
    <w:multiLevelType w:val="hybridMultilevel"/>
    <w:tmpl w:val="E3D29FCC"/>
    <w:lvl w:ilvl="0" w:tplc="B434DF16">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7">
    <w:nsid w:val="1FC031FF"/>
    <w:multiLevelType w:val="hybridMultilevel"/>
    <w:tmpl w:val="65ECA93A"/>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8">
    <w:nsid w:val="25C8313C"/>
    <w:multiLevelType w:val="hybridMultilevel"/>
    <w:tmpl w:val="4CD290EE"/>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2E0D65A5"/>
    <w:multiLevelType w:val="hybridMultilevel"/>
    <w:tmpl w:val="A446C45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0">
    <w:nsid w:val="2F1F0393"/>
    <w:multiLevelType w:val="hybridMultilevel"/>
    <w:tmpl w:val="B3E0199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301A0F5F"/>
    <w:multiLevelType w:val="hybridMultilevel"/>
    <w:tmpl w:val="A3D24170"/>
    <w:lvl w:ilvl="0" w:tplc="83CA4C82">
      <w:start w:val="4"/>
      <w:numFmt w:val="decimal"/>
      <w:lvlText w:val="%1."/>
      <w:lvlJc w:val="left"/>
      <w:pPr>
        <w:tabs>
          <w:tab w:val="num" w:pos="705"/>
        </w:tabs>
        <w:ind w:left="705" w:hanging="705"/>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2">
    <w:nsid w:val="32400C5C"/>
    <w:multiLevelType w:val="hybridMultilevel"/>
    <w:tmpl w:val="43B4BEBA"/>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3">
    <w:nsid w:val="32996571"/>
    <w:multiLevelType w:val="hybridMultilevel"/>
    <w:tmpl w:val="08840E0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4">
    <w:nsid w:val="35F95A02"/>
    <w:multiLevelType w:val="hybridMultilevel"/>
    <w:tmpl w:val="41B8BF4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5">
    <w:nsid w:val="3A465110"/>
    <w:multiLevelType w:val="hybridMultilevel"/>
    <w:tmpl w:val="FDB80C3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6">
    <w:nsid w:val="3A70290C"/>
    <w:multiLevelType w:val="hybridMultilevel"/>
    <w:tmpl w:val="C4A6AE64"/>
    <w:lvl w:ilvl="0" w:tplc="04130001">
      <w:start w:val="1"/>
      <w:numFmt w:val="bullet"/>
      <w:lvlText w:val=""/>
      <w:lvlJc w:val="left"/>
      <w:pPr>
        <w:tabs>
          <w:tab w:val="num" w:pos="786"/>
        </w:tabs>
        <w:ind w:left="786" w:hanging="360"/>
      </w:pPr>
      <w:rPr>
        <w:rFonts w:ascii="Symbol" w:hAnsi="Symbol" w:hint="default"/>
      </w:rPr>
    </w:lvl>
    <w:lvl w:ilvl="1" w:tplc="04130003" w:tentative="1">
      <w:start w:val="1"/>
      <w:numFmt w:val="bullet"/>
      <w:lvlText w:val="o"/>
      <w:lvlJc w:val="left"/>
      <w:pPr>
        <w:tabs>
          <w:tab w:val="num" w:pos="1506"/>
        </w:tabs>
        <w:ind w:left="1506" w:hanging="360"/>
      </w:pPr>
      <w:rPr>
        <w:rFonts w:ascii="Courier New" w:hAnsi="Courier New" w:hint="default"/>
      </w:rPr>
    </w:lvl>
    <w:lvl w:ilvl="2" w:tplc="04130005" w:tentative="1">
      <w:start w:val="1"/>
      <w:numFmt w:val="bullet"/>
      <w:lvlText w:val=""/>
      <w:lvlJc w:val="left"/>
      <w:pPr>
        <w:tabs>
          <w:tab w:val="num" w:pos="2226"/>
        </w:tabs>
        <w:ind w:left="2226" w:hanging="360"/>
      </w:pPr>
      <w:rPr>
        <w:rFonts w:ascii="Wingdings" w:hAnsi="Wingdings" w:hint="default"/>
      </w:rPr>
    </w:lvl>
    <w:lvl w:ilvl="3" w:tplc="04130001" w:tentative="1">
      <w:start w:val="1"/>
      <w:numFmt w:val="bullet"/>
      <w:lvlText w:val=""/>
      <w:lvlJc w:val="left"/>
      <w:pPr>
        <w:tabs>
          <w:tab w:val="num" w:pos="2946"/>
        </w:tabs>
        <w:ind w:left="2946" w:hanging="360"/>
      </w:pPr>
      <w:rPr>
        <w:rFonts w:ascii="Symbol" w:hAnsi="Symbol" w:hint="default"/>
      </w:rPr>
    </w:lvl>
    <w:lvl w:ilvl="4" w:tplc="04130003" w:tentative="1">
      <w:start w:val="1"/>
      <w:numFmt w:val="bullet"/>
      <w:lvlText w:val="o"/>
      <w:lvlJc w:val="left"/>
      <w:pPr>
        <w:tabs>
          <w:tab w:val="num" w:pos="3666"/>
        </w:tabs>
        <w:ind w:left="3666" w:hanging="360"/>
      </w:pPr>
      <w:rPr>
        <w:rFonts w:ascii="Courier New" w:hAnsi="Courier New" w:hint="default"/>
      </w:rPr>
    </w:lvl>
    <w:lvl w:ilvl="5" w:tplc="04130005" w:tentative="1">
      <w:start w:val="1"/>
      <w:numFmt w:val="bullet"/>
      <w:lvlText w:val=""/>
      <w:lvlJc w:val="left"/>
      <w:pPr>
        <w:tabs>
          <w:tab w:val="num" w:pos="4386"/>
        </w:tabs>
        <w:ind w:left="4386" w:hanging="360"/>
      </w:pPr>
      <w:rPr>
        <w:rFonts w:ascii="Wingdings" w:hAnsi="Wingdings" w:hint="default"/>
      </w:rPr>
    </w:lvl>
    <w:lvl w:ilvl="6" w:tplc="04130001" w:tentative="1">
      <w:start w:val="1"/>
      <w:numFmt w:val="bullet"/>
      <w:lvlText w:val=""/>
      <w:lvlJc w:val="left"/>
      <w:pPr>
        <w:tabs>
          <w:tab w:val="num" w:pos="5106"/>
        </w:tabs>
        <w:ind w:left="5106" w:hanging="360"/>
      </w:pPr>
      <w:rPr>
        <w:rFonts w:ascii="Symbol" w:hAnsi="Symbol" w:hint="default"/>
      </w:rPr>
    </w:lvl>
    <w:lvl w:ilvl="7" w:tplc="04130003" w:tentative="1">
      <w:start w:val="1"/>
      <w:numFmt w:val="bullet"/>
      <w:lvlText w:val="o"/>
      <w:lvlJc w:val="left"/>
      <w:pPr>
        <w:tabs>
          <w:tab w:val="num" w:pos="5826"/>
        </w:tabs>
        <w:ind w:left="5826" w:hanging="360"/>
      </w:pPr>
      <w:rPr>
        <w:rFonts w:ascii="Courier New" w:hAnsi="Courier New" w:hint="default"/>
      </w:rPr>
    </w:lvl>
    <w:lvl w:ilvl="8" w:tplc="04130005" w:tentative="1">
      <w:start w:val="1"/>
      <w:numFmt w:val="bullet"/>
      <w:lvlText w:val=""/>
      <w:lvlJc w:val="left"/>
      <w:pPr>
        <w:tabs>
          <w:tab w:val="num" w:pos="6546"/>
        </w:tabs>
        <w:ind w:left="6546" w:hanging="360"/>
      </w:pPr>
      <w:rPr>
        <w:rFonts w:ascii="Wingdings" w:hAnsi="Wingdings" w:hint="default"/>
      </w:rPr>
    </w:lvl>
  </w:abstractNum>
  <w:abstractNum w:abstractNumId="17">
    <w:nsid w:val="3BFF6CA2"/>
    <w:multiLevelType w:val="hybridMultilevel"/>
    <w:tmpl w:val="74880E0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8">
    <w:nsid w:val="3D885D94"/>
    <w:multiLevelType w:val="hybridMultilevel"/>
    <w:tmpl w:val="5AD6447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9">
    <w:nsid w:val="3F4D3FB3"/>
    <w:multiLevelType w:val="hybridMultilevel"/>
    <w:tmpl w:val="A12EDF8A"/>
    <w:lvl w:ilvl="0" w:tplc="31248D8C">
      <w:numFmt w:val="bullet"/>
      <w:lvlText w:val="-"/>
      <w:lvlJc w:val="left"/>
      <w:pPr>
        <w:tabs>
          <w:tab w:val="num" w:pos="1065"/>
        </w:tabs>
        <w:ind w:left="1065" w:hanging="360"/>
      </w:pPr>
      <w:rPr>
        <w:rFonts w:ascii="Times New Roman" w:eastAsia="Times New Roman" w:hAnsi="Times New Roman" w:hint="default"/>
      </w:rPr>
    </w:lvl>
    <w:lvl w:ilvl="1" w:tplc="04130003" w:tentative="1">
      <w:start w:val="1"/>
      <w:numFmt w:val="bullet"/>
      <w:lvlText w:val="o"/>
      <w:lvlJc w:val="left"/>
      <w:pPr>
        <w:tabs>
          <w:tab w:val="num" w:pos="1785"/>
        </w:tabs>
        <w:ind w:left="1785" w:hanging="360"/>
      </w:pPr>
      <w:rPr>
        <w:rFonts w:ascii="Courier New" w:hAnsi="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20">
    <w:nsid w:val="40A54038"/>
    <w:multiLevelType w:val="hybridMultilevel"/>
    <w:tmpl w:val="552606AC"/>
    <w:lvl w:ilvl="0" w:tplc="C206EF92">
      <w:start w:val="4"/>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nsid w:val="482D3C3B"/>
    <w:multiLevelType w:val="hybridMultilevel"/>
    <w:tmpl w:val="92D0AA96"/>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22">
    <w:nsid w:val="4BC46CA9"/>
    <w:multiLevelType w:val="hybridMultilevel"/>
    <w:tmpl w:val="8C36820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3">
    <w:nsid w:val="5446446E"/>
    <w:multiLevelType w:val="hybridMultilevel"/>
    <w:tmpl w:val="AE30FA8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4">
    <w:nsid w:val="54DD6625"/>
    <w:multiLevelType w:val="hybridMultilevel"/>
    <w:tmpl w:val="C568A4A8"/>
    <w:lvl w:ilvl="0" w:tplc="04130019">
      <w:start w:val="1"/>
      <w:numFmt w:val="lowerLetter"/>
      <w:lvlText w:val="%1."/>
      <w:lvlJc w:val="left"/>
      <w:pPr>
        <w:tabs>
          <w:tab w:val="num" w:pos="790"/>
        </w:tabs>
        <w:ind w:left="790" w:hanging="360"/>
      </w:pPr>
      <w:rPr>
        <w:rFonts w:cs="Times New Roman"/>
      </w:rPr>
    </w:lvl>
    <w:lvl w:ilvl="1" w:tplc="04130019" w:tentative="1">
      <w:start w:val="1"/>
      <w:numFmt w:val="lowerLetter"/>
      <w:lvlText w:val="%2."/>
      <w:lvlJc w:val="left"/>
      <w:pPr>
        <w:tabs>
          <w:tab w:val="num" w:pos="1510"/>
        </w:tabs>
        <w:ind w:left="1510" w:hanging="360"/>
      </w:pPr>
      <w:rPr>
        <w:rFonts w:cs="Times New Roman"/>
      </w:rPr>
    </w:lvl>
    <w:lvl w:ilvl="2" w:tplc="0413001B" w:tentative="1">
      <w:start w:val="1"/>
      <w:numFmt w:val="lowerRoman"/>
      <w:lvlText w:val="%3."/>
      <w:lvlJc w:val="right"/>
      <w:pPr>
        <w:tabs>
          <w:tab w:val="num" w:pos="2230"/>
        </w:tabs>
        <w:ind w:left="2230" w:hanging="180"/>
      </w:pPr>
      <w:rPr>
        <w:rFonts w:cs="Times New Roman"/>
      </w:rPr>
    </w:lvl>
    <w:lvl w:ilvl="3" w:tplc="0413000F" w:tentative="1">
      <w:start w:val="1"/>
      <w:numFmt w:val="decimal"/>
      <w:lvlText w:val="%4."/>
      <w:lvlJc w:val="left"/>
      <w:pPr>
        <w:tabs>
          <w:tab w:val="num" w:pos="2950"/>
        </w:tabs>
        <w:ind w:left="2950" w:hanging="360"/>
      </w:pPr>
      <w:rPr>
        <w:rFonts w:cs="Times New Roman"/>
      </w:rPr>
    </w:lvl>
    <w:lvl w:ilvl="4" w:tplc="04130019" w:tentative="1">
      <w:start w:val="1"/>
      <w:numFmt w:val="lowerLetter"/>
      <w:lvlText w:val="%5."/>
      <w:lvlJc w:val="left"/>
      <w:pPr>
        <w:tabs>
          <w:tab w:val="num" w:pos="3670"/>
        </w:tabs>
        <w:ind w:left="3670" w:hanging="360"/>
      </w:pPr>
      <w:rPr>
        <w:rFonts w:cs="Times New Roman"/>
      </w:rPr>
    </w:lvl>
    <w:lvl w:ilvl="5" w:tplc="0413001B" w:tentative="1">
      <w:start w:val="1"/>
      <w:numFmt w:val="lowerRoman"/>
      <w:lvlText w:val="%6."/>
      <w:lvlJc w:val="right"/>
      <w:pPr>
        <w:tabs>
          <w:tab w:val="num" w:pos="4390"/>
        </w:tabs>
        <w:ind w:left="4390" w:hanging="180"/>
      </w:pPr>
      <w:rPr>
        <w:rFonts w:cs="Times New Roman"/>
      </w:rPr>
    </w:lvl>
    <w:lvl w:ilvl="6" w:tplc="0413000F" w:tentative="1">
      <w:start w:val="1"/>
      <w:numFmt w:val="decimal"/>
      <w:lvlText w:val="%7."/>
      <w:lvlJc w:val="left"/>
      <w:pPr>
        <w:tabs>
          <w:tab w:val="num" w:pos="5110"/>
        </w:tabs>
        <w:ind w:left="5110" w:hanging="360"/>
      </w:pPr>
      <w:rPr>
        <w:rFonts w:cs="Times New Roman"/>
      </w:rPr>
    </w:lvl>
    <w:lvl w:ilvl="7" w:tplc="04130019" w:tentative="1">
      <w:start w:val="1"/>
      <w:numFmt w:val="lowerLetter"/>
      <w:lvlText w:val="%8."/>
      <w:lvlJc w:val="left"/>
      <w:pPr>
        <w:tabs>
          <w:tab w:val="num" w:pos="5830"/>
        </w:tabs>
        <w:ind w:left="5830" w:hanging="360"/>
      </w:pPr>
      <w:rPr>
        <w:rFonts w:cs="Times New Roman"/>
      </w:rPr>
    </w:lvl>
    <w:lvl w:ilvl="8" w:tplc="0413001B" w:tentative="1">
      <w:start w:val="1"/>
      <w:numFmt w:val="lowerRoman"/>
      <w:lvlText w:val="%9."/>
      <w:lvlJc w:val="right"/>
      <w:pPr>
        <w:tabs>
          <w:tab w:val="num" w:pos="6550"/>
        </w:tabs>
        <w:ind w:left="6550" w:hanging="180"/>
      </w:pPr>
      <w:rPr>
        <w:rFonts w:cs="Times New Roman"/>
      </w:rPr>
    </w:lvl>
  </w:abstractNum>
  <w:abstractNum w:abstractNumId="25">
    <w:nsid w:val="590132F4"/>
    <w:multiLevelType w:val="hybridMultilevel"/>
    <w:tmpl w:val="FAA2C86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6">
    <w:nsid w:val="5D8E5F91"/>
    <w:multiLevelType w:val="hybridMultilevel"/>
    <w:tmpl w:val="89A61222"/>
    <w:lvl w:ilvl="0" w:tplc="38A466C2">
      <w:start w:val="1"/>
      <w:numFmt w:val="decimal"/>
      <w:lvlText w:val="%1."/>
      <w:lvlJc w:val="left"/>
      <w:pPr>
        <w:ind w:left="720" w:hanging="360"/>
      </w:pPr>
      <w:rPr>
        <w:rFonts w:ascii="Verdana" w:hAnsi="Verdana" w:cs="Times New Roman" w:hint="default"/>
        <w:sz w:val="20"/>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7">
    <w:nsid w:val="5E8D06DC"/>
    <w:multiLevelType w:val="hybridMultilevel"/>
    <w:tmpl w:val="8DDCA43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8">
    <w:nsid w:val="5FCE290A"/>
    <w:multiLevelType w:val="multilevel"/>
    <w:tmpl w:val="8C36820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9">
    <w:nsid w:val="6C3F0049"/>
    <w:multiLevelType w:val="hybridMultilevel"/>
    <w:tmpl w:val="9508F9D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0">
    <w:nsid w:val="7A5F58A7"/>
    <w:multiLevelType w:val="hybridMultilevel"/>
    <w:tmpl w:val="EFDEC4D2"/>
    <w:lvl w:ilvl="0" w:tplc="47EEC2F0">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7E096E14"/>
    <w:multiLevelType w:val="hybridMultilevel"/>
    <w:tmpl w:val="3E220A0E"/>
    <w:lvl w:ilvl="0" w:tplc="D4B6CB20">
      <w:start w:val="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num>
  <w:num w:numId="3">
    <w:abstractNumId w:val="0"/>
  </w:num>
  <w:num w:numId="4">
    <w:abstractNumId w:val="27"/>
  </w:num>
  <w:num w:numId="5">
    <w:abstractNumId w:val="20"/>
  </w:num>
  <w:num w:numId="6">
    <w:abstractNumId w:val="3"/>
  </w:num>
  <w:num w:numId="7">
    <w:abstractNumId w:val="29"/>
  </w:num>
  <w:num w:numId="8">
    <w:abstractNumId w:val="18"/>
  </w:num>
  <w:num w:numId="9">
    <w:abstractNumId w:val="15"/>
  </w:num>
  <w:num w:numId="10">
    <w:abstractNumId w:val="2"/>
  </w:num>
  <w:num w:numId="11">
    <w:abstractNumId w:val="14"/>
  </w:num>
  <w:num w:numId="12">
    <w:abstractNumId w:val="6"/>
  </w:num>
  <w:num w:numId="13">
    <w:abstractNumId w:val="9"/>
  </w:num>
  <w:num w:numId="14">
    <w:abstractNumId w:val="21"/>
  </w:num>
  <w:num w:numId="15">
    <w:abstractNumId w:val="10"/>
  </w:num>
  <w:num w:numId="16">
    <w:abstractNumId w:val="31"/>
  </w:num>
  <w:num w:numId="17">
    <w:abstractNumId w:val="17"/>
  </w:num>
  <w:num w:numId="18">
    <w:abstractNumId w:val="8"/>
  </w:num>
  <w:num w:numId="19">
    <w:abstractNumId w:val="23"/>
  </w:num>
  <w:num w:numId="20">
    <w:abstractNumId w:val="19"/>
  </w:num>
  <w:num w:numId="21">
    <w:abstractNumId w:val="13"/>
  </w:num>
  <w:num w:numId="22">
    <w:abstractNumId w:val="25"/>
  </w:num>
  <w:num w:numId="23">
    <w:abstractNumId w:val="30"/>
  </w:num>
  <w:num w:numId="24">
    <w:abstractNumId w:val="12"/>
  </w:num>
  <w:num w:numId="25">
    <w:abstractNumId w:val="26"/>
  </w:num>
  <w:num w:numId="26">
    <w:abstractNumId w:val="22"/>
  </w:num>
  <w:num w:numId="27">
    <w:abstractNumId w:val="1"/>
  </w:num>
  <w:num w:numId="28">
    <w:abstractNumId w:val="28"/>
  </w:num>
  <w:num w:numId="29">
    <w:abstractNumId w:val="7"/>
  </w:num>
  <w:num w:numId="30">
    <w:abstractNumId w:val="16"/>
  </w:num>
  <w:num w:numId="31">
    <w:abstractNumId w:val="24"/>
  </w:num>
  <w:num w:numId="32">
    <w:abstractNumId w:val="4"/>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1544"/>
    <w:rsid w:val="00102476"/>
    <w:rsid w:val="001058E4"/>
    <w:rsid w:val="00111A5C"/>
    <w:rsid w:val="001561C9"/>
    <w:rsid w:val="0016148B"/>
    <w:rsid w:val="001755B2"/>
    <w:rsid w:val="001B36E8"/>
    <w:rsid w:val="001C0B52"/>
    <w:rsid w:val="001D50C6"/>
    <w:rsid w:val="001E5946"/>
    <w:rsid w:val="001F713E"/>
    <w:rsid w:val="00202FA9"/>
    <w:rsid w:val="0024660F"/>
    <w:rsid w:val="00287301"/>
    <w:rsid w:val="002B65A3"/>
    <w:rsid w:val="002F1544"/>
    <w:rsid w:val="0032261D"/>
    <w:rsid w:val="0034616F"/>
    <w:rsid w:val="003750D5"/>
    <w:rsid w:val="003B6A5C"/>
    <w:rsid w:val="00416373"/>
    <w:rsid w:val="00423F29"/>
    <w:rsid w:val="00451000"/>
    <w:rsid w:val="00457CE8"/>
    <w:rsid w:val="0046734E"/>
    <w:rsid w:val="0046761C"/>
    <w:rsid w:val="0047032B"/>
    <w:rsid w:val="00472C97"/>
    <w:rsid w:val="0047690B"/>
    <w:rsid w:val="00483181"/>
    <w:rsid w:val="00487F33"/>
    <w:rsid w:val="004A56C3"/>
    <w:rsid w:val="0050325B"/>
    <w:rsid w:val="00525F3B"/>
    <w:rsid w:val="00540203"/>
    <w:rsid w:val="005A48F6"/>
    <w:rsid w:val="005B3194"/>
    <w:rsid w:val="005D007C"/>
    <w:rsid w:val="006103D7"/>
    <w:rsid w:val="006530C8"/>
    <w:rsid w:val="006A5A3E"/>
    <w:rsid w:val="006E6E7A"/>
    <w:rsid w:val="007408E7"/>
    <w:rsid w:val="00755091"/>
    <w:rsid w:val="00766C70"/>
    <w:rsid w:val="0077225E"/>
    <w:rsid w:val="007939AF"/>
    <w:rsid w:val="00842183"/>
    <w:rsid w:val="00851F95"/>
    <w:rsid w:val="00872B8F"/>
    <w:rsid w:val="008C26DA"/>
    <w:rsid w:val="008E6175"/>
    <w:rsid w:val="00920A0E"/>
    <w:rsid w:val="009A2069"/>
    <w:rsid w:val="009A6335"/>
    <w:rsid w:val="00A13631"/>
    <w:rsid w:val="00A8473D"/>
    <w:rsid w:val="00AD549A"/>
    <w:rsid w:val="00AF072E"/>
    <w:rsid w:val="00B1787B"/>
    <w:rsid w:val="00B50801"/>
    <w:rsid w:val="00B54692"/>
    <w:rsid w:val="00B66B2A"/>
    <w:rsid w:val="00BB2A82"/>
    <w:rsid w:val="00BB38B7"/>
    <w:rsid w:val="00BB7E17"/>
    <w:rsid w:val="00C22ADA"/>
    <w:rsid w:val="00C276D8"/>
    <w:rsid w:val="00C503F8"/>
    <w:rsid w:val="00C625C9"/>
    <w:rsid w:val="00CC6D57"/>
    <w:rsid w:val="00CE287B"/>
    <w:rsid w:val="00CE2DB2"/>
    <w:rsid w:val="00D25863"/>
    <w:rsid w:val="00D35109"/>
    <w:rsid w:val="00D42C30"/>
    <w:rsid w:val="00D55531"/>
    <w:rsid w:val="00D63047"/>
    <w:rsid w:val="00D70E16"/>
    <w:rsid w:val="00DE405B"/>
    <w:rsid w:val="00E839E8"/>
    <w:rsid w:val="00EA0101"/>
    <w:rsid w:val="00EB0A62"/>
    <w:rsid w:val="00EC45F7"/>
    <w:rsid w:val="00ED0A1D"/>
    <w:rsid w:val="00EF367C"/>
    <w:rsid w:val="00EF5DE9"/>
    <w:rsid w:val="00F15E7B"/>
    <w:rsid w:val="00FD176E"/>
    <w:rsid w:val="00FF184E"/>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069"/>
    <w:rPr>
      <w:sz w:val="24"/>
      <w:szCs w:val="20"/>
      <w:lang w:val="nl-NL" w:eastAsia="nl-NL"/>
    </w:rPr>
  </w:style>
  <w:style w:type="paragraph" w:styleId="Heading1">
    <w:name w:val="heading 1"/>
    <w:basedOn w:val="Normal"/>
    <w:next w:val="Normal"/>
    <w:link w:val="Heading1Char"/>
    <w:uiPriority w:val="99"/>
    <w:qFormat/>
    <w:rsid w:val="009A2069"/>
    <w:pPr>
      <w:keepNext/>
      <w:numPr>
        <w:numId w:val="2"/>
      </w:numPr>
      <w:jc w:val="both"/>
      <w:outlineLvl w:val="0"/>
    </w:pPr>
    <w:rPr>
      <w:b/>
      <w:caps/>
    </w:rPr>
  </w:style>
  <w:style w:type="paragraph" w:styleId="Heading2">
    <w:name w:val="heading 2"/>
    <w:basedOn w:val="Normal"/>
    <w:next w:val="Normal"/>
    <w:link w:val="Heading2Char"/>
    <w:uiPriority w:val="99"/>
    <w:qFormat/>
    <w:rsid w:val="009A2069"/>
    <w:pPr>
      <w:keepNext/>
      <w:tabs>
        <w:tab w:val="num" w:pos="567"/>
      </w:tabs>
      <w:ind w:left="567" w:hanging="567"/>
      <w:outlineLvl w:val="1"/>
    </w:pPr>
    <w:rPr>
      <w:b/>
    </w:rPr>
  </w:style>
  <w:style w:type="paragraph" w:styleId="Heading3">
    <w:name w:val="heading 3"/>
    <w:basedOn w:val="Normal"/>
    <w:next w:val="Normal"/>
    <w:link w:val="Heading3Char"/>
    <w:uiPriority w:val="99"/>
    <w:qFormat/>
    <w:rsid w:val="009A2069"/>
    <w:pPr>
      <w:keepNext/>
      <w:tabs>
        <w:tab w:val="num" w:pos="567"/>
      </w:tabs>
      <w:ind w:left="567" w:hanging="567"/>
      <w:outlineLvl w:val="2"/>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7301"/>
    <w:rPr>
      <w:rFonts w:ascii="Cambria" w:hAnsi="Cambria" w:cs="Times New Roman"/>
      <w:b/>
      <w:bCs/>
      <w:kern w:val="32"/>
      <w:sz w:val="32"/>
      <w:szCs w:val="32"/>
      <w:lang w:val="nl-NL" w:eastAsia="nl-NL"/>
    </w:rPr>
  </w:style>
  <w:style w:type="character" w:customStyle="1" w:styleId="Heading2Char">
    <w:name w:val="Heading 2 Char"/>
    <w:basedOn w:val="DefaultParagraphFont"/>
    <w:link w:val="Heading2"/>
    <w:uiPriority w:val="99"/>
    <w:semiHidden/>
    <w:locked/>
    <w:rsid w:val="00287301"/>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sid w:val="00287301"/>
    <w:rPr>
      <w:rFonts w:ascii="Cambria" w:hAnsi="Cambria" w:cs="Times New Roman"/>
      <w:b/>
      <w:bCs/>
      <w:sz w:val="26"/>
      <w:szCs w:val="26"/>
      <w:lang w:val="nl-NL" w:eastAsia="nl-NL"/>
    </w:rPr>
  </w:style>
  <w:style w:type="paragraph" w:styleId="BalloonText">
    <w:name w:val="Balloon Text"/>
    <w:basedOn w:val="Normal"/>
    <w:link w:val="BalloonTextChar"/>
    <w:uiPriority w:val="99"/>
    <w:semiHidden/>
    <w:rsid w:val="006103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7301"/>
    <w:rPr>
      <w:rFonts w:cs="Times New Roman"/>
      <w:sz w:val="2"/>
      <w:lang w:val="nl-NL" w:eastAsia="nl-NL"/>
    </w:rPr>
  </w:style>
  <w:style w:type="paragraph" w:styleId="EnvelopeAddress">
    <w:name w:val="envelope address"/>
    <w:basedOn w:val="Normal"/>
    <w:uiPriority w:val="99"/>
    <w:rsid w:val="009A2069"/>
    <w:pPr>
      <w:framePr w:w="7920" w:h="1980" w:hRule="exact" w:hSpace="141" w:wrap="auto" w:hAnchor="page" w:xAlign="center" w:yAlign="bottom"/>
      <w:ind w:left="2880"/>
    </w:pPr>
  </w:style>
  <w:style w:type="paragraph" w:styleId="EnvelopeReturn">
    <w:name w:val="envelope return"/>
    <w:basedOn w:val="Normal"/>
    <w:uiPriority w:val="99"/>
    <w:rsid w:val="009A2069"/>
  </w:style>
  <w:style w:type="paragraph" w:styleId="TOC1">
    <w:name w:val="toc 1"/>
    <w:basedOn w:val="Normal"/>
    <w:next w:val="Normal"/>
    <w:autoRedefine/>
    <w:uiPriority w:val="99"/>
    <w:semiHidden/>
    <w:rsid w:val="009A2069"/>
    <w:pPr>
      <w:tabs>
        <w:tab w:val="right" w:leader="dot" w:pos="9741"/>
      </w:tabs>
      <w:spacing w:before="180" w:after="180"/>
      <w:ind w:left="567" w:hanging="567"/>
    </w:pPr>
    <w:rPr>
      <w:b/>
      <w:caps/>
      <w:noProof/>
    </w:rPr>
  </w:style>
  <w:style w:type="paragraph" w:styleId="TOC2">
    <w:name w:val="toc 2"/>
    <w:basedOn w:val="Normal"/>
    <w:next w:val="Normal"/>
    <w:autoRedefine/>
    <w:uiPriority w:val="99"/>
    <w:semiHidden/>
    <w:rsid w:val="009A2069"/>
    <w:pPr>
      <w:tabs>
        <w:tab w:val="right" w:leader="dot" w:pos="9741"/>
      </w:tabs>
      <w:spacing w:before="80" w:after="80"/>
      <w:ind w:left="1134" w:hanging="567"/>
    </w:pPr>
    <w:rPr>
      <w:noProof/>
    </w:rPr>
  </w:style>
  <w:style w:type="paragraph" w:styleId="TOC3">
    <w:name w:val="toc 3"/>
    <w:basedOn w:val="Normal"/>
    <w:next w:val="Normal"/>
    <w:autoRedefine/>
    <w:uiPriority w:val="99"/>
    <w:semiHidden/>
    <w:rsid w:val="009A2069"/>
    <w:pPr>
      <w:tabs>
        <w:tab w:val="right" w:leader="dot" w:pos="9741"/>
      </w:tabs>
      <w:spacing w:before="40" w:after="40"/>
      <w:ind w:left="1701" w:hanging="567"/>
    </w:pPr>
    <w:rPr>
      <w:i/>
    </w:rPr>
  </w:style>
  <w:style w:type="paragraph" w:styleId="BodyText2">
    <w:name w:val="Body Text 2"/>
    <w:basedOn w:val="Normal"/>
    <w:link w:val="BodyText2Char"/>
    <w:uiPriority w:val="99"/>
    <w:rsid w:val="009A2069"/>
    <w:pPr>
      <w:jc w:val="both"/>
    </w:pPr>
    <w:rPr>
      <w:i/>
      <w:sz w:val="22"/>
    </w:rPr>
  </w:style>
  <w:style w:type="character" w:customStyle="1" w:styleId="BodyText2Char">
    <w:name w:val="Body Text 2 Char"/>
    <w:basedOn w:val="DefaultParagraphFont"/>
    <w:link w:val="BodyText2"/>
    <w:uiPriority w:val="99"/>
    <w:semiHidden/>
    <w:locked/>
    <w:rsid w:val="00287301"/>
    <w:rPr>
      <w:rFonts w:cs="Times New Roman"/>
      <w:sz w:val="20"/>
      <w:szCs w:val="20"/>
      <w:lang w:val="nl-NL" w:eastAsia="nl-NL"/>
    </w:rPr>
  </w:style>
  <w:style w:type="character" w:customStyle="1" w:styleId="OpmaakprofielSV">
    <w:name w:val="Opmaakprofiel SV"/>
    <w:basedOn w:val="DefaultParagraphFont"/>
    <w:uiPriority w:val="99"/>
    <w:rsid w:val="002B65A3"/>
    <w:rPr>
      <w:rFonts w:ascii="Arial" w:hAnsi="Arial" w:cs="Times New Roman"/>
      <w:sz w:val="22"/>
    </w:rPr>
  </w:style>
  <w:style w:type="paragraph" w:customStyle="1" w:styleId="SVVlaamsParlement">
    <w:name w:val="SV Vlaams Parlement"/>
    <w:basedOn w:val="Normal"/>
    <w:uiPriority w:val="99"/>
    <w:rsid w:val="009A2069"/>
    <w:pPr>
      <w:jc w:val="both"/>
    </w:pPr>
    <w:rPr>
      <w:b/>
      <w:smallCaps/>
      <w:sz w:val="22"/>
    </w:rPr>
  </w:style>
  <w:style w:type="paragraph" w:customStyle="1" w:styleId="SVTitel">
    <w:name w:val="SV Titel"/>
    <w:basedOn w:val="Normal"/>
    <w:uiPriority w:val="99"/>
    <w:rsid w:val="009A2069"/>
    <w:pPr>
      <w:jc w:val="both"/>
    </w:pPr>
    <w:rPr>
      <w:i/>
      <w:sz w:val="22"/>
    </w:rPr>
  </w:style>
  <w:style w:type="paragraph" w:customStyle="1" w:styleId="StandaardSV">
    <w:name w:val="Standaard SV"/>
    <w:basedOn w:val="Normal"/>
    <w:uiPriority w:val="99"/>
    <w:rsid w:val="009A2069"/>
    <w:pPr>
      <w:jc w:val="both"/>
    </w:pPr>
    <w:rPr>
      <w:sz w:val="22"/>
    </w:rPr>
  </w:style>
  <w:style w:type="paragraph" w:styleId="ListParagraph">
    <w:name w:val="List Paragraph"/>
    <w:basedOn w:val="Normal"/>
    <w:uiPriority w:val="99"/>
    <w:qFormat/>
    <w:rsid w:val="002B65A3"/>
    <w:pPr>
      <w:ind w:left="708"/>
    </w:pPr>
    <w:rPr>
      <w:szCs w:val="24"/>
    </w:rPr>
  </w:style>
  <w:style w:type="paragraph" w:customStyle="1" w:styleId="ListParagraph1">
    <w:name w:val="List Paragraph1"/>
    <w:basedOn w:val="Normal"/>
    <w:uiPriority w:val="99"/>
    <w:rsid w:val="00FF184E"/>
    <w:pPr>
      <w:spacing w:after="200" w:line="276" w:lineRule="auto"/>
      <w:ind w:left="720"/>
      <w:contextualSpacing/>
    </w:pPr>
    <w:rPr>
      <w:rFonts w:ascii="Calibri" w:hAnsi="Calibri"/>
      <w:sz w:val="22"/>
      <w:szCs w:val="22"/>
      <w:lang w:val="nl-BE" w:eastAsia="en-US"/>
    </w:rPr>
  </w:style>
  <w:style w:type="paragraph" w:styleId="FootnoteText">
    <w:name w:val="footnote text"/>
    <w:basedOn w:val="Normal"/>
    <w:link w:val="FootnoteTextChar"/>
    <w:uiPriority w:val="99"/>
    <w:semiHidden/>
    <w:rsid w:val="005D007C"/>
    <w:rPr>
      <w:sz w:val="20"/>
    </w:rPr>
  </w:style>
  <w:style w:type="character" w:customStyle="1" w:styleId="FootnoteTextChar">
    <w:name w:val="Footnote Text Char"/>
    <w:basedOn w:val="DefaultParagraphFont"/>
    <w:link w:val="FootnoteText"/>
    <w:uiPriority w:val="99"/>
    <w:semiHidden/>
    <w:locked/>
    <w:rsid w:val="00287301"/>
    <w:rPr>
      <w:rFonts w:cs="Times New Roman"/>
      <w:sz w:val="20"/>
      <w:szCs w:val="20"/>
      <w:lang w:val="nl-NL" w:eastAsia="nl-NL"/>
    </w:rPr>
  </w:style>
  <w:style w:type="character" w:styleId="FootnoteReference">
    <w:name w:val="footnote reference"/>
    <w:basedOn w:val="DefaultParagraphFont"/>
    <w:uiPriority w:val="99"/>
    <w:semiHidden/>
    <w:rsid w:val="005D007C"/>
    <w:rPr>
      <w:rFonts w:cs="Times New Roman"/>
      <w:vertAlign w:val="superscript"/>
    </w:rPr>
  </w:style>
  <w:style w:type="paragraph" w:styleId="BodyTextIndent">
    <w:name w:val="Body Text Indent"/>
    <w:basedOn w:val="Normal"/>
    <w:link w:val="BodyTextIndentChar"/>
    <w:uiPriority w:val="99"/>
    <w:rsid w:val="00872B8F"/>
    <w:pPr>
      <w:spacing w:after="120"/>
      <w:ind w:left="283"/>
    </w:pPr>
  </w:style>
  <w:style w:type="character" w:customStyle="1" w:styleId="BodyTextIndentChar">
    <w:name w:val="Body Text Indent Char"/>
    <w:basedOn w:val="DefaultParagraphFont"/>
    <w:link w:val="BodyTextIndent"/>
    <w:uiPriority w:val="99"/>
    <w:semiHidden/>
    <w:locked/>
    <w:rsid w:val="00287301"/>
    <w:rPr>
      <w:rFonts w:cs="Times New Roman"/>
      <w:sz w:val="20"/>
      <w:szCs w:val="20"/>
      <w:lang w:val="nl-NL" w:eastAsia="nl-NL"/>
    </w:rPr>
  </w:style>
  <w:style w:type="paragraph" w:customStyle="1" w:styleId="OpmaakprofielBriefhoofdtekstVet">
    <w:name w:val="Opmaakprofiel Briefhoofdtekst + Vet"/>
    <w:basedOn w:val="Briefhoofdtekst"/>
    <w:uiPriority w:val="99"/>
    <w:semiHidden/>
    <w:rsid w:val="00872B8F"/>
    <w:rPr>
      <w:b/>
      <w:bCs/>
    </w:rPr>
  </w:style>
  <w:style w:type="paragraph" w:styleId="Header">
    <w:name w:val="header"/>
    <w:basedOn w:val="Normal"/>
    <w:link w:val="HeaderChar"/>
    <w:uiPriority w:val="99"/>
    <w:semiHidden/>
    <w:rsid w:val="00872B8F"/>
    <w:pPr>
      <w:tabs>
        <w:tab w:val="left" w:pos="284"/>
        <w:tab w:val="left" w:pos="567"/>
        <w:tab w:val="left" w:pos="851"/>
        <w:tab w:val="center" w:pos="4394"/>
        <w:tab w:val="center" w:pos="4536"/>
        <w:tab w:val="right" w:pos="8789"/>
        <w:tab w:val="right" w:pos="9072"/>
      </w:tabs>
      <w:spacing w:after="120"/>
    </w:pPr>
    <w:rPr>
      <w:rFonts w:ascii="Arial" w:hAnsi="Arial"/>
      <w:sz w:val="22"/>
      <w:szCs w:val="22"/>
    </w:rPr>
  </w:style>
  <w:style w:type="character" w:customStyle="1" w:styleId="HeaderChar">
    <w:name w:val="Header Char"/>
    <w:basedOn w:val="DefaultParagraphFont"/>
    <w:link w:val="Header"/>
    <w:uiPriority w:val="99"/>
    <w:semiHidden/>
    <w:locked/>
    <w:rsid w:val="00287301"/>
    <w:rPr>
      <w:rFonts w:cs="Times New Roman"/>
      <w:sz w:val="20"/>
      <w:szCs w:val="20"/>
      <w:lang w:val="nl-NL" w:eastAsia="nl-NL"/>
    </w:rPr>
  </w:style>
  <w:style w:type="paragraph" w:styleId="Footer">
    <w:name w:val="footer"/>
    <w:basedOn w:val="Normal"/>
    <w:link w:val="FooterChar"/>
    <w:uiPriority w:val="99"/>
    <w:semiHidden/>
    <w:rsid w:val="00872B8F"/>
    <w:pPr>
      <w:tabs>
        <w:tab w:val="center" w:pos="4394"/>
        <w:tab w:val="left" w:pos="8789"/>
      </w:tabs>
      <w:spacing w:before="360"/>
    </w:pPr>
    <w:rPr>
      <w:rFonts w:ascii="Arial" w:hAnsi="Arial"/>
      <w:sz w:val="22"/>
      <w:szCs w:val="22"/>
    </w:rPr>
  </w:style>
  <w:style w:type="character" w:customStyle="1" w:styleId="FooterChar">
    <w:name w:val="Footer Char"/>
    <w:basedOn w:val="DefaultParagraphFont"/>
    <w:link w:val="Footer"/>
    <w:uiPriority w:val="99"/>
    <w:semiHidden/>
    <w:locked/>
    <w:rsid w:val="00287301"/>
    <w:rPr>
      <w:rFonts w:cs="Times New Roman"/>
      <w:sz w:val="20"/>
      <w:szCs w:val="20"/>
      <w:lang w:val="nl-NL" w:eastAsia="nl-NL"/>
    </w:rPr>
  </w:style>
  <w:style w:type="character" w:styleId="PageNumber">
    <w:name w:val="page number"/>
    <w:basedOn w:val="DefaultParagraphFont"/>
    <w:uiPriority w:val="99"/>
    <w:semiHidden/>
    <w:rsid w:val="00872B8F"/>
    <w:rPr>
      <w:rFonts w:ascii="Garamond" w:hAnsi="Garamond" w:cs="Times New Roman"/>
      <w:sz w:val="20"/>
      <w:szCs w:val="20"/>
    </w:rPr>
  </w:style>
  <w:style w:type="paragraph" w:customStyle="1" w:styleId="Briefhoofdtekst">
    <w:name w:val="Briefhoofdtekst"/>
    <w:basedOn w:val="Normal"/>
    <w:uiPriority w:val="99"/>
    <w:semiHidden/>
    <w:rsid w:val="00872B8F"/>
    <w:pPr>
      <w:tabs>
        <w:tab w:val="left" w:pos="284"/>
        <w:tab w:val="left" w:pos="567"/>
        <w:tab w:val="left" w:pos="851"/>
        <w:tab w:val="center" w:pos="4394"/>
        <w:tab w:val="right" w:pos="8789"/>
      </w:tabs>
    </w:pPr>
    <w:rPr>
      <w:rFonts w:ascii="Arial" w:hAnsi="Arial"/>
      <w:sz w:val="22"/>
      <w:szCs w:val="22"/>
    </w:rPr>
  </w:style>
  <w:style w:type="paragraph" w:styleId="CommentText">
    <w:name w:val="annotation text"/>
    <w:basedOn w:val="Normal"/>
    <w:link w:val="CommentTextChar1"/>
    <w:uiPriority w:val="99"/>
    <w:semiHidden/>
    <w:rsid w:val="00872B8F"/>
    <w:pPr>
      <w:tabs>
        <w:tab w:val="left" w:pos="284"/>
        <w:tab w:val="left" w:pos="567"/>
        <w:tab w:val="left" w:pos="851"/>
        <w:tab w:val="center" w:pos="4394"/>
        <w:tab w:val="right" w:pos="8789"/>
      </w:tabs>
    </w:pPr>
    <w:rPr>
      <w:rFonts w:ascii="Arial" w:hAnsi="Arial"/>
      <w:szCs w:val="24"/>
    </w:rPr>
  </w:style>
  <w:style w:type="character" w:customStyle="1" w:styleId="CommentTextChar">
    <w:name w:val="Comment Text Char"/>
    <w:basedOn w:val="DefaultParagraphFont"/>
    <w:link w:val="CommentText"/>
    <w:uiPriority w:val="99"/>
    <w:semiHidden/>
    <w:locked/>
    <w:rsid w:val="00287301"/>
    <w:rPr>
      <w:rFonts w:cs="Times New Roman"/>
      <w:sz w:val="20"/>
      <w:szCs w:val="20"/>
      <w:lang w:val="nl-NL" w:eastAsia="nl-NL"/>
    </w:rPr>
  </w:style>
  <w:style w:type="character" w:styleId="Strong">
    <w:name w:val="Strong"/>
    <w:basedOn w:val="DefaultParagraphFont"/>
    <w:uiPriority w:val="99"/>
    <w:qFormat/>
    <w:locked/>
    <w:rsid w:val="00872B8F"/>
    <w:rPr>
      <w:rFonts w:cs="Times New Roman"/>
      <w:b/>
      <w:bCs/>
    </w:rPr>
  </w:style>
  <w:style w:type="character" w:styleId="Emphasis">
    <w:name w:val="Emphasis"/>
    <w:basedOn w:val="DefaultParagraphFont"/>
    <w:uiPriority w:val="99"/>
    <w:qFormat/>
    <w:locked/>
    <w:rsid w:val="00872B8F"/>
    <w:rPr>
      <w:rFonts w:cs="Times New Roman"/>
      <w:i/>
      <w:iCs/>
    </w:rPr>
  </w:style>
  <w:style w:type="paragraph" w:customStyle="1" w:styleId="Lijstalinea1">
    <w:name w:val="Lijstalinea1"/>
    <w:basedOn w:val="Normal"/>
    <w:link w:val="LijstalineaChar"/>
    <w:uiPriority w:val="99"/>
    <w:rsid w:val="00872B8F"/>
    <w:pPr>
      <w:spacing w:after="200" w:line="276" w:lineRule="auto"/>
      <w:ind w:left="720"/>
      <w:contextualSpacing/>
    </w:pPr>
    <w:rPr>
      <w:rFonts w:ascii="Calibri" w:hAnsi="Calibri"/>
      <w:sz w:val="22"/>
      <w:szCs w:val="22"/>
      <w:lang w:val="nl-BE" w:eastAsia="en-US"/>
    </w:rPr>
  </w:style>
  <w:style w:type="character" w:customStyle="1" w:styleId="LijstalineaChar">
    <w:name w:val="Lijstalinea Char"/>
    <w:basedOn w:val="DefaultParagraphFont"/>
    <w:link w:val="Lijstalinea1"/>
    <w:uiPriority w:val="99"/>
    <w:locked/>
    <w:rsid w:val="00872B8F"/>
    <w:rPr>
      <w:rFonts w:ascii="Calibri" w:hAnsi="Calibri" w:cs="Times New Roman"/>
      <w:sz w:val="22"/>
      <w:szCs w:val="22"/>
      <w:lang w:val="nl-BE" w:eastAsia="en-US" w:bidi="ar-SA"/>
    </w:rPr>
  </w:style>
  <w:style w:type="paragraph" w:customStyle="1" w:styleId="Tekst-VVPhuisstijl">
    <w:name w:val="Tekst - VVP huisstijl"/>
    <w:basedOn w:val="BodyText"/>
    <w:uiPriority w:val="99"/>
    <w:rsid w:val="00872B8F"/>
    <w:pPr>
      <w:spacing w:after="0"/>
    </w:pPr>
    <w:rPr>
      <w:rFonts w:ascii="Arial Narrow" w:hAnsi="Arial Narrow"/>
    </w:rPr>
  </w:style>
  <w:style w:type="table" w:styleId="TableGrid">
    <w:name w:val="Table Grid"/>
    <w:basedOn w:val="TableNormal"/>
    <w:uiPriority w:val="99"/>
    <w:rsid w:val="00872B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1">
    <w:name w:val="Comment Text Char1"/>
    <w:basedOn w:val="DefaultParagraphFont"/>
    <w:link w:val="CommentText"/>
    <w:uiPriority w:val="99"/>
    <w:semiHidden/>
    <w:locked/>
    <w:rsid w:val="00872B8F"/>
    <w:rPr>
      <w:rFonts w:ascii="Arial" w:hAnsi="Arial" w:cs="Times New Roman"/>
      <w:sz w:val="24"/>
      <w:szCs w:val="24"/>
      <w:lang w:val="nl-NL" w:eastAsia="nl-NL" w:bidi="ar-SA"/>
    </w:rPr>
  </w:style>
  <w:style w:type="paragraph" w:styleId="BodyText">
    <w:name w:val="Body Text"/>
    <w:basedOn w:val="Normal"/>
    <w:link w:val="BodyTextChar"/>
    <w:uiPriority w:val="99"/>
    <w:rsid w:val="00872B8F"/>
    <w:pPr>
      <w:spacing w:after="120"/>
    </w:pPr>
  </w:style>
  <w:style w:type="character" w:customStyle="1" w:styleId="BodyTextChar">
    <w:name w:val="Body Text Char"/>
    <w:basedOn w:val="DefaultParagraphFont"/>
    <w:link w:val="BodyText"/>
    <w:uiPriority w:val="99"/>
    <w:semiHidden/>
    <w:locked/>
    <w:rsid w:val="00287301"/>
    <w:rPr>
      <w:rFonts w:cs="Times New Roman"/>
      <w:sz w:val="20"/>
      <w:szCs w:val="20"/>
      <w:lang w:val="nl-NL" w:eastAsia="nl-NL"/>
    </w:rPr>
  </w:style>
</w:styles>
</file>

<file path=word/webSettings.xml><?xml version="1.0" encoding="utf-8"?>
<w:webSettings xmlns:r="http://schemas.openxmlformats.org/officeDocument/2006/relationships" xmlns:w="http://schemas.openxmlformats.org/wordprocessingml/2006/main">
  <w:divs>
    <w:div w:id="1718237697">
      <w:marLeft w:val="0"/>
      <w:marRight w:val="0"/>
      <w:marTop w:val="0"/>
      <w:marBottom w:val="0"/>
      <w:divBdr>
        <w:top w:val="none" w:sz="0" w:space="0" w:color="auto"/>
        <w:left w:val="none" w:sz="0" w:space="0" w:color="auto"/>
        <w:bottom w:val="none" w:sz="0" w:space="0" w:color="auto"/>
        <w:right w:val="none" w:sz="0" w:space="0" w:color="auto"/>
      </w:divBdr>
    </w:div>
    <w:div w:id="1718237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4</Pages>
  <Words>1392</Words>
  <Characters>7659</Characters>
  <Application>Microsoft Office Outlook</Application>
  <DocSecurity>0</DocSecurity>
  <Lines>0</Lines>
  <Paragraphs>0</Paragraphs>
  <ScaleCrop>false</ScaleCrop>
  <Company>Vlaams Parlement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subject/>
  <dc:creator>Isabelle Cauwel</dc:creator>
  <cp:keywords/>
  <dc:description/>
  <cp:lastModifiedBy>Nathalie De Keyzer</cp:lastModifiedBy>
  <cp:revision>5</cp:revision>
  <cp:lastPrinted>2010-10-05T13:12:00Z</cp:lastPrinted>
  <dcterms:created xsi:type="dcterms:W3CDTF">2010-11-08T08:52:00Z</dcterms:created>
  <dcterms:modified xsi:type="dcterms:W3CDTF">2010-11-09T09:28:00Z</dcterms:modified>
</cp:coreProperties>
</file>