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34268" w:rsidRPr="00DD4121" w:rsidRDefault="00C34268" w:rsidP="00F27CD0">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philippe muyters</w:t>
      </w:r>
      <w:r>
        <w:rPr>
          <w:szCs w:val="22"/>
        </w:rPr>
        <w:fldChar w:fldCharType="end"/>
      </w:r>
      <w:bookmarkEnd w:id="0"/>
    </w:p>
    <w:bookmarkStart w:id="1" w:name="Text2"/>
    <w:p w:rsidR="00C34268" w:rsidRPr="00015BF7" w:rsidRDefault="00C34268"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financiën, begroting, werk, ruimtelijke ordening en sport</w:t>
      </w:r>
      <w:r>
        <w:fldChar w:fldCharType="end"/>
      </w:r>
      <w:bookmarkEnd w:id="1"/>
    </w:p>
    <w:p w:rsidR="00C34268" w:rsidRPr="00015BF7" w:rsidRDefault="00C34268" w:rsidP="000976E9">
      <w:pPr>
        <w:rPr>
          <w:szCs w:val="22"/>
        </w:rPr>
      </w:pPr>
    </w:p>
    <w:p w:rsidR="00C34268" w:rsidRPr="00DB41C0" w:rsidRDefault="00C34268" w:rsidP="000976E9">
      <w:pPr>
        <w:pStyle w:val="A-Lijn"/>
      </w:pPr>
    </w:p>
    <w:p w:rsidR="00C34268" w:rsidRDefault="00C34268" w:rsidP="000976E9">
      <w:pPr>
        <w:pStyle w:val="A-Type"/>
        <w:sectPr w:rsidR="00C34268">
          <w:pgSz w:w="11906" w:h="16838"/>
          <w:pgMar w:top="1417" w:right="1417" w:bottom="1417" w:left="1417" w:header="708" w:footer="708" w:gutter="0"/>
          <w:cols w:space="708"/>
          <w:rtlGutter/>
          <w:docGrid w:linePitch="360"/>
        </w:sectPr>
      </w:pPr>
    </w:p>
    <w:p w:rsidR="00C34268" w:rsidRDefault="00C34268" w:rsidP="00F27CD0">
      <w:pPr>
        <w:pStyle w:val="A-Type"/>
        <w:outlineLvl w:val="0"/>
        <w:sectPr w:rsidR="00C3426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34268" w:rsidRPr="00326A58" w:rsidRDefault="00C3426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620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4268" w:rsidRDefault="00C3426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watteeuw</w:t>
      </w:r>
      <w:r w:rsidRPr="009D7043">
        <w:rPr>
          <w:rStyle w:val="AntwoordNaamMinisterChar"/>
          <w:sz w:val="22"/>
        </w:rPr>
        <w:fldChar w:fldCharType="end"/>
      </w:r>
    </w:p>
    <w:p w:rsidR="00C34268" w:rsidRPr="00015BF7" w:rsidRDefault="00C34268" w:rsidP="000976E9">
      <w:pPr>
        <w:rPr>
          <w:szCs w:val="22"/>
        </w:rPr>
      </w:pPr>
    </w:p>
    <w:p w:rsidR="00C34268" w:rsidRPr="00DB41C0" w:rsidRDefault="00C34268" w:rsidP="000976E9">
      <w:pPr>
        <w:pStyle w:val="A-Lijn"/>
      </w:pPr>
    </w:p>
    <w:p w:rsidR="00C34268" w:rsidRPr="00DB41C0" w:rsidRDefault="00C34268" w:rsidP="000976E9">
      <w:pPr>
        <w:pStyle w:val="A-Lijn"/>
      </w:pPr>
    </w:p>
    <w:p w:rsidR="00C34268" w:rsidRDefault="00C34268" w:rsidP="00DB41C0">
      <w:pPr>
        <w:sectPr w:rsidR="00C34268" w:rsidSect="000976E9">
          <w:type w:val="continuous"/>
          <w:pgSz w:w="11906" w:h="16838"/>
          <w:pgMar w:top="1417" w:right="1417" w:bottom="1417" w:left="1417" w:header="708" w:footer="708" w:gutter="0"/>
          <w:cols w:space="708"/>
          <w:rtlGutter/>
          <w:docGrid w:linePitch="360"/>
        </w:sectPr>
      </w:pPr>
    </w:p>
    <w:p w:rsidR="00C34268" w:rsidRPr="00A74ABC" w:rsidRDefault="00C34268" w:rsidP="00BC6CD4">
      <w:pPr>
        <w:pStyle w:val="StandaardSV"/>
        <w:numPr>
          <w:ilvl w:val="0"/>
          <w:numId w:val="25"/>
        </w:numPr>
        <w:tabs>
          <w:tab w:val="clear" w:pos="720"/>
          <w:tab w:val="num" w:pos="360"/>
        </w:tabs>
        <w:ind w:left="360"/>
      </w:pPr>
      <w:r w:rsidRPr="00A74ABC">
        <w:t xml:space="preserve">De controledienst voor de verkeersbelastingen van </w:t>
      </w:r>
      <w:r>
        <w:t>het IVA</w:t>
      </w:r>
      <w:r w:rsidRPr="00A74ABC">
        <w:t xml:space="preserve"> Vlabel zal tegen 1/1/2011 volledig operationeel zijn. Daartoe werden in dit verband reeds volgende beslissingen genomen om:</w:t>
      </w:r>
      <w:r>
        <w:br/>
      </w:r>
    </w:p>
    <w:p w:rsidR="00C34268" w:rsidRPr="00A74ABC" w:rsidRDefault="00C34268" w:rsidP="00BC6CD4">
      <w:pPr>
        <w:pStyle w:val="StandaardSV"/>
        <w:numPr>
          <w:ilvl w:val="1"/>
          <w:numId w:val="25"/>
        </w:numPr>
      </w:pPr>
      <w:r>
        <w:t>D</w:t>
      </w:r>
      <w:r w:rsidRPr="00A74ABC">
        <w:t xml:space="preserve">eze dienst verder op te richten via de bepalingen opgenomen in het Vlaams decreet van 9 juli 2010 houdende bepalingen tot begeleiding van de aanpassing van de begroting 2010 (B.S. 28 juli 2010). </w:t>
      </w:r>
    </w:p>
    <w:p w:rsidR="00C34268" w:rsidRPr="00A74ABC" w:rsidRDefault="00C34268" w:rsidP="00BC6CD4">
      <w:pPr>
        <w:pStyle w:val="StandaardSV"/>
        <w:ind w:left="765"/>
      </w:pPr>
      <w:r w:rsidRPr="00A74ABC">
        <w:t>Ter uitvoering daarvan werd het besluit van de Vlaamse Regering tot oprichting van een Vlaamse Controle-instantie voor de naleving van de wetten op de verkeersbelastingen en houdende wijziging van diverse bepalingen opgemaakt. De Vlaamse Regering heeft hieromtrent haar principiële goedkeuring gegeven d</w:t>
      </w:r>
      <w:r>
        <w:t>.</w:t>
      </w:r>
      <w:r w:rsidRPr="00A74ABC">
        <w:t xml:space="preserve">d. 17 september 2010 (VR 2010 1709 DOC.0836). </w:t>
      </w:r>
    </w:p>
    <w:p w:rsidR="00C34268" w:rsidRPr="00A74ABC" w:rsidRDefault="00C34268" w:rsidP="00BC6CD4">
      <w:pPr>
        <w:pStyle w:val="StandaardSV"/>
        <w:ind w:left="765"/>
      </w:pPr>
    </w:p>
    <w:p w:rsidR="00C34268" w:rsidRPr="00A74ABC" w:rsidRDefault="00C34268" w:rsidP="00BC6CD4">
      <w:pPr>
        <w:pStyle w:val="StandaardSV"/>
        <w:ind w:left="765"/>
      </w:pPr>
      <w:r w:rsidRPr="00A74ABC">
        <w:t xml:space="preserve">Daarnaast is er nog </w:t>
      </w:r>
      <w:r>
        <w:t>het ontwerp van besluit van de A</w:t>
      </w:r>
      <w:r w:rsidRPr="00A74ABC">
        <w:t xml:space="preserve">dministrateur-generaal tot oprichting van een Vlaamse controle-instantie op de naleving van de wetten op de verkeersbelastingen. Dit ontwerpbesluit regelt enkele praktische zaken zoals het uitzicht van de uniformen, de legitimatiekaarten en de voertuigen. Dit ontwerpbesluit ligt heden ter advies voor aan de Inspecteur van Financiën. </w:t>
      </w:r>
    </w:p>
    <w:p w:rsidR="00C34268" w:rsidRPr="00A74ABC" w:rsidRDefault="00C34268" w:rsidP="00BC6CD4">
      <w:pPr>
        <w:pStyle w:val="StandaardSV"/>
        <w:ind w:left="765"/>
      </w:pPr>
    </w:p>
    <w:p w:rsidR="00C34268" w:rsidRPr="00A74ABC" w:rsidRDefault="00C34268" w:rsidP="00BC6CD4">
      <w:pPr>
        <w:pStyle w:val="StandaardSV"/>
        <w:numPr>
          <w:ilvl w:val="1"/>
          <w:numId w:val="25"/>
        </w:numPr>
      </w:pPr>
      <w:r>
        <w:t>D</w:t>
      </w:r>
      <w:r w:rsidRPr="00A74ABC">
        <w:t>e controleurs van deze dienst de bevoegdheid van “officier van gerechtelijke politie” toe te kennen (dit bij Vlaams decreet van 9 juli 2010 houdende bepalingen tot begeleiding van de aanpassing van de begroting 2010 – B.S. 28 juli 2010). Bij dit decreet worden ook enkel</w:t>
      </w:r>
      <w:r>
        <w:t>e</w:t>
      </w:r>
      <w:r w:rsidRPr="00A74ABC">
        <w:t xml:space="preserve"> bevoegdheden verduidelijkt en de bewijskracht van de PV’s vastgelegd.)  </w:t>
      </w:r>
    </w:p>
    <w:p w:rsidR="00C34268" w:rsidRPr="00A74ABC" w:rsidRDefault="00C34268" w:rsidP="00BC6CD4">
      <w:pPr>
        <w:pStyle w:val="StandaardSV"/>
        <w:ind w:left="765"/>
      </w:pPr>
    </w:p>
    <w:p w:rsidR="00C34268" w:rsidRPr="00A74ABC" w:rsidRDefault="00C34268" w:rsidP="00BC6CD4">
      <w:pPr>
        <w:pStyle w:val="StandaardSV"/>
        <w:ind w:left="765"/>
      </w:pPr>
      <w:r w:rsidRPr="00A74ABC">
        <w:t xml:space="preserve">De bevoegdheden van de controleurs – officier </w:t>
      </w:r>
      <w:r>
        <w:t xml:space="preserve">van </w:t>
      </w:r>
      <w:r w:rsidRPr="00A74ABC">
        <w:t xml:space="preserve">gerechtelijke politie </w:t>
      </w:r>
      <w:r>
        <w:t xml:space="preserve">– </w:t>
      </w:r>
      <w:r w:rsidRPr="00A74ABC">
        <w:t>worden ook verder uitgewerkt in het besluit van de Vlaamse Regering tot oprichting van een Vlaamse Controle-instantie voor de naleving van de wetten op de verkeersbelastingen en houdende wijziging van diverse bepalingen.</w:t>
      </w:r>
    </w:p>
    <w:p w:rsidR="00C34268" w:rsidRPr="00A74ABC" w:rsidRDefault="00C34268" w:rsidP="00BC6CD4">
      <w:pPr>
        <w:pStyle w:val="StandaardSV"/>
        <w:ind w:left="765"/>
      </w:pPr>
    </w:p>
    <w:p w:rsidR="00C34268" w:rsidRPr="00A74ABC" w:rsidRDefault="00C34268" w:rsidP="00BC6CD4">
      <w:pPr>
        <w:pStyle w:val="StandaardSV"/>
        <w:ind w:left="765"/>
      </w:pPr>
      <w:r w:rsidRPr="00A74ABC">
        <w:t xml:space="preserve">Om zich te kunnen identificeren zullen zij over een legitimatiekaart beschikken. Daarnaast </w:t>
      </w:r>
      <w:r>
        <w:t>beschikken</w:t>
      </w:r>
      <w:r w:rsidRPr="00A74ABC">
        <w:t xml:space="preserve"> zij </w:t>
      </w:r>
      <w:r>
        <w:t xml:space="preserve">over </w:t>
      </w:r>
      <w:r w:rsidRPr="00A74ABC">
        <w:t xml:space="preserve">een uniform en </w:t>
      </w:r>
      <w:r>
        <w:t xml:space="preserve">voertuigen die als prioritair voertuig zijn ingericht (d.w.z. met zwaailicht en sirene) </w:t>
      </w:r>
      <w:r w:rsidRPr="00A74ABC">
        <w:t xml:space="preserve">om de herkenbaarheid ten aanzien van de burger en in het bijzonder op de openbare weg te vergroten. </w:t>
      </w:r>
    </w:p>
    <w:p w:rsidR="00C34268" w:rsidRPr="00A74ABC" w:rsidRDefault="00C34268" w:rsidP="00BC6CD4">
      <w:pPr>
        <w:pStyle w:val="StandaardSV"/>
      </w:pPr>
    </w:p>
    <w:p w:rsidR="00C34268" w:rsidRDefault="00C34268" w:rsidP="00BC6CD4">
      <w:pPr>
        <w:pStyle w:val="StandaardSV"/>
        <w:numPr>
          <w:ilvl w:val="1"/>
          <w:numId w:val="25"/>
        </w:numPr>
      </w:pPr>
      <w:r>
        <w:t>Tien</w:t>
      </w:r>
      <w:r w:rsidRPr="00A74ABC">
        <w:t xml:space="preserve"> voertuigen aan te kopen die op eenzelfde manier zullen uitgerust zijn als de huidige politie en douanevoertuigen. Bov</w:t>
      </w:r>
      <w:r>
        <w:t>en de in het ontwerpbesluit van de A</w:t>
      </w:r>
      <w:r w:rsidRPr="00A74ABC">
        <w:t>dministrateur-generaal beschreven (uiterlijke) kenmerken van het voertuig zullen zij eveneens uitgerust zijn met laptops die verbonden zijn met de Vlabel databanken. Medio 2011 wordt deze uitrusting eveneens uitgebre</w:t>
      </w:r>
      <w:r>
        <w:t>id met mobiele betaalterminals.</w:t>
      </w:r>
    </w:p>
    <w:p w:rsidR="00C34268" w:rsidRPr="00A74ABC" w:rsidRDefault="00C34268" w:rsidP="00BC6CD4">
      <w:pPr>
        <w:pStyle w:val="StandaardSV"/>
        <w:ind w:left="765"/>
      </w:pPr>
    </w:p>
    <w:p w:rsidR="00C34268" w:rsidRPr="004A3B36" w:rsidRDefault="00C34268" w:rsidP="00BC6CD4">
      <w:pPr>
        <w:pStyle w:val="Heading1"/>
        <w:keepNext w:val="0"/>
        <w:numPr>
          <w:ilvl w:val="1"/>
          <w:numId w:val="25"/>
        </w:numPr>
        <w:spacing w:before="0" w:after="90"/>
        <w:jc w:val="both"/>
        <w:rPr>
          <w:rFonts w:ascii="Times New Roman" w:hAnsi="Times New Roman" w:cs="Times New Roman"/>
          <w:b w:val="0"/>
          <w:bCs w:val="0"/>
          <w:kern w:val="0"/>
          <w:sz w:val="22"/>
          <w:szCs w:val="20"/>
        </w:rPr>
      </w:pPr>
      <w:r>
        <w:rPr>
          <w:rFonts w:ascii="Times New Roman" w:hAnsi="Times New Roman" w:cs="Times New Roman"/>
          <w:b w:val="0"/>
          <w:bCs w:val="0"/>
          <w:kern w:val="0"/>
          <w:sz w:val="22"/>
          <w:szCs w:val="20"/>
        </w:rPr>
        <w:t>D</w:t>
      </w:r>
      <w:r w:rsidRPr="004A3B36">
        <w:rPr>
          <w:rFonts w:ascii="Times New Roman" w:hAnsi="Times New Roman" w:cs="Times New Roman"/>
          <w:b w:val="0"/>
          <w:bCs w:val="0"/>
          <w:kern w:val="0"/>
          <w:sz w:val="22"/>
          <w:szCs w:val="20"/>
        </w:rPr>
        <w:t xml:space="preserve">e controleurs van deze dienst een uniform ter beschikking te stellen overeenkomstig de omzendbrief “FM 2002/01” van 25 oktober 2002. Gezien de taken van de controleurs van Vlabel op een gelijkaardige manier zullen worden uitgevoerd als de wegeninspecteurs, werd geopteerd om hen een uniform ter beschikking te stellen zoals destijds werd beschreven voor de Wegeninspecteurs (bijlage 3 van de vermelde omzendbrief). </w:t>
      </w:r>
    </w:p>
    <w:p w:rsidR="00C34268" w:rsidRPr="00A74ABC" w:rsidRDefault="00C34268" w:rsidP="00BC6CD4">
      <w:pPr>
        <w:pStyle w:val="StandaardSV"/>
      </w:pPr>
    </w:p>
    <w:p w:rsidR="00C34268" w:rsidRPr="00A74ABC" w:rsidRDefault="00C34268" w:rsidP="00BC6CD4">
      <w:pPr>
        <w:pStyle w:val="StandaardSV"/>
        <w:numPr>
          <w:ilvl w:val="0"/>
          <w:numId w:val="25"/>
        </w:numPr>
        <w:tabs>
          <w:tab w:val="clear" w:pos="720"/>
          <w:tab w:val="num" w:pos="360"/>
        </w:tabs>
        <w:ind w:left="360"/>
      </w:pPr>
      <w:r>
        <w:t>Er</w:t>
      </w:r>
      <w:r w:rsidRPr="00A74ABC">
        <w:t xml:space="preserve"> hebben zich </w:t>
      </w:r>
      <w:r>
        <w:t>405</w:t>
      </w:r>
      <w:r w:rsidRPr="00A74ABC">
        <w:t xml:space="preserve"> </w:t>
      </w:r>
      <w:r>
        <w:t xml:space="preserve">federale </w:t>
      </w:r>
      <w:r w:rsidRPr="00A74ABC">
        <w:t xml:space="preserve">ambtenaren vrijwillig </w:t>
      </w:r>
      <w:r>
        <w:t>aangeboden, waarvan er 235 door de FOD Financiën werden weerhouden om de</w:t>
      </w:r>
      <w:r w:rsidRPr="00A74ABC">
        <w:t xml:space="preserve"> overstap naar de Vlaamse Belastingdienst te maken. </w:t>
      </w:r>
      <w:r w:rsidRPr="00A74ABC">
        <w:br/>
        <w:t>De</w:t>
      </w:r>
      <w:r>
        <w:t xml:space="preserve"> procedure voor de ambtshalve </w:t>
      </w:r>
      <w:r w:rsidRPr="00A74ABC">
        <w:t>invulling van de overige vacante plaatsen</w:t>
      </w:r>
      <w:r>
        <w:t xml:space="preserve"> wordt</w:t>
      </w:r>
      <w:r w:rsidRPr="00A74ABC">
        <w:t xml:space="preserve"> momenteel </w:t>
      </w:r>
      <w:r>
        <w:t>opgestart</w:t>
      </w:r>
      <w:r w:rsidRPr="00A74ABC">
        <w:t xml:space="preserve"> </w:t>
      </w:r>
      <w:r>
        <w:t>door</w:t>
      </w:r>
      <w:r w:rsidRPr="00A74ABC">
        <w:t xml:space="preserve"> de FOD Financiën.</w:t>
      </w:r>
    </w:p>
    <w:p w:rsidR="00C34268" w:rsidRPr="00A74ABC" w:rsidRDefault="00C34268" w:rsidP="00BC6CD4">
      <w:pPr>
        <w:pStyle w:val="StandaardSV"/>
      </w:pPr>
    </w:p>
    <w:p w:rsidR="00C34268" w:rsidRDefault="00C34268" w:rsidP="00BC6CD4">
      <w:pPr>
        <w:pStyle w:val="StandaardSV"/>
        <w:numPr>
          <w:ilvl w:val="0"/>
          <w:numId w:val="25"/>
        </w:numPr>
        <w:tabs>
          <w:tab w:val="clear" w:pos="720"/>
          <w:tab w:val="num" w:pos="360"/>
        </w:tabs>
        <w:ind w:left="360"/>
      </w:pPr>
      <w:r w:rsidRPr="00A74ABC">
        <w:t>Hiervoor wordt verwezen naar antwoord 1.2. hierboven.</w:t>
      </w:r>
    </w:p>
    <w:p w:rsidR="00C34268" w:rsidRDefault="00C34268" w:rsidP="00BC6CD4">
      <w:pPr>
        <w:pStyle w:val="StandaardSV"/>
      </w:pPr>
    </w:p>
    <w:p w:rsidR="00C34268" w:rsidRPr="00BC6CD4" w:rsidRDefault="00C34268" w:rsidP="00BC6CD4">
      <w:pPr>
        <w:pStyle w:val="StandaardSV"/>
        <w:numPr>
          <w:ilvl w:val="0"/>
          <w:numId w:val="25"/>
        </w:numPr>
        <w:tabs>
          <w:tab w:val="clear" w:pos="720"/>
          <w:tab w:val="num" w:pos="360"/>
        </w:tabs>
        <w:ind w:left="360"/>
        <w:rPr>
          <w:szCs w:val="22"/>
          <w:lang w:val="nl-BE" w:eastAsia="nl-BE"/>
        </w:rPr>
      </w:pPr>
      <w:r w:rsidRPr="00A74ABC">
        <w:t>De gebruikelijke arbeidstijden tijdens de normale werkweek (van maandag tot vrijdag), zoals beschreven in het VPS, zijn eveneens van toepassing op deze ambtenaren; d.w.z. glijtijden van 7u30 tot 9u15, van 11u45 tot 12u45 en van 16u tot 1</w:t>
      </w:r>
      <w:r w:rsidRPr="002B5EBB">
        <w:rPr>
          <w:szCs w:val="22"/>
        </w:rPr>
        <w:t>9u en stamtijden van 9u15</w:t>
      </w:r>
      <w:r>
        <w:rPr>
          <w:szCs w:val="22"/>
        </w:rPr>
        <w:t xml:space="preserve"> tot 11u45 en van 13u45 tot 16u.</w:t>
      </w:r>
    </w:p>
    <w:p w:rsidR="00C34268" w:rsidRDefault="00C34268" w:rsidP="00BC6CD4">
      <w:pPr>
        <w:pStyle w:val="StandaardSV"/>
        <w:rPr>
          <w:szCs w:val="22"/>
        </w:rPr>
      </w:pPr>
    </w:p>
    <w:p w:rsidR="00C34268" w:rsidRPr="00BC6CD4" w:rsidRDefault="00C34268" w:rsidP="00BC6CD4">
      <w:pPr>
        <w:pStyle w:val="StandaardSV"/>
        <w:ind w:left="360"/>
        <w:rPr>
          <w:szCs w:val="22"/>
          <w:lang w:val="nl-BE" w:eastAsia="nl-BE"/>
        </w:rPr>
      </w:pPr>
      <w:r w:rsidRPr="00BC6CD4">
        <w:rPr>
          <w:szCs w:val="22"/>
        </w:rPr>
        <w:t>Omdat deze ambtenaren ook buiten de hierboven vermelde werkuren en tevens in het weekend prestaties zullen leveren, wordt ook hier de voorgeschreven regeling van het VPS gevolgd.</w:t>
      </w:r>
      <w:r w:rsidRPr="00BC6CD4">
        <w:rPr>
          <w:szCs w:val="22"/>
        </w:rPr>
        <w:br/>
      </w:r>
      <w:r w:rsidRPr="00BC6CD4">
        <w:rPr>
          <w:szCs w:val="22"/>
          <w:lang w:val="nl-BE" w:eastAsia="nl-BE"/>
        </w:rPr>
        <w:br/>
      </w:r>
      <w:r>
        <w:rPr>
          <w:szCs w:val="22"/>
          <w:lang w:val="nl-BE" w:eastAsia="nl-BE"/>
        </w:rPr>
        <w:t xml:space="preserve">Het IVA </w:t>
      </w:r>
      <w:r w:rsidRPr="00BC6CD4">
        <w:rPr>
          <w:szCs w:val="22"/>
          <w:lang w:val="nl-BE" w:eastAsia="nl-BE"/>
        </w:rPr>
        <w:t xml:space="preserve">Vlabel heeft ervoor geopteerd om compenserende inhaalrust toe te passen en de weekendprestaties op te nemen in de weekplanning. In geval er overuren ’s nachts of in het weekend dienen gepresteerd te worden, dan zullen deze worden uitbetaald. </w:t>
      </w:r>
    </w:p>
    <w:p w:rsidR="00C34268" w:rsidRPr="00A74ABC" w:rsidRDefault="00C34268" w:rsidP="00BC6CD4">
      <w:pPr>
        <w:pStyle w:val="StandaardSV"/>
        <w:ind w:left="360"/>
      </w:pPr>
    </w:p>
    <w:p w:rsidR="00C34268" w:rsidRDefault="00C34268" w:rsidP="00BC6CD4">
      <w:pPr>
        <w:pStyle w:val="StandaardSV"/>
        <w:numPr>
          <w:ilvl w:val="0"/>
          <w:numId w:val="25"/>
        </w:numPr>
        <w:tabs>
          <w:tab w:val="clear" w:pos="720"/>
          <w:tab w:val="num" w:pos="360"/>
        </w:tabs>
        <w:ind w:left="360"/>
      </w:pPr>
      <w:r w:rsidRPr="00A74ABC">
        <w:t xml:space="preserve">Naast controles die de Vlabel–controleurs alleen zullen uitvoeren, wordt er naar gestreefd om zoveel mogelijk te voorzien in een structurele samenwerking met andere controlerende instanties. </w:t>
      </w:r>
      <w:r w:rsidRPr="00A74ABC">
        <w:br/>
      </w:r>
      <w:r w:rsidRPr="00A74ABC">
        <w:br/>
        <w:t xml:space="preserve">In dat verband werden reeds – via de arrondissementscommissarissen en verbindingsofficieren van de politie – contacten gelegd met de federale en lokale politiediensten in Vlaanderen om deel te nemen aan de </w:t>
      </w:r>
      <w:r>
        <w:t xml:space="preserve">door </w:t>
      </w:r>
      <w:r w:rsidRPr="00A74ABC">
        <w:t>hen opgezette gecoördineerde acties. Tijdens deze gecoördineerde acties nemen momenteel verschillende diensten (o.a.</w:t>
      </w:r>
      <w:r>
        <w:t xml:space="preserve"> </w:t>
      </w:r>
      <w:r w:rsidRPr="00A74ABC">
        <w:t>Douane en Accijnzen, (weg)politie, wegen</w:t>
      </w:r>
      <w:r>
        <w:softHyphen/>
      </w:r>
      <w:r w:rsidRPr="00A74ABC">
        <w:t xml:space="preserve">inspectie, sociale inspectie, …) deel aan </w:t>
      </w:r>
      <w:r>
        <w:t>deze controles</w:t>
      </w:r>
      <w:r w:rsidRPr="00A74ABC">
        <w:t xml:space="preserve"> van een bepaalde politiezone. Net als met de brigades van de Douane en </w:t>
      </w:r>
      <w:r>
        <w:t xml:space="preserve">de </w:t>
      </w:r>
      <w:r w:rsidRPr="00A74ABC">
        <w:t>Vlaamse collega’s van de Afdeling Wegen en Verkeer wordt deze samenwerking op dit moment verder uitgewerkt.</w:t>
      </w:r>
    </w:p>
    <w:p w:rsidR="00C34268" w:rsidRDefault="00C34268" w:rsidP="00BC6CD4">
      <w:pPr>
        <w:pStyle w:val="StandaardSV"/>
        <w:ind w:left="360"/>
      </w:pPr>
      <w:r w:rsidRPr="00A74ABC">
        <w:br/>
        <w:t xml:space="preserve">In de praktijk is er - gebruikelijk - vooraf een briefing op het betrokken commissariaat waarin praktische afspraken worden gemaakt (bijvoorbeeld veiligheidsafspraken, wie voertuigen zal afleiden, enz.). Nadien begeeft iedere deelnemer zich naar de afgesproken plaats en controleert - binnen zijn bevoegdheidsdomein - de voertuigen die naar de kant van de weg werden afgeleid. </w:t>
      </w:r>
      <w:r w:rsidRPr="00A74ABC">
        <w:br/>
        <w:t>De controleurs van de Vlaamse Belastingdienst zullen in dit verband vanaf 1 januari 2011 de naleving van de verkeersbelastingen, de belasting op de inverkeerstelling en het eurovignet controleren.</w:t>
      </w:r>
      <w:r w:rsidRPr="00F6674E">
        <w:rPr>
          <w:color w:val="00B050"/>
        </w:rPr>
        <w:t xml:space="preserve"> </w:t>
      </w:r>
      <w:r w:rsidRPr="00F6674E">
        <w:rPr>
          <w:color w:val="00B050"/>
        </w:rPr>
        <w:br/>
      </w:r>
    </w:p>
    <w:p w:rsidR="00C34268" w:rsidRPr="008F6533" w:rsidRDefault="00C34268" w:rsidP="00A74ABC">
      <w:pPr>
        <w:pStyle w:val="StandaardSV"/>
      </w:pPr>
    </w:p>
    <w:p w:rsidR="00C34268" w:rsidRDefault="00C34268" w:rsidP="00A74ABC"/>
    <w:p w:rsidR="00C34268" w:rsidRPr="00293A4B" w:rsidRDefault="00C34268" w:rsidP="00114423">
      <w:pPr>
        <w:ind w:left="360" w:hanging="360"/>
        <w:jc w:val="both"/>
        <w:rPr>
          <w:color w:val="000000"/>
          <w:szCs w:val="22"/>
        </w:rPr>
      </w:pPr>
    </w:p>
    <w:sectPr w:rsidR="00C34268" w:rsidRPr="00293A4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17F"/>
    <w:multiLevelType w:val="hybridMultilevel"/>
    <w:tmpl w:val="3BBE682E"/>
    <w:lvl w:ilvl="0" w:tplc="E8B4DC68">
      <w:start w:val="1"/>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
    <w:nsid w:val="02E95057"/>
    <w:multiLevelType w:val="hybridMultilevel"/>
    <w:tmpl w:val="C7A475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6675AD2"/>
    <w:multiLevelType w:val="hybridMultilevel"/>
    <w:tmpl w:val="B5CE524E"/>
    <w:lvl w:ilvl="0" w:tplc="F37C628A">
      <w:start w:val="1"/>
      <w:numFmt w:val="decimal"/>
      <w:lvlText w:val="%1."/>
      <w:lvlJc w:val="left"/>
      <w:pPr>
        <w:tabs>
          <w:tab w:val="num" w:pos="1668"/>
        </w:tabs>
        <w:ind w:left="1668" w:hanging="9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3">
    <w:nsid w:val="0A4955B3"/>
    <w:multiLevelType w:val="multilevel"/>
    <w:tmpl w:val="F738A8A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D41C1A"/>
    <w:multiLevelType w:val="hybridMultilevel"/>
    <w:tmpl w:val="6D968D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EFA4A07"/>
    <w:multiLevelType w:val="hybridMultilevel"/>
    <w:tmpl w:val="78F4AB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B540978"/>
    <w:multiLevelType w:val="hybridMultilevel"/>
    <w:tmpl w:val="48206ECE"/>
    <w:lvl w:ilvl="0" w:tplc="E7CAE9D6">
      <w:start w:val="5"/>
      <w:numFmt w:val="decimal"/>
      <w:lvlText w:val="%1."/>
      <w:lvlJc w:val="left"/>
      <w:pPr>
        <w:tabs>
          <w:tab w:val="num" w:pos="541"/>
        </w:tabs>
        <w:ind w:left="541" w:hanging="540"/>
      </w:pPr>
      <w:rPr>
        <w:rFonts w:cs="Times New Roman" w:hint="default"/>
      </w:rPr>
    </w:lvl>
    <w:lvl w:ilvl="1" w:tplc="04130019" w:tentative="1">
      <w:start w:val="1"/>
      <w:numFmt w:val="lowerLetter"/>
      <w:lvlText w:val="%2."/>
      <w:lvlJc w:val="left"/>
      <w:pPr>
        <w:tabs>
          <w:tab w:val="num" w:pos="1081"/>
        </w:tabs>
        <w:ind w:left="1081" w:hanging="360"/>
      </w:pPr>
      <w:rPr>
        <w:rFonts w:cs="Times New Roman"/>
      </w:rPr>
    </w:lvl>
    <w:lvl w:ilvl="2" w:tplc="0413001B" w:tentative="1">
      <w:start w:val="1"/>
      <w:numFmt w:val="lowerRoman"/>
      <w:lvlText w:val="%3."/>
      <w:lvlJc w:val="right"/>
      <w:pPr>
        <w:tabs>
          <w:tab w:val="num" w:pos="1801"/>
        </w:tabs>
        <w:ind w:left="1801" w:hanging="180"/>
      </w:pPr>
      <w:rPr>
        <w:rFonts w:cs="Times New Roman"/>
      </w:rPr>
    </w:lvl>
    <w:lvl w:ilvl="3" w:tplc="0413000F" w:tentative="1">
      <w:start w:val="1"/>
      <w:numFmt w:val="decimal"/>
      <w:lvlText w:val="%4."/>
      <w:lvlJc w:val="left"/>
      <w:pPr>
        <w:tabs>
          <w:tab w:val="num" w:pos="2521"/>
        </w:tabs>
        <w:ind w:left="2521" w:hanging="360"/>
      </w:pPr>
      <w:rPr>
        <w:rFonts w:cs="Times New Roman"/>
      </w:rPr>
    </w:lvl>
    <w:lvl w:ilvl="4" w:tplc="04130019" w:tentative="1">
      <w:start w:val="1"/>
      <w:numFmt w:val="lowerLetter"/>
      <w:lvlText w:val="%5."/>
      <w:lvlJc w:val="left"/>
      <w:pPr>
        <w:tabs>
          <w:tab w:val="num" w:pos="3241"/>
        </w:tabs>
        <w:ind w:left="3241" w:hanging="360"/>
      </w:pPr>
      <w:rPr>
        <w:rFonts w:cs="Times New Roman"/>
      </w:rPr>
    </w:lvl>
    <w:lvl w:ilvl="5" w:tplc="0413001B" w:tentative="1">
      <w:start w:val="1"/>
      <w:numFmt w:val="lowerRoman"/>
      <w:lvlText w:val="%6."/>
      <w:lvlJc w:val="right"/>
      <w:pPr>
        <w:tabs>
          <w:tab w:val="num" w:pos="3961"/>
        </w:tabs>
        <w:ind w:left="3961" w:hanging="180"/>
      </w:pPr>
      <w:rPr>
        <w:rFonts w:cs="Times New Roman"/>
      </w:rPr>
    </w:lvl>
    <w:lvl w:ilvl="6" w:tplc="0413000F" w:tentative="1">
      <w:start w:val="1"/>
      <w:numFmt w:val="decimal"/>
      <w:lvlText w:val="%7."/>
      <w:lvlJc w:val="left"/>
      <w:pPr>
        <w:tabs>
          <w:tab w:val="num" w:pos="4681"/>
        </w:tabs>
        <w:ind w:left="4681" w:hanging="360"/>
      </w:pPr>
      <w:rPr>
        <w:rFonts w:cs="Times New Roman"/>
      </w:rPr>
    </w:lvl>
    <w:lvl w:ilvl="7" w:tplc="04130019" w:tentative="1">
      <w:start w:val="1"/>
      <w:numFmt w:val="lowerLetter"/>
      <w:lvlText w:val="%8."/>
      <w:lvlJc w:val="left"/>
      <w:pPr>
        <w:tabs>
          <w:tab w:val="num" w:pos="5401"/>
        </w:tabs>
        <w:ind w:left="5401" w:hanging="360"/>
      </w:pPr>
      <w:rPr>
        <w:rFonts w:cs="Times New Roman"/>
      </w:rPr>
    </w:lvl>
    <w:lvl w:ilvl="8" w:tplc="0413001B" w:tentative="1">
      <w:start w:val="1"/>
      <w:numFmt w:val="lowerRoman"/>
      <w:lvlText w:val="%9."/>
      <w:lvlJc w:val="right"/>
      <w:pPr>
        <w:tabs>
          <w:tab w:val="num" w:pos="6121"/>
        </w:tabs>
        <w:ind w:left="6121" w:hanging="180"/>
      </w:pPr>
      <w:rPr>
        <w:rFonts w:cs="Times New Roman"/>
      </w:rPr>
    </w:lvl>
  </w:abstractNum>
  <w:abstractNum w:abstractNumId="7">
    <w:nsid w:val="1C6A57BF"/>
    <w:multiLevelType w:val="hybridMultilevel"/>
    <w:tmpl w:val="27DA61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E1D6D2E"/>
    <w:multiLevelType w:val="hybridMultilevel"/>
    <w:tmpl w:val="E90C3346"/>
    <w:lvl w:ilvl="0" w:tplc="81503E56">
      <w:start w:val="4"/>
      <w:numFmt w:val="decimal"/>
      <w:lvlText w:val="%1."/>
      <w:lvlJc w:val="left"/>
      <w:pPr>
        <w:tabs>
          <w:tab w:val="num" w:pos="900"/>
        </w:tabs>
        <w:ind w:left="900" w:hanging="5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17B27FB"/>
    <w:multiLevelType w:val="hybridMultilevel"/>
    <w:tmpl w:val="1E80627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27355736"/>
    <w:multiLevelType w:val="multilevel"/>
    <w:tmpl w:val="E9D0736C"/>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92A696F"/>
    <w:multiLevelType w:val="hybridMultilevel"/>
    <w:tmpl w:val="1C984ACE"/>
    <w:lvl w:ilvl="0" w:tplc="C83E6E2C">
      <w:start w:val="3"/>
      <w:numFmt w:val="decimal"/>
      <w:lvlText w:val="%1."/>
      <w:lvlJc w:val="left"/>
      <w:pPr>
        <w:tabs>
          <w:tab w:val="num" w:pos="720"/>
        </w:tabs>
        <w:ind w:left="720" w:hanging="360"/>
      </w:pPr>
      <w:rPr>
        <w:rFonts w:ascii="Times-Roman" w:hAnsi="Times-Roman" w:cs="Times-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97B0E82"/>
    <w:multiLevelType w:val="hybridMultilevel"/>
    <w:tmpl w:val="05BAEC4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A216216"/>
    <w:multiLevelType w:val="multilevel"/>
    <w:tmpl w:val="5698758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CF593F"/>
    <w:multiLevelType w:val="multilevel"/>
    <w:tmpl w:val="F8BCEE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9190333"/>
    <w:multiLevelType w:val="multilevel"/>
    <w:tmpl w:val="57AE274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919764C"/>
    <w:multiLevelType w:val="hybridMultilevel"/>
    <w:tmpl w:val="440256FE"/>
    <w:lvl w:ilvl="0" w:tplc="E014089C">
      <w:start w:val="1"/>
      <w:numFmt w:val="decimal"/>
      <w:lvlText w:val="%1."/>
      <w:lvlJc w:val="left"/>
      <w:pPr>
        <w:tabs>
          <w:tab w:val="num" w:pos="360"/>
        </w:tabs>
        <w:ind w:left="360" w:hanging="360"/>
      </w:pPr>
      <w:rPr>
        <w:rFonts w:cs="Times New Roman"/>
        <w:smallCaps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52526258"/>
    <w:multiLevelType w:val="hybridMultilevel"/>
    <w:tmpl w:val="0B3E83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4365DBE"/>
    <w:multiLevelType w:val="hybridMultilevel"/>
    <w:tmpl w:val="08121CCA"/>
    <w:lvl w:ilvl="0" w:tplc="944C8DB0">
      <w:start w:val="1"/>
      <w:numFmt w:val="decimal"/>
      <w:lvlText w:val="%1."/>
      <w:lvlJc w:val="left"/>
      <w:pPr>
        <w:tabs>
          <w:tab w:val="num" w:pos="1683"/>
        </w:tabs>
        <w:ind w:left="1683" w:hanging="975"/>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9">
    <w:nsid w:val="5FA57D88"/>
    <w:multiLevelType w:val="multilevel"/>
    <w:tmpl w:val="2452A9E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1">
    <w:nsid w:val="64E85AF3"/>
    <w:multiLevelType w:val="hybridMultilevel"/>
    <w:tmpl w:val="6BDAE2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7C522348"/>
    <w:multiLevelType w:val="multilevel"/>
    <w:tmpl w:val="7ECCC7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D3123E3"/>
    <w:multiLevelType w:val="hybridMultilevel"/>
    <w:tmpl w:val="C1D80B6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0"/>
  </w:num>
  <w:num w:numId="3">
    <w:abstractNumId w:val="16"/>
  </w:num>
  <w:num w:numId="4">
    <w:abstractNumId w:val="4"/>
  </w:num>
  <w:num w:numId="5">
    <w:abstractNumId w:val="3"/>
  </w:num>
  <w:num w:numId="6">
    <w:abstractNumId w:val="13"/>
  </w:num>
  <w:num w:numId="7">
    <w:abstractNumId w:val="19"/>
  </w:num>
  <w:num w:numId="8">
    <w:abstractNumId w:val="14"/>
  </w:num>
  <w:num w:numId="9">
    <w:abstractNumId w:val="22"/>
  </w:num>
  <w:num w:numId="10">
    <w:abstractNumId w:val="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
  </w:num>
  <w:num w:numId="15">
    <w:abstractNumId w:val="18"/>
  </w:num>
  <w:num w:numId="16">
    <w:abstractNumId w:val="7"/>
  </w:num>
  <w:num w:numId="17">
    <w:abstractNumId w:val="11"/>
  </w:num>
  <w:num w:numId="18">
    <w:abstractNumId w:val="1"/>
  </w:num>
  <w:num w:numId="19">
    <w:abstractNumId w:val="23"/>
  </w:num>
  <w:num w:numId="20">
    <w:abstractNumId w:val="21"/>
  </w:num>
  <w:num w:numId="21">
    <w:abstractNumId w:val="9"/>
  </w:num>
  <w:num w:numId="22">
    <w:abstractNumId w:val="6"/>
  </w:num>
  <w:num w:numId="23">
    <w:abstractNumId w:val="0"/>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ABC"/>
    <w:rsid w:val="000026E0"/>
    <w:rsid w:val="00004388"/>
    <w:rsid w:val="00006E2C"/>
    <w:rsid w:val="000137AE"/>
    <w:rsid w:val="00013FA5"/>
    <w:rsid w:val="00015BF7"/>
    <w:rsid w:val="000247FA"/>
    <w:rsid w:val="00043D4C"/>
    <w:rsid w:val="00045CF7"/>
    <w:rsid w:val="000502E1"/>
    <w:rsid w:val="00060681"/>
    <w:rsid w:val="00065F78"/>
    <w:rsid w:val="00071EEA"/>
    <w:rsid w:val="00081D0B"/>
    <w:rsid w:val="00084CCB"/>
    <w:rsid w:val="00091B91"/>
    <w:rsid w:val="000976E9"/>
    <w:rsid w:val="000A1A40"/>
    <w:rsid w:val="000B72D7"/>
    <w:rsid w:val="000C2965"/>
    <w:rsid w:val="000C318D"/>
    <w:rsid w:val="000C425B"/>
    <w:rsid w:val="000C4E8C"/>
    <w:rsid w:val="000C6F02"/>
    <w:rsid w:val="000D4F23"/>
    <w:rsid w:val="000D6867"/>
    <w:rsid w:val="000E06DC"/>
    <w:rsid w:val="000E2C02"/>
    <w:rsid w:val="000E2D85"/>
    <w:rsid w:val="000E4682"/>
    <w:rsid w:val="000E6F3C"/>
    <w:rsid w:val="000F3532"/>
    <w:rsid w:val="000F41B7"/>
    <w:rsid w:val="00100A70"/>
    <w:rsid w:val="00107C60"/>
    <w:rsid w:val="00114423"/>
    <w:rsid w:val="00121523"/>
    <w:rsid w:val="001221E5"/>
    <w:rsid w:val="00123F8B"/>
    <w:rsid w:val="00130396"/>
    <w:rsid w:val="00134C31"/>
    <w:rsid w:val="00141954"/>
    <w:rsid w:val="0014197B"/>
    <w:rsid w:val="00142037"/>
    <w:rsid w:val="001425E4"/>
    <w:rsid w:val="00143455"/>
    <w:rsid w:val="001811C7"/>
    <w:rsid w:val="0018671C"/>
    <w:rsid w:val="0019553D"/>
    <w:rsid w:val="001A0709"/>
    <w:rsid w:val="001A54D1"/>
    <w:rsid w:val="001C4A66"/>
    <w:rsid w:val="001D08B8"/>
    <w:rsid w:val="001E209D"/>
    <w:rsid w:val="001E2D51"/>
    <w:rsid w:val="001E66BD"/>
    <w:rsid w:val="001F64F5"/>
    <w:rsid w:val="001F7D67"/>
    <w:rsid w:val="00205318"/>
    <w:rsid w:val="00210C07"/>
    <w:rsid w:val="00211DA5"/>
    <w:rsid w:val="002126A9"/>
    <w:rsid w:val="00215663"/>
    <w:rsid w:val="00227F78"/>
    <w:rsid w:val="00245AD9"/>
    <w:rsid w:val="0024642D"/>
    <w:rsid w:val="00247CA5"/>
    <w:rsid w:val="00250659"/>
    <w:rsid w:val="00263B00"/>
    <w:rsid w:val="002870A5"/>
    <w:rsid w:val="002910BA"/>
    <w:rsid w:val="00291EE4"/>
    <w:rsid w:val="00293A4B"/>
    <w:rsid w:val="002A1D72"/>
    <w:rsid w:val="002B1C28"/>
    <w:rsid w:val="002B5ACF"/>
    <w:rsid w:val="002B5EBB"/>
    <w:rsid w:val="002B692E"/>
    <w:rsid w:val="002B7F0E"/>
    <w:rsid w:val="002C316E"/>
    <w:rsid w:val="002D2748"/>
    <w:rsid w:val="002D5567"/>
    <w:rsid w:val="002D6BA7"/>
    <w:rsid w:val="002E4BCF"/>
    <w:rsid w:val="002E7B39"/>
    <w:rsid w:val="002F0BF8"/>
    <w:rsid w:val="00301E39"/>
    <w:rsid w:val="00302A22"/>
    <w:rsid w:val="0030723D"/>
    <w:rsid w:val="00314A57"/>
    <w:rsid w:val="00316462"/>
    <w:rsid w:val="00320357"/>
    <w:rsid w:val="00326A58"/>
    <w:rsid w:val="003304CA"/>
    <w:rsid w:val="00341997"/>
    <w:rsid w:val="003537CD"/>
    <w:rsid w:val="00362963"/>
    <w:rsid w:val="003673FF"/>
    <w:rsid w:val="0036747E"/>
    <w:rsid w:val="00370986"/>
    <w:rsid w:val="0037162A"/>
    <w:rsid w:val="00375121"/>
    <w:rsid w:val="0037712E"/>
    <w:rsid w:val="00377FB0"/>
    <w:rsid w:val="003830C1"/>
    <w:rsid w:val="00383CEF"/>
    <w:rsid w:val="003A02B1"/>
    <w:rsid w:val="003A1251"/>
    <w:rsid w:val="003A5D4B"/>
    <w:rsid w:val="003C3BA5"/>
    <w:rsid w:val="003D1384"/>
    <w:rsid w:val="003D45EC"/>
    <w:rsid w:val="003D4D88"/>
    <w:rsid w:val="003E6F8B"/>
    <w:rsid w:val="003E77EB"/>
    <w:rsid w:val="0040250A"/>
    <w:rsid w:val="00406FDC"/>
    <w:rsid w:val="004129AB"/>
    <w:rsid w:val="00414B26"/>
    <w:rsid w:val="0042007F"/>
    <w:rsid w:val="004200CD"/>
    <w:rsid w:val="004260BD"/>
    <w:rsid w:val="004460C2"/>
    <w:rsid w:val="0045436D"/>
    <w:rsid w:val="00457477"/>
    <w:rsid w:val="004577B0"/>
    <w:rsid w:val="00461338"/>
    <w:rsid w:val="00462BE3"/>
    <w:rsid w:val="004771AD"/>
    <w:rsid w:val="004820FF"/>
    <w:rsid w:val="0048625D"/>
    <w:rsid w:val="00486EE7"/>
    <w:rsid w:val="00496E33"/>
    <w:rsid w:val="004A3B36"/>
    <w:rsid w:val="004A6038"/>
    <w:rsid w:val="004A6BCB"/>
    <w:rsid w:val="004A7D66"/>
    <w:rsid w:val="004B137F"/>
    <w:rsid w:val="004B494D"/>
    <w:rsid w:val="004C0B6C"/>
    <w:rsid w:val="004C7C73"/>
    <w:rsid w:val="004D3FFC"/>
    <w:rsid w:val="004D5DA8"/>
    <w:rsid w:val="004E2A48"/>
    <w:rsid w:val="004E3067"/>
    <w:rsid w:val="004E4349"/>
    <w:rsid w:val="004E73D1"/>
    <w:rsid w:val="0050339A"/>
    <w:rsid w:val="005045F1"/>
    <w:rsid w:val="005062E5"/>
    <w:rsid w:val="0050752D"/>
    <w:rsid w:val="00511A2E"/>
    <w:rsid w:val="005313F0"/>
    <w:rsid w:val="005418BC"/>
    <w:rsid w:val="00544054"/>
    <w:rsid w:val="00551574"/>
    <w:rsid w:val="00555646"/>
    <w:rsid w:val="00560979"/>
    <w:rsid w:val="005610CD"/>
    <w:rsid w:val="00562739"/>
    <w:rsid w:val="00563FC5"/>
    <w:rsid w:val="0057239F"/>
    <w:rsid w:val="00572E5C"/>
    <w:rsid w:val="00572F86"/>
    <w:rsid w:val="00574F41"/>
    <w:rsid w:val="0058728D"/>
    <w:rsid w:val="00597C5A"/>
    <w:rsid w:val="005A33C5"/>
    <w:rsid w:val="005C3E0F"/>
    <w:rsid w:val="005C52F1"/>
    <w:rsid w:val="005D4D3C"/>
    <w:rsid w:val="005D6DD4"/>
    <w:rsid w:val="005E1069"/>
    <w:rsid w:val="005E323E"/>
    <w:rsid w:val="005E38CA"/>
    <w:rsid w:val="005E5AF8"/>
    <w:rsid w:val="005F3C9E"/>
    <w:rsid w:val="005F703D"/>
    <w:rsid w:val="00606AA6"/>
    <w:rsid w:val="006270EA"/>
    <w:rsid w:val="0063341E"/>
    <w:rsid w:val="00636D72"/>
    <w:rsid w:val="00646199"/>
    <w:rsid w:val="00675BE8"/>
    <w:rsid w:val="0067665F"/>
    <w:rsid w:val="006777A0"/>
    <w:rsid w:val="00686C3E"/>
    <w:rsid w:val="006944EF"/>
    <w:rsid w:val="006947BA"/>
    <w:rsid w:val="00694FA7"/>
    <w:rsid w:val="00697F91"/>
    <w:rsid w:val="006A5248"/>
    <w:rsid w:val="006B4DA6"/>
    <w:rsid w:val="006D13DD"/>
    <w:rsid w:val="006D19A3"/>
    <w:rsid w:val="006D73BC"/>
    <w:rsid w:val="006D7F6D"/>
    <w:rsid w:val="006E3F66"/>
    <w:rsid w:val="0071061C"/>
    <w:rsid w:val="007113BF"/>
    <w:rsid w:val="0071248C"/>
    <w:rsid w:val="00713AEA"/>
    <w:rsid w:val="0072360F"/>
    <w:rsid w:val="00724AD4"/>
    <w:rsid w:val="007252C7"/>
    <w:rsid w:val="00725E8E"/>
    <w:rsid w:val="0073010D"/>
    <w:rsid w:val="0073161F"/>
    <w:rsid w:val="007438FD"/>
    <w:rsid w:val="00755CBC"/>
    <w:rsid w:val="0075622C"/>
    <w:rsid w:val="007613D6"/>
    <w:rsid w:val="00762B28"/>
    <w:rsid w:val="00786B9E"/>
    <w:rsid w:val="0079145B"/>
    <w:rsid w:val="00792A09"/>
    <w:rsid w:val="007A44FE"/>
    <w:rsid w:val="007A5A56"/>
    <w:rsid w:val="007B6E0B"/>
    <w:rsid w:val="007C202D"/>
    <w:rsid w:val="007C2FD9"/>
    <w:rsid w:val="007C5A23"/>
    <w:rsid w:val="007F1701"/>
    <w:rsid w:val="007F4942"/>
    <w:rsid w:val="00800F01"/>
    <w:rsid w:val="00807E4C"/>
    <w:rsid w:val="00811ED9"/>
    <w:rsid w:val="00814FFE"/>
    <w:rsid w:val="008178CB"/>
    <w:rsid w:val="00823713"/>
    <w:rsid w:val="00823E5A"/>
    <w:rsid w:val="00824DD5"/>
    <w:rsid w:val="00832BF9"/>
    <w:rsid w:val="00833D84"/>
    <w:rsid w:val="008350EA"/>
    <w:rsid w:val="008358B4"/>
    <w:rsid w:val="00835A40"/>
    <w:rsid w:val="00841D47"/>
    <w:rsid w:val="0084265C"/>
    <w:rsid w:val="00844709"/>
    <w:rsid w:val="008459A7"/>
    <w:rsid w:val="00851353"/>
    <w:rsid w:val="00856EA8"/>
    <w:rsid w:val="008827D8"/>
    <w:rsid w:val="0088353D"/>
    <w:rsid w:val="0088516B"/>
    <w:rsid w:val="0088721E"/>
    <w:rsid w:val="00890098"/>
    <w:rsid w:val="0089010F"/>
    <w:rsid w:val="00890B1C"/>
    <w:rsid w:val="00895EE3"/>
    <w:rsid w:val="008A4671"/>
    <w:rsid w:val="008A56CD"/>
    <w:rsid w:val="008B3678"/>
    <w:rsid w:val="008B5382"/>
    <w:rsid w:val="008B5F4C"/>
    <w:rsid w:val="008C130D"/>
    <w:rsid w:val="008D584C"/>
    <w:rsid w:val="008D5DB4"/>
    <w:rsid w:val="008D6F25"/>
    <w:rsid w:val="008E74EB"/>
    <w:rsid w:val="008F507F"/>
    <w:rsid w:val="008F6533"/>
    <w:rsid w:val="00903735"/>
    <w:rsid w:val="00930E1B"/>
    <w:rsid w:val="009421F3"/>
    <w:rsid w:val="009603BA"/>
    <w:rsid w:val="00963158"/>
    <w:rsid w:val="00972F90"/>
    <w:rsid w:val="00982F6A"/>
    <w:rsid w:val="0099528A"/>
    <w:rsid w:val="009A20E5"/>
    <w:rsid w:val="009A3908"/>
    <w:rsid w:val="009B4209"/>
    <w:rsid w:val="009B6506"/>
    <w:rsid w:val="009D47A3"/>
    <w:rsid w:val="009D7043"/>
    <w:rsid w:val="009D759F"/>
    <w:rsid w:val="009E153F"/>
    <w:rsid w:val="009E1D72"/>
    <w:rsid w:val="009E6DCB"/>
    <w:rsid w:val="009F0D6E"/>
    <w:rsid w:val="00A032BE"/>
    <w:rsid w:val="00A055A8"/>
    <w:rsid w:val="00A33AC7"/>
    <w:rsid w:val="00A36C85"/>
    <w:rsid w:val="00A42376"/>
    <w:rsid w:val="00A4347D"/>
    <w:rsid w:val="00A462D9"/>
    <w:rsid w:val="00A63180"/>
    <w:rsid w:val="00A72DB6"/>
    <w:rsid w:val="00A74ABC"/>
    <w:rsid w:val="00A75559"/>
    <w:rsid w:val="00A80393"/>
    <w:rsid w:val="00A82978"/>
    <w:rsid w:val="00A84510"/>
    <w:rsid w:val="00A87677"/>
    <w:rsid w:val="00A9146D"/>
    <w:rsid w:val="00A954A4"/>
    <w:rsid w:val="00AA3454"/>
    <w:rsid w:val="00AA5B2E"/>
    <w:rsid w:val="00AA74DC"/>
    <w:rsid w:val="00AB64EF"/>
    <w:rsid w:val="00AB7FDA"/>
    <w:rsid w:val="00AC2D39"/>
    <w:rsid w:val="00AC4306"/>
    <w:rsid w:val="00AC57E9"/>
    <w:rsid w:val="00AD5031"/>
    <w:rsid w:val="00AE0849"/>
    <w:rsid w:val="00AE296C"/>
    <w:rsid w:val="00AF0D1A"/>
    <w:rsid w:val="00AF23B7"/>
    <w:rsid w:val="00AF362E"/>
    <w:rsid w:val="00B03BE7"/>
    <w:rsid w:val="00B05A0A"/>
    <w:rsid w:val="00B22B7A"/>
    <w:rsid w:val="00B32CCF"/>
    <w:rsid w:val="00B33824"/>
    <w:rsid w:val="00B33F0D"/>
    <w:rsid w:val="00B340E7"/>
    <w:rsid w:val="00B377A2"/>
    <w:rsid w:val="00B4115F"/>
    <w:rsid w:val="00B45EB2"/>
    <w:rsid w:val="00B52F36"/>
    <w:rsid w:val="00B62C68"/>
    <w:rsid w:val="00B820A9"/>
    <w:rsid w:val="00B82E6A"/>
    <w:rsid w:val="00B923C4"/>
    <w:rsid w:val="00B95B33"/>
    <w:rsid w:val="00BB03B5"/>
    <w:rsid w:val="00BC2A35"/>
    <w:rsid w:val="00BC31E1"/>
    <w:rsid w:val="00BC6CD4"/>
    <w:rsid w:val="00BE0C7A"/>
    <w:rsid w:val="00BE1663"/>
    <w:rsid w:val="00BE36CC"/>
    <w:rsid w:val="00BE425A"/>
    <w:rsid w:val="00BE5D7E"/>
    <w:rsid w:val="00BE71BE"/>
    <w:rsid w:val="00BE7823"/>
    <w:rsid w:val="00C01B19"/>
    <w:rsid w:val="00C04398"/>
    <w:rsid w:val="00C06042"/>
    <w:rsid w:val="00C10D3C"/>
    <w:rsid w:val="00C15B79"/>
    <w:rsid w:val="00C160D9"/>
    <w:rsid w:val="00C178C8"/>
    <w:rsid w:val="00C26552"/>
    <w:rsid w:val="00C31918"/>
    <w:rsid w:val="00C34268"/>
    <w:rsid w:val="00C41256"/>
    <w:rsid w:val="00C42F0B"/>
    <w:rsid w:val="00C519E7"/>
    <w:rsid w:val="00C57488"/>
    <w:rsid w:val="00C63B70"/>
    <w:rsid w:val="00C75490"/>
    <w:rsid w:val="00C7793E"/>
    <w:rsid w:val="00C81F84"/>
    <w:rsid w:val="00C902B7"/>
    <w:rsid w:val="00C9035B"/>
    <w:rsid w:val="00C9212A"/>
    <w:rsid w:val="00C9261E"/>
    <w:rsid w:val="00C933B1"/>
    <w:rsid w:val="00C96865"/>
    <w:rsid w:val="00CA27BA"/>
    <w:rsid w:val="00CA384F"/>
    <w:rsid w:val="00CA45DB"/>
    <w:rsid w:val="00CB22A8"/>
    <w:rsid w:val="00CB259D"/>
    <w:rsid w:val="00CB6639"/>
    <w:rsid w:val="00CD1403"/>
    <w:rsid w:val="00CD54A6"/>
    <w:rsid w:val="00CF55CD"/>
    <w:rsid w:val="00D04505"/>
    <w:rsid w:val="00D16035"/>
    <w:rsid w:val="00D2518A"/>
    <w:rsid w:val="00D27FED"/>
    <w:rsid w:val="00D50E8E"/>
    <w:rsid w:val="00D53BFB"/>
    <w:rsid w:val="00D63AEC"/>
    <w:rsid w:val="00D63E6C"/>
    <w:rsid w:val="00D71D99"/>
    <w:rsid w:val="00D746F4"/>
    <w:rsid w:val="00D748B7"/>
    <w:rsid w:val="00D749D7"/>
    <w:rsid w:val="00D754F2"/>
    <w:rsid w:val="00D819A8"/>
    <w:rsid w:val="00D82914"/>
    <w:rsid w:val="00DA2EB7"/>
    <w:rsid w:val="00DA6EFF"/>
    <w:rsid w:val="00DB41C0"/>
    <w:rsid w:val="00DB489E"/>
    <w:rsid w:val="00DC32B0"/>
    <w:rsid w:val="00DC349C"/>
    <w:rsid w:val="00DC3E54"/>
    <w:rsid w:val="00DC4DB6"/>
    <w:rsid w:val="00DC4F5C"/>
    <w:rsid w:val="00DD0E2B"/>
    <w:rsid w:val="00DD4121"/>
    <w:rsid w:val="00DD4392"/>
    <w:rsid w:val="00DE0940"/>
    <w:rsid w:val="00DE2A98"/>
    <w:rsid w:val="00DF407D"/>
    <w:rsid w:val="00DF4705"/>
    <w:rsid w:val="00E05E84"/>
    <w:rsid w:val="00E20F33"/>
    <w:rsid w:val="00E21C2A"/>
    <w:rsid w:val="00E24172"/>
    <w:rsid w:val="00E31F4D"/>
    <w:rsid w:val="00E351C8"/>
    <w:rsid w:val="00E55200"/>
    <w:rsid w:val="00E56716"/>
    <w:rsid w:val="00E6307D"/>
    <w:rsid w:val="00E64598"/>
    <w:rsid w:val="00E6587F"/>
    <w:rsid w:val="00E673A9"/>
    <w:rsid w:val="00E71334"/>
    <w:rsid w:val="00E722B2"/>
    <w:rsid w:val="00E77785"/>
    <w:rsid w:val="00E81B9D"/>
    <w:rsid w:val="00E821A7"/>
    <w:rsid w:val="00E839AD"/>
    <w:rsid w:val="00E84E07"/>
    <w:rsid w:val="00E873B5"/>
    <w:rsid w:val="00E91BAC"/>
    <w:rsid w:val="00EA13B8"/>
    <w:rsid w:val="00EA2473"/>
    <w:rsid w:val="00EB3358"/>
    <w:rsid w:val="00EC1B21"/>
    <w:rsid w:val="00ED2A27"/>
    <w:rsid w:val="00EE10E6"/>
    <w:rsid w:val="00EE149D"/>
    <w:rsid w:val="00EE1FB4"/>
    <w:rsid w:val="00EE4DAC"/>
    <w:rsid w:val="00EE5CD0"/>
    <w:rsid w:val="00F02EFF"/>
    <w:rsid w:val="00F148F4"/>
    <w:rsid w:val="00F27CD0"/>
    <w:rsid w:val="00F34A9B"/>
    <w:rsid w:val="00F354F7"/>
    <w:rsid w:val="00F375F6"/>
    <w:rsid w:val="00F42146"/>
    <w:rsid w:val="00F47DA8"/>
    <w:rsid w:val="00F5164F"/>
    <w:rsid w:val="00F60B73"/>
    <w:rsid w:val="00F6674E"/>
    <w:rsid w:val="00F710A7"/>
    <w:rsid w:val="00F83360"/>
    <w:rsid w:val="00F85086"/>
    <w:rsid w:val="00F872B1"/>
    <w:rsid w:val="00F90D38"/>
    <w:rsid w:val="00FA29D6"/>
    <w:rsid w:val="00FA74E8"/>
    <w:rsid w:val="00FA7A0A"/>
    <w:rsid w:val="00FB2904"/>
    <w:rsid w:val="00FB7E37"/>
    <w:rsid w:val="00FC0C20"/>
    <w:rsid w:val="00FC22D1"/>
    <w:rsid w:val="00FC4E46"/>
    <w:rsid w:val="00FD5BF4"/>
    <w:rsid w:val="00FE4CE4"/>
    <w:rsid w:val="00FE5406"/>
    <w:rsid w:val="00FE65C2"/>
    <w:rsid w:val="00FF2B4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9E"/>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BC"/>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
    <w:semiHidden/>
    <w:rsid w:val="00320FC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20FC8"/>
    <w:rPr>
      <w:rFonts w:asciiTheme="majorHAnsi" w:eastAsiaTheme="majorEastAsia" w:hAnsiTheme="majorHAnsi" w:cstheme="majorBidi"/>
      <w:b/>
      <w:bCs/>
      <w:sz w:val="26"/>
      <w:szCs w:val="26"/>
      <w:lang w:val="nl-NL" w:eastAsia="nl-NL"/>
    </w:rPr>
  </w:style>
  <w:style w:type="paragraph" w:customStyle="1" w:styleId="Tekstbrief">
    <w:name w:val="Tekst brief"/>
    <w:basedOn w:val="CommentText"/>
    <w:uiPriority w:val="99"/>
    <w:semiHidden/>
    <w:rsid w:val="0040250A"/>
    <w:pPr>
      <w:tabs>
        <w:tab w:val="left" w:pos="284"/>
        <w:tab w:val="left" w:pos="567"/>
        <w:tab w:val="left" w:pos="851"/>
        <w:tab w:val="center" w:pos="4111"/>
        <w:tab w:val="right" w:pos="8789"/>
      </w:tabs>
    </w:pPr>
    <w:rPr>
      <w:rFonts w:ascii="Garamond" w:hAnsi="Garamond"/>
      <w:sz w:val="22"/>
      <w:szCs w:val="22"/>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20FC8"/>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CommentText">
    <w:name w:val="annotation text"/>
    <w:basedOn w:val="Normal"/>
    <w:link w:val="CommentTextChar"/>
    <w:uiPriority w:val="99"/>
    <w:semiHidden/>
    <w:rsid w:val="0040250A"/>
    <w:rPr>
      <w:sz w:val="20"/>
      <w:szCs w:val="20"/>
    </w:rPr>
  </w:style>
  <w:style w:type="character" w:customStyle="1" w:styleId="CommentTextChar">
    <w:name w:val="Comment Text Char"/>
    <w:basedOn w:val="DefaultParagraphFont"/>
    <w:link w:val="CommentText"/>
    <w:uiPriority w:val="99"/>
    <w:semiHidden/>
    <w:rsid w:val="00320FC8"/>
    <w:rPr>
      <w:sz w:val="20"/>
      <w:szCs w:val="20"/>
      <w:lang w:val="nl-NL" w:eastAsia="nl-NL"/>
    </w:rPr>
  </w:style>
  <w:style w:type="paragraph" w:styleId="BalloonText">
    <w:name w:val="Balloon Text"/>
    <w:basedOn w:val="Normal"/>
    <w:link w:val="BalloonTextChar"/>
    <w:uiPriority w:val="99"/>
    <w:semiHidden/>
    <w:rsid w:val="00B377A2"/>
    <w:rPr>
      <w:rFonts w:ascii="Tahoma" w:hAnsi="Tahoma" w:cs="Tahoma"/>
      <w:sz w:val="16"/>
      <w:szCs w:val="16"/>
    </w:rPr>
  </w:style>
  <w:style w:type="character" w:customStyle="1" w:styleId="BalloonTextChar">
    <w:name w:val="Balloon Text Char"/>
    <w:basedOn w:val="DefaultParagraphFont"/>
    <w:link w:val="BalloonText"/>
    <w:uiPriority w:val="99"/>
    <w:semiHidden/>
    <w:rsid w:val="00320FC8"/>
    <w:rPr>
      <w:sz w:val="0"/>
      <w:szCs w:val="0"/>
      <w:lang w:val="nl-NL" w:eastAsia="nl-NL"/>
    </w:rPr>
  </w:style>
  <w:style w:type="table" w:styleId="TableGrid">
    <w:name w:val="Table Grid"/>
    <w:basedOn w:val="TableNormal"/>
    <w:uiPriority w:val="99"/>
    <w:rsid w:val="00245A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75F6"/>
    <w:rPr>
      <w:rFonts w:cs="Times New Roman"/>
      <w:color w:val="0000FF"/>
      <w:u w:val="single"/>
    </w:rPr>
  </w:style>
  <w:style w:type="paragraph" w:customStyle="1" w:styleId="StandaardSV">
    <w:name w:val="Standaard SV"/>
    <w:basedOn w:val="Normal"/>
    <w:uiPriority w:val="99"/>
    <w:rsid w:val="00A74ABC"/>
    <w:pPr>
      <w:jc w:val="both"/>
    </w:pPr>
    <w:rPr>
      <w:szCs w:val="20"/>
    </w:rPr>
  </w:style>
  <w:style w:type="paragraph" w:styleId="DocumentMap">
    <w:name w:val="Document Map"/>
    <w:basedOn w:val="Normal"/>
    <w:link w:val="DocumentMapChar"/>
    <w:uiPriority w:val="99"/>
    <w:semiHidden/>
    <w:rsid w:val="00F27C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0FC8"/>
    <w:rPr>
      <w:sz w:val="0"/>
      <w:szCs w:val="0"/>
      <w:lang w:val="nl-NL" w:eastAsia="nl-NL"/>
    </w:rPr>
  </w:style>
  <w:style w:type="character" w:customStyle="1" w:styleId="tekstdonker1">
    <w:name w:val="tekstdonker1"/>
    <w:basedOn w:val="DefaultParagraphFont"/>
    <w:uiPriority w:val="99"/>
    <w:rsid w:val="00B05A0A"/>
    <w:rPr>
      <w:rFonts w:ascii="Arial" w:hAnsi="Arial" w:cs="Arial"/>
      <w:color w:val="003399"/>
      <w:sz w:val="15"/>
      <w:szCs w:val="15"/>
      <w:u w:val="none"/>
      <w:effect w:val="none"/>
    </w:rPr>
  </w:style>
  <w:style w:type="paragraph" w:styleId="Header">
    <w:name w:val="header"/>
    <w:basedOn w:val="Normal"/>
    <w:link w:val="HeaderChar"/>
    <w:uiPriority w:val="99"/>
    <w:rsid w:val="009603BA"/>
    <w:pPr>
      <w:tabs>
        <w:tab w:val="center" w:pos="4536"/>
        <w:tab w:val="right" w:pos="9072"/>
      </w:tabs>
    </w:pPr>
    <w:rPr>
      <w:rFonts w:ascii="Courier New" w:hAnsi="Courier New"/>
      <w:sz w:val="20"/>
      <w:szCs w:val="20"/>
    </w:rPr>
  </w:style>
  <w:style w:type="character" w:customStyle="1" w:styleId="HeaderChar">
    <w:name w:val="Header Char"/>
    <w:basedOn w:val="DefaultParagraphFont"/>
    <w:link w:val="Header"/>
    <w:uiPriority w:val="99"/>
    <w:semiHidden/>
    <w:rsid w:val="00320FC8"/>
    <w:rPr>
      <w:szCs w:val="24"/>
      <w:lang w:val="nl-NL" w:eastAsia="nl-NL"/>
    </w:rPr>
  </w:style>
  <w:style w:type="character" w:styleId="Strong">
    <w:name w:val="Strong"/>
    <w:basedOn w:val="DefaultParagraphFont"/>
    <w:uiPriority w:val="99"/>
    <w:qFormat/>
    <w:rsid w:val="001C4A66"/>
    <w:rPr>
      <w:rFonts w:cs="Times New Roman"/>
      <w:b/>
      <w:bCs/>
    </w:rPr>
  </w:style>
  <w:style w:type="paragraph" w:styleId="NormalWeb">
    <w:name w:val="Normal (Web)"/>
    <w:basedOn w:val="Normal"/>
    <w:uiPriority w:val="99"/>
    <w:rsid w:val="00A74ABC"/>
    <w:pPr>
      <w:spacing w:before="100" w:beforeAutospacing="1" w:after="100" w:afterAutospacing="1"/>
    </w:pPr>
    <w:rPr>
      <w:sz w:val="24"/>
      <w:lang w:val="nl-BE" w:eastAsia="nl-BE"/>
    </w:rPr>
  </w:style>
  <w:style w:type="paragraph" w:styleId="ListParagraph">
    <w:name w:val="List Paragraph"/>
    <w:basedOn w:val="Normal"/>
    <w:uiPriority w:val="99"/>
    <w:qFormat/>
    <w:rsid w:val="00A74ABC"/>
    <w:pPr>
      <w:ind w:left="708"/>
    </w:pPr>
  </w:style>
  <w:style w:type="character" w:customStyle="1" w:styleId="eindebroodkruimel">
    <w:name w:val="eindebroodkruimel"/>
    <w:basedOn w:val="DefaultParagraphFont"/>
    <w:uiPriority w:val="99"/>
    <w:rsid w:val="004A3B36"/>
    <w:rPr>
      <w:rFonts w:cs="Times New Roman"/>
    </w:rPr>
  </w:style>
</w:styles>
</file>

<file path=word/webSettings.xml><?xml version="1.0" encoding="utf-8"?>
<w:webSettings xmlns:r="http://schemas.openxmlformats.org/officeDocument/2006/relationships" xmlns:w="http://schemas.openxmlformats.org/wordprocessingml/2006/main">
  <w:divs>
    <w:div w:id="276648213">
      <w:marLeft w:val="0"/>
      <w:marRight w:val="0"/>
      <w:marTop w:val="0"/>
      <w:marBottom w:val="0"/>
      <w:divBdr>
        <w:top w:val="none" w:sz="0" w:space="0" w:color="auto"/>
        <w:left w:val="none" w:sz="0" w:space="0" w:color="auto"/>
        <w:bottom w:val="none" w:sz="0" w:space="0" w:color="auto"/>
        <w:right w:val="none" w:sz="0" w:space="0" w:color="auto"/>
      </w:divBdr>
    </w:div>
    <w:div w:id="276648214">
      <w:marLeft w:val="0"/>
      <w:marRight w:val="0"/>
      <w:marTop w:val="0"/>
      <w:marBottom w:val="0"/>
      <w:divBdr>
        <w:top w:val="none" w:sz="0" w:space="0" w:color="auto"/>
        <w:left w:val="none" w:sz="0" w:space="0" w:color="auto"/>
        <w:bottom w:val="none" w:sz="0" w:space="0" w:color="auto"/>
        <w:right w:val="none" w:sz="0" w:space="0" w:color="auto"/>
      </w:divBdr>
    </w:div>
    <w:div w:id="276648215">
      <w:marLeft w:val="0"/>
      <w:marRight w:val="0"/>
      <w:marTop w:val="0"/>
      <w:marBottom w:val="0"/>
      <w:divBdr>
        <w:top w:val="none" w:sz="0" w:space="0" w:color="auto"/>
        <w:left w:val="none" w:sz="0" w:space="0" w:color="auto"/>
        <w:bottom w:val="none" w:sz="0" w:space="0" w:color="auto"/>
        <w:right w:val="none" w:sz="0" w:space="0" w:color="auto"/>
      </w:divBdr>
      <w:divsChild>
        <w:div w:id="276648216">
          <w:marLeft w:val="0"/>
          <w:marRight w:val="0"/>
          <w:marTop w:val="0"/>
          <w:marBottom w:val="0"/>
          <w:divBdr>
            <w:top w:val="none" w:sz="0" w:space="0" w:color="auto"/>
            <w:left w:val="none" w:sz="0" w:space="0" w:color="auto"/>
            <w:bottom w:val="none" w:sz="0" w:space="0" w:color="auto"/>
            <w:right w:val="none" w:sz="0" w:space="0" w:color="auto"/>
          </w:divBdr>
        </w:div>
        <w:div w:id="276648220">
          <w:marLeft w:val="0"/>
          <w:marRight w:val="0"/>
          <w:marTop w:val="0"/>
          <w:marBottom w:val="0"/>
          <w:divBdr>
            <w:top w:val="none" w:sz="0" w:space="0" w:color="auto"/>
            <w:left w:val="none" w:sz="0" w:space="0" w:color="auto"/>
            <w:bottom w:val="none" w:sz="0" w:space="0" w:color="auto"/>
            <w:right w:val="none" w:sz="0" w:space="0" w:color="auto"/>
          </w:divBdr>
        </w:div>
        <w:div w:id="276648222">
          <w:marLeft w:val="0"/>
          <w:marRight w:val="0"/>
          <w:marTop w:val="0"/>
          <w:marBottom w:val="0"/>
          <w:divBdr>
            <w:top w:val="none" w:sz="0" w:space="0" w:color="auto"/>
            <w:left w:val="none" w:sz="0" w:space="0" w:color="auto"/>
            <w:bottom w:val="none" w:sz="0" w:space="0" w:color="auto"/>
            <w:right w:val="none" w:sz="0" w:space="0" w:color="auto"/>
          </w:divBdr>
        </w:div>
        <w:div w:id="276648225">
          <w:marLeft w:val="0"/>
          <w:marRight w:val="0"/>
          <w:marTop w:val="0"/>
          <w:marBottom w:val="0"/>
          <w:divBdr>
            <w:top w:val="none" w:sz="0" w:space="0" w:color="auto"/>
            <w:left w:val="none" w:sz="0" w:space="0" w:color="auto"/>
            <w:bottom w:val="none" w:sz="0" w:space="0" w:color="auto"/>
            <w:right w:val="none" w:sz="0" w:space="0" w:color="auto"/>
          </w:divBdr>
        </w:div>
        <w:div w:id="276648229">
          <w:marLeft w:val="0"/>
          <w:marRight w:val="0"/>
          <w:marTop w:val="0"/>
          <w:marBottom w:val="0"/>
          <w:divBdr>
            <w:top w:val="none" w:sz="0" w:space="0" w:color="auto"/>
            <w:left w:val="none" w:sz="0" w:space="0" w:color="auto"/>
            <w:bottom w:val="none" w:sz="0" w:space="0" w:color="auto"/>
            <w:right w:val="none" w:sz="0" w:space="0" w:color="auto"/>
          </w:divBdr>
        </w:div>
        <w:div w:id="276648234">
          <w:marLeft w:val="0"/>
          <w:marRight w:val="0"/>
          <w:marTop w:val="0"/>
          <w:marBottom w:val="0"/>
          <w:divBdr>
            <w:top w:val="none" w:sz="0" w:space="0" w:color="auto"/>
            <w:left w:val="none" w:sz="0" w:space="0" w:color="auto"/>
            <w:bottom w:val="none" w:sz="0" w:space="0" w:color="auto"/>
            <w:right w:val="none" w:sz="0" w:space="0" w:color="auto"/>
          </w:divBdr>
        </w:div>
        <w:div w:id="276648237">
          <w:marLeft w:val="0"/>
          <w:marRight w:val="0"/>
          <w:marTop w:val="0"/>
          <w:marBottom w:val="0"/>
          <w:divBdr>
            <w:top w:val="none" w:sz="0" w:space="0" w:color="auto"/>
            <w:left w:val="none" w:sz="0" w:space="0" w:color="auto"/>
            <w:bottom w:val="none" w:sz="0" w:space="0" w:color="auto"/>
            <w:right w:val="none" w:sz="0" w:space="0" w:color="auto"/>
          </w:divBdr>
        </w:div>
        <w:div w:id="276648238">
          <w:marLeft w:val="0"/>
          <w:marRight w:val="0"/>
          <w:marTop w:val="0"/>
          <w:marBottom w:val="0"/>
          <w:divBdr>
            <w:top w:val="none" w:sz="0" w:space="0" w:color="auto"/>
            <w:left w:val="none" w:sz="0" w:space="0" w:color="auto"/>
            <w:bottom w:val="none" w:sz="0" w:space="0" w:color="auto"/>
            <w:right w:val="none" w:sz="0" w:space="0" w:color="auto"/>
          </w:divBdr>
        </w:div>
        <w:div w:id="276648240">
          <w:marLeft w:val="0"/>
          <w:marRight w:val="0"/>
          <w:marTop w:val="0"/>
          <w:marBottom w:val="0"/>
          <w:divBdr>
            <w:top w:val="none" w:sz="0" w:space="0" w:color="auto"/>
            <w:left w:val="none" w:sz="0" w:space="0" w:color="auto"/>
            <w:bottom w:val="none" w:sz="0" w:space="0" w:color="auto"/>
            <w:right w:val="none" w:sz="0" w:space="0" w:color="auto"/>
          </w:divBdr>
        </w:div>
        <w:div w:id="276648241">
          <w:marLeft w:val="0"/>
          <w:marRight w:val="0"/>
          <w:marTop w:val="0"/>
          <w:marBottom w:val="0"/>
          <w:divBdr>
            <w:top w:val="none" w:sz="0" w:space="0" w:color="auto"/>
            <w:left w:val="none" w:sz="0" w:space="0" w:color="auto"/>
            <w:bottom w:val="none" w:sz="0" w:space="0" w:color="auto"/>
            <w:right w:val="none" w:sz="0" w:space="0" w:color="auto"/>
          </w:divBdr>
        </w:div>
        <w:div w:id="276648242">
          <w:marLeft w:val="0"/>
          <w:marRight w:val="0"/>
          <w:marTop w:val="0"/>
          <w:marBottom w:val="0"/>
          <w:divBdr>
            <w:top w:val="none" w:sz="0" w:space="0" w:color="auto"/>
            <w:left w:val="none" w:sz="0" w:space="0" w:color="auto"/>
            <w:bottom w:val="none" w:sz="0" w:space="0" w:color="auto"/>
            <w:right w:val="none" w:sz="0" w:space="0" w:color="auto"/>
          </w:divBdr>
        </w:div>
      </w:divsChild>
    </w:div>
    <w:div w:id="276648218">
      <w:marLeft w:val="0"/>
      <w:marRight w:val="0"/>
      <w:marTop w:val="0"/>
      <w:marBottom w:val="0"/>
      <w:divBdr>
        <w:top w:val="none" w:sz="0" w:space="0" w:color="auto"/>
        <w:left w:val="none" w:sz="0" w:space="0" w:color="auto"/>
        <w:bottom w:val="none" w:sz="0" w:space="0" w:color="auto"/>
        <w:right w:val="none" w:sz="0" w:space="0" w:color="auto"/>
      </w:divBdr>
    </w:div>
    <w:div w:id="276648219">
      <w:marLeft w:val="0"/>
      <w:marRight w:val="0"/>
      <w:marTop w:val="0"/>
      <w:marBottom w:val="0"/>
      <w:divBdr>
        <w:top w:val="none" w:sz="0" w:space="0" w:color="auto"/>
        <w:left w:val="none" w:sz="0" w:space="0" w:color="auto"/>
        <w:bottom w:val="none" w:sz="0" w:space="0" w:color="auto"/>
        <w:right w:val="none" w:sz="0" w:space="0" w:color="auto"/>
      </w:divBdr>
      <w:divsChild>
        <w:div w:id="276648226">
          <w:marLeft w:val="0"/>
          <w:marRight w:val="0"/>
          <w:marTop w:val="0"/>
          <w:marBottom w:val="0"/>
          <w:divBdr>
            <w:top w:val="none" w:sz="0" w:space="0" w:color="auto"/>
            <w:left w:val="none" w:sz="0" w:space="0" w:color="auto"/>
            <w:bottom w:val="none" w:sz="0" w:space="0" w:color="auto"/>
            <w:right w:val="none" w:sz="0" w:space="0" w:color="auto"/>
          </w:divBdr>
        </w:div>
        <w:div w:id="276648230">
          <w:marLeft w:val="0"/>
          <w:marRight w:val="0"/>
          <w:marTop w:val="0"/>
          <w:marBottom w:val="0"/>
          <w:divBdr>
            <w:top w:val="none" w:sz="0" w:space="0" w:color="auto"/>
            <w:left w:val="none" w:sz="0" w:space="0" w:color="auto"/>
            <w:bottom w:val="none" w:sz="0" w:space="0" w:color="auto"/>
            <w:right w:val="none" w:sz="0" w:space="0" w:color="auto"/>
          </w:divBdr>
        </w:div>
      </w:divsChild>
    </w:div>
    <w:div w:id="276648224">
      <w:marLeft w:val="0"/>
      <w:marRight w:val="0"/>
      <w:marTop w:val="0"/>
      <w:marBottom w:val="0"/>
      <w:divBdr>
        <w:top w:val="none" w:sz="0" w:space="0" w:color="auto"/>
        <w:left w:val="none" w:sz="0" w:space="0" w:color="auto"/>
        <w:bottom w:val="none" w:sz="0" w:space="0" w:color="auto"/>
        <w:right w:val="none" w:sz="0" w:space="0" w:color="auto"/>
      </w:divBdr>
    </w:div>
    <w:div w:id="276648227">
      <w:marLeft w:val="0"/>
      <w:marRight w:val="0"/>
      <w:marTop w:val="0"/>
      <w:marBottom w:val="0"/>
      <w:divBdr>
        <w:top w:val="none" w:sz="0" w:space="0" w:color="auto"/>
        <w:left w:val="none" w:sz="0" w:space="0" w:color="auto"/>
        <w:bottom w:val="none" w:sz="0" w:space="0" w:color="auto"/>
        <w:right w:val="none" w:sz="0" w:space="0" w:color="auto"/>
      </w:divBdr>
      <w:divsChild>
        <w:div w:id="276648223">
          <w:marLeft w:val="0"/>
          <w:marRight w:val="0"/>
          <w:marTop w:val="0"/>
          <w:marBottom w:val="0"/>
          <w:divBdr>
            <w:top w:val="none" w:sz="0" w:space="0" w:color="auto"/>
            <w:left w:val="none" w:sz="0" w:space="0" w:color="auto"/>
            <w:bottom w:val="none" w:sz="0" w:space="0" w:color="auto"/>
            <w:right w:val="none" w:sz="0" w:space="0" w:color="auto"/>
          </w:divBdr>
        </w:div>
      </w:divsChild>
    </w:div>
    <w:div w:id="276648228">
      <w:marLeft w:val="0"/>
      <w:marRight w:val="0"/>
      <w:marTop w:val="0"/>
      <w:marBottom w:val="0"/>
      <w:divBdr>
        <w:top w:val="none" w:sz="0" w:space="0" w:color="auto"/>
        <w:left w:val="none" w:sz="0" w:space="0" w:color="auto"/>
        <w:bottom w:val="none" w:sz="0" w:space="0" w:color="auto"/>
        <w:right w:val="none" w:sz="0" w:space="0" w:color="auto"/>
      </w:divBdr>
      <w:divsChild>
        <w:div w:id="276648231">
          <w:marLeft w:val="0"/>
          <w:marRight w:val="0"/>
          <w:marTop w:val="0"/>
          <w:marBottom w:val="0"/>
          <w:divBdr>
            <w:top w:val="none" w:sz="0" w:space="0" w:color="auto"/>
            <w:left w:val="none" w:sz="0" w:space="0" w:color="auto"/>
            <w:bottom w:val="none" w:sz="0" w:space="0" w:color="auto"/>
            <w:right w:val="none" w:sz="0" w:space="0" w:color="auto"/>
          </w:divBdr>
        </w:div>
      </w:divsChild>
    </w:div>
    <w:div w:id="276648233">
      <w:marLeft w:val="0"/>
      <w:marRight w:val="0"/>
      <w:marTop w:val="0"/>
      <w:marBottom w:val="0"/>
      <w:divBdr>
        <w:top w:val="none" w:sz="0" w:space="0" w:color="auto"/>
        <w:left w:val="none" w:sz="0" w:space="0" w:color="auto"/>
        <w:bottom w:val="none" w:sz="0" w:space="0" w:color="auto"/>
        <w:right w:val="none" w:sz="0" w:space="0" w:color="auto"/>
      </w:divBdr>
    </w:div>
    <w:div w:id="276648236">
      <w:marLeft w:val="0"/>
      <w:marRight w:val="0"/>
      <w:marTop w:val="0"/>
      <w:marBottom w:val="0"/>
      <w:divBdr>
        <w:top w:val="none" w:sz="0" w:space="0" w:color="auto"/>
        <w:left w:val="none" w:sz="0" w:space="0" w:color="auto"/>
        <w:bottom w:val="none" w:sz="0" w:space="0" w:color="auto"/>
        <w:right w:val="none" w:sz="0" w:space="0" w:color="auto"/>
      </w:divBdr>
      <w:divsChild>
        <w:div w:id="276648217">
          <w:marLeft w:val="0"/>
          <w:marRight w:val="0"/>
          <w:marTop w:val="0"/>
          <w:marBottom w:val="0"/>
          <w:divBdr>
            <w:top w:val="none" w:sz="0" w:space="0" w:color="auto"/>
            <w:left w:val="none" w:sz="0" w:space="0" w:color="auto"/>
            <w:bottom w:val="none" w:sz="0" w:space="0" w:color="auto"/>
            <w:right w:val="none" w:sz="0" w:space="0" w:color="auto"/>
          </w:divBdr>
        </w:div>
        <w:div w:id="276648221">
          <w:marLeft w:val="0"/>
          <w:marRight w:val="0"/>
          <w:marTop w:val="0"/>
          <w:marBottom w:val="0"/>
          <w:divBdr>
            <w:top w:val="none" w:sz="0" w:space="0" w:color="auto"/>
            <w:left w:val="none" w:sz="0" w:space="0" w:color="auto"/>
            <w:bottom w:val="none" w:sz="0" w:space="0" w:color="auto"/>
            <w:right w:val="none" w:sz="0" w:space="0" w:color="auto"/>
          </w:divBdr>
        </w:div>
        <w:div w:id="276648232">
          <w:marLeft w:val="0"/>
          <w:marRight w:val="0"/>
          <w:marTop w:val="0"/>
          <w:marBottom w:val="0"/>
          <w:divBdr>
            <w:top w:val="none" w:sz="0" w:space="0" w:color="auto"/>
            <w:left w:val="none" w:sz="0" w:space="0" w:color="auto"/>
            <w:bottom w:val="none" w:sz="0" w:space="0" w:color="auto"/>
            <w:right w:val="none" w:sz="0" w:space="0" w:color="auto"/>
          </w:divBdr>
        </w:div>
        <w:div w:id="276648235">
          <w:marLeft w:val="0"/>
          <w:marRight w:val="0"/>
          <w:marTop w:val="0"/>
          <w:marBottom w:val="0"/>
          <w:divBdr>
            <w:top w:val="none" w:sz="0" w:space="0" w:color="auto"/>
            <w:left w:val="none" w:sz="0" w:space="0" w:color="auto"/>
            <w:bottom w:val="none" w:sz="0" w:space="0" w:color="auto"/>
            <w:right w:val="none" w:sz="0" w:space="0" w:color="auto"/>
          </w:divBdr>
        </w:div>
      </w:divsChild>
    </w:div>
    <w:div w:id="276648239">
      <w:marLeft w:val="0"/>
      <w:marRight w:val="0"/>
      <w:marTop w:val="0"/>
      <w:marBottom w:val="0"/>
      <w:divBdr>
        <w:top w:val="none" w:sz="0" w:space="0" w:color="auto"/>
        <w:left w:val="none" w:sz="0" w:space="0" w:color="auto"/>
        <w:bottom w:val="none" w:sz="0" w:space="0" w:color="auto"/>
        <w:right w:val="none" w:sz="0" w:space="0" w:color="auto"/>
      </w:divBdr>
    </w:div>
    <w:div w:id="27664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debraeba\Mijn%20documenten\Wachtkamer\Sjablonen\Template_parl_vra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Template_parl_vraag</Template>
  <TotalTime>2</TotalTime>
  <Pages>2</Pages>
  <Words>866</Words>
  <Characters>4764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Braekeleer Bart</dc:creator>
  <cp:keywords/>
  <dc:description/>
  <cp:lastModifiedBy>Nathalie De Keyzer</cp:lastModifiedBy>
  <cp:revision>3</cp:revision>
  <cp:lastPrinted>2010-10-21T08:40:00Z</cp:lastPrinted>
  <dcterms:created xsi:type="dcterms:W3CDTF">2010-10-21T08:41:00Z</dcterms:created>
  <dcterms:modified xsi:type="dcterms:W3CDTF">2010-10-26T08:40:00Z</dcterms:modified>
</cp:coreProperties>
</file>