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3B" w:rsidRPr="00A8473D" w:rsidRDefault="00C43E3B" w:rsidP="002730B7">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C43E3B" w:rsidRDefault="00C43E3B"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C43E3B" w:rsidRDefault="00C43E3B">
      <w:pPr>
        <w:pBdr>
          <w:bottom w:val="single" w:sz="4" w:space="1" w:color="auto"/>
        </w:pBdr>
        <w:rPr>
          <w:sz w:val="22"/>
        </w:rPr>
      </w:pPr>
    </w:p>
    <w:p w:rsidR="00C43E3B" w:rsidRDefault="00C43E3B">
      <w:pPr>
        <w:rPr>
          <w:sz w:val="22"/>
        </w:rPr>
      </w:pPr>
    </w:p>
    <w:p w:rsidR="00C43E3B" w:rsidRDefault="00C43E3B">
      <w:pPr>
        <w:rPr>
          <w:b/>
          <w:smallCaps/>
          <w:sz w:val="22"/>
        </w:rPr>
      </w:pPr>
      <w:r>
        <w:rPr>
          <w:b/>
          <w:smallCaps/>
          <w:sz w:val="22"/>
        </w:rPr>
        <w:t>antwoord</w:t>
      </w:r>
    </w:p>
    <w:p w:rsidR="00C43E3B" w:rsidRDefault="00C43E3B">
      <w:pPr>
        <w:rPr>
          <w:sz w:val="22"/>
        </w:rPr>
      </w:pPr>
      <w:r>
        <w:rPr>
          <w:sz w:val="22"/>
        </w:rPr>
        <w:t>op vraag nr. 342 van 13 september 2010</w:t>
      </w:r>
    </w:p>
    <w:p w:rsidR="00C43E3B" w:rsidRDefault="00C43E3B">
      <w:pPr>
        <w:rPr>
          <w:sz w:val="22"/>
        </w:rPr>
      </w:pPr>
      <w:r>
        <w:rPr>
          <w:sz w:val="22"/>
        </w:rPr>
        <w:t xml:space="preserve">van </w:t>
      </w:r>
      <w:r>
        <w:rPr>
          <w:b/>
          <w:smallCaps/>
          <w:sz w:val="22"/>
        </w:rPr>
        <w:t>filip watteeuw</w:t>
      </w:r>
    </w:p>
    <w:p w:rsidR="00C43E3B" w:rsidRDefault="00C43E3B" w:rsidP="009976C1">
      <w:pPr>
        <w:pBdr>
          <w:bottom w:val="single" w:sz="4" w:space="1" w:color="auto"/>
        </w:pBdr>
        <w:jc w:val="both"/>
        <w:rPr>
          <w:sz w:val="22"/>
        </w:rPr>
      </w:pPr>
    </w:p>
    <w:p w:rsidR="00C43E3B" w:rsidRDefault="00C43E3B" w:rsidP="009976C1">
      <w:pPr>
        <w:jc w:val="both"/>
        <w:rPr>
          <w:sz w:val="22"/>
        </w:rPr>
      </w:pPr>
    </w:p>
    <w:p w:rsidR="00C43E3B" w:rsidRDefault="00C43E3B" w:rsidP="009976C1">
      <w:pPr>
        <w:jc w:val="both"/>
        <w:rPr>
          <w:sz w:val="22"/>
        </w:rPr>
      </w:pPr>
    </w:p>
    <w:p w:rsidR="00C43E3B" w:rsidRDefault="00C43E3B" w:rsidP="009976C1">
      <w:pPr>
        <w:jc w:val="both"/>
        <w:rPr>
          <w:sz w:val="22"/>
        </w:rPr>
        <w:sectPr w:rsidR="00C43E3B">
          <w:pgSz w:w="11906" w:h="16838"/>
          <w:pgMar w:top="1417" w:right="1417" w:bottom="1417" w:left="1417" w:header="708" w:footer="708" w:gutter="0"/>
          <w:cols w:space="708"/>
          <w:docGrid w:linePitch="360"/>
        </w:sectPr>
      </w:pPr>
    </w:p>
    <w:p w:rsidR="00C43E3B" w:rsidRDefault="00C43E3B" w:rsidP="0074119A">
      <w:pPr>
        <w:numPr>
          <w:ilvl w:val="0"/>
          <w:numId w:val="3"/>
        </w:numPr>
        <w:jc w:val="both"/>
        <w:rPr>
          <w:sz w:val="22"/>
        </w:rPr>
      </w:pPr>
      <w:r w:rsidRPr="0074119A">
        <w:rPr>
          <w:sz w:val="22"/>
        </w:rPr>
        <w:t xml:space="preserve">De CO2-neutraliteit </w:t>
      </w:r>
      <w:r>
        <w:rPr>
          <w:sz w:val="22"/>
        </w:rPr>
        <w:t>met betrekking tot</w:t>
      </w:r>
      <w:r w:rsidRPr="0074119A">
        <w:rPr>
          <w:sz w:val="22"/>
        </w:rPr>
        <w:t xml:space="preserve"> elektriciteitsverbruik op bedrijventerreinen geldt alleen voor de bedrijven die er zich vestigen. Het gebruik van installaties als windmolens en biomassacentrales zijn slechts haalbaar voor de zeer grote bedrijven. Door dergelijke installaties te plaatsen op bedrijventerreinen wordt er nog niet noodzakelijk voldaan aan de CO2-neutraliteit voor de bedrijven die zich daar vestigen</w:t>
      </w:r>
      <w:r>
        <w:rPr>
          <w:sz w:val="22"/>
        </w:rPr>
        <w:t>,</w:t>
      </w:r>
      <w:r w:rsidRPr="0074119A">
        <w:rPr>
          <w:sz w:val="22"/>
        </w:rPr>
        <w:t xml:space="preserve"> omdat de opgewekte elektriciteit aan het net moet geleverd worden en niet aan deze bedrijven. Vele ontwikkelaars wensen trouwens de keuze </w:t>
      </w:r>
      <w:r>
        <w:rPr>
          <w:sz w:val="22"/>
        </w:rPr>
        <w:t>betreffende</w:t>
      </w:r>
      <w:r w:rsidRPr="0074119A">
        <w:rPr>
          <w:sz w:val="22"/>
        </w:rPr>
        <w:t xml:space="preserve"> </w:t>
      </w:r>
      <w:r>
        <w:rPr>
          <w:sz w:val="22"/>
        </w:rPr>
        <w:t xml:space="preserve">wijze waarop </w:t>
      </w:r>
      <w:r w:rsidRPr="0074119A">
        <w:rPr>
          <w:sz w:val="22"/>
        </w:rPr>
        <w:t xml:space="preserve">de naleving van de CO2-neutraliteit </w:t>
      </w:r>
      <w:r>
        <w:rPr>
          <w:sz w:val="22"/>
        </w:rPr>
        <w:t xml:space="preserve">wordt gerealiseerd </w:t>
      </w:r>
      <w:r w:rsidRPr="0074119A">
        <w:rPr>
          <w:sz w:val="22"/>
        </w:rPr>
        <w:t>niet eenzijdig op te leggen aan hun kandidaat-investeerders. Bij de aanvang van de ontwikkelingsfase van bedrijventerreinen zijn deze meestal nog niet gekend. Vandaar dat bij de indiening van de subsidiedossiers vaak de keuze nog open gelaten wordt. Daarnaast zijn er wel ontwikkelaars die de manier waarop de CO2-neutraliteit zal worden nageleefd zelf bepalen van bij het begin van de ontwikkelingsfase van het terrein.</w:t>
      </w:r>
    </w:p>
    <w:p w:rsidR="00C43E3B" w:rsidRPr="0074119A" w:rsidRDefault="00C43E3B" w:rsidP="0074119A">
      <w:pPr>
        <w:ind w:left="360"/>
        <w:jc w:val="both"/>
        <w:rPr>
          <w:sz w:val="22"/>
        </w:rPr>
      </w:pPr>
    </w:p>
    <w:p w:rsidR="00C43E3B" w:rsidRDefault="00C43E3B" w:rsidP="0074119A">
      <w:pPr>
        <w:ind w:left="360"/>
        <w:jc w:val="both"/>
        <w:rPr>
          <w:sz w:val="22"/>
        </w:rPr>
      </w:pPr>
      <w:r w:rsidRPr="0074119A">
        <w:rPr>
          <w:sz w:val="22"/>
        </w:rPr>
        <w:t>Hierna volgt een overzicht van de opties die genomen werden door de ontwikkelaars van bedrijventerreinen die sinds 2008 subsidies hebben aangevraagd. Vermits de vraag handelt over de CO2-verplichting worden de toekenningen van subsidies op basis van voorgaande subsidie</w:t>
      </w:r>
      <w:r>
        <w:rPr>
          <w:sz w:val="22"/>
        </w:rPr>
        <w:softHyphen/>
      </w:r>
      <w:r w:rsidRPr="0074119A">
        <w:rPr>
          <w:sz w:val="22"/>
        </w:rPr>
        <w:t>besluiten waarbij geen CO2-verpichting werd opgelegd, niet opgenomen in dit overzicht. Dit geldt ook voor de herstructureringen van bedrijventerreinen die volledig ingenomen zijn door bedrijven. Ook deze zijn vrijgesteld van de CO2-verplichting.</w:t>
      </w:r>
    </w:p>
    <w:p w:rsidR="00C43E3B" w:rsidRDefault="00C43E3B" w:rsidP="0074119A">
      <w:pPr>
        <w:ind w:left="360"/>
        <w:jc w:val="both"/>
        <w:rPr>
          <w:sz w:val="22"/>
        </w:rPr>
      </w:pPr>
    </w:p>
    <w:tbl>
      <w:tblPr>
        <w:tblW w:w="8359" w:type="dxa"/>
        <w:jc w:val="center"/>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9"/>
        <w:gridCol w:w="1440"/>
        <w:gridCol w:w="3940"/>
      </w:tblGrid>
      <w:tr w:rsidR="00C43E3B" w:rsidRPr="00F309CF" w:rsidTr="00F309CF">
        <w:trPr>
          <w:jc w:val="center"/>
        </w:trPr>
        <w:tc>
          <w:tcPr>
            <w:tcW w:w="2979" w:type="dxa"/>
          </w:tcPr>
          <w:p w:rsidR="00C43E3B" w:rsidRPr="00F309CF" w:rsidRDefault="00C43E3B" w:rsidP="005E047C">
            <w:pPr>
              <w:rPr>
                <w:b/>
                <w:sz w:val="22"/>
                <w:szCs w:val="22"/>
              </w:rPr>
            </w:pPr>
            <w:r w:rsidRPr="00F309CF">
              <w:rPr>
                <w:b/>
                <w:sz w:val="22"/>
                <w:szCs w:val="22"/>
              </w:rPr>
              <w:t>Terrein</w:t>
            </w:r>
          </w:p>
        </w:tc>
        <w:tc>
          <w:tcPr>
            <w:tcW w:w="1440" w:type="dxa"/>
          </w:tcPr>
          <w:p w:rsidR="00C43E3B" w:rsidRPr="00F309CF" w:rsidRDefault="00C43E3B" w:rsidP="00F309CF">
            <w:pPr>
              <w:jc w:val="right"/>
              <w:rPr>
                <w:b/>
                <w:sz w:val="22"/>
                <w:szCs w:val="22"/>
              </w:rPr>
            </w:pPr>
            <w:r w:rsidRPr="00F309CF">
              <w:rPr>
                <w:b/>
                <w:sz w:val="22"/>
                <w:szCs w:val="22"/>
              </w:rPr>
              <w:t>Subsidie in €</w:t>
            </w:r>
          </w:p>
        </w:tc>
        <w:tc>
          <w:tcPr>
            <w:tcW w:w="3940" w:type="dxa"/>
          </w:tcPr>
          <w:p w:rsidR="00C43E3B" w:rsidRPr="00F309CF" w:rsidRDefault="00C43E3B" w:rsidP="005E047C">
            <w:pPr>
              <w:rPr>
                <w:b/>
                <w:sz w:val="22"/>
                <w:szCs w:val="22"/>
              </w:rPr>
            </w:pPr>
            <w:r w:rsidRPr="00F309CF">
              <w:rPr>
                <w:b/>
                <w:sz w:val="22"/>
                <w:szCs w:val="22"/>
              </w:rPr>
              <w:t>CO</w:t>
            </w:r>
            <w:r w:rsidRPr="00F309CF">
              <w:rPr>
                <w:b/>
                <w:sz w:val="22"/>
                <w:szCs w:val="22"/>
                <w:vertAlign w:val="subscript"/>
              </w:rPr>
              <w:t>2</w:t>
            </w:r>
            <w:r w:rsidRPr="00F309CF">
              <w:rPr>
                <w:b/>
                <w:sz w:val="22"/>
                <w:szCs w:val="22"/>
              </w:rPr>
              <w:t>-verplichting</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AKMO II – Assenede</w:t>
            </w:r>
          </w:p>
        </w:tc>
        <w:tc>
          <w:tcPr>
            <w:tcW w:w="1440" w:type="dxa"/>
          </w:tcPr>
          <w:p w:rsidR="00C43E3B" w:rsidRPr="00F309CF" w:rsidRDefault="00C43E3B" w:rsidP="00F309CF">
            <w:pPr>
              <w:jc w:val="right"/>
              <w:rPr>
                <w:sz w:val="20"/>
                <w:szCs w:val="20"/>
              </w:rPr>
            </w:pPr>
            <w:r w:rsidRPr="00F309CF">
              <w:rPr>
                <w:sz w:val="20"/>
                <w:szCs w:val="20"/>
              </w:rPr>
              <w:t>602.838,30</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Dries – Zulte</w:t>
            </w:r>
          </w:p>
        </w:tc>
        <w:tc>
          <w:tcPr>
            <w:tcW w:w="1440" w:type="dxa"/>
          </w:tcPr>
          <w:p w:rsidR="00C43E3B" w:rsidRPr="00F309CF" w:rsidRDefault="00C43E3B" w:rsidP="00F309CF">
            <w:pPr>
              <w:jc w:val="right"/>
              <w:rPr>
                <w:sz w:val="20"/>
                <w:szCs w:val="20"/>
              </w:rPr>
            </w:pPr>
            <w:r w:rsidRPr="00F309CF">
              <w:rPr>
                <w:sz w:val="20"/>
                <w:szCs w:val="20"/>
              </w:rPr>
              <w:t>511.843,29</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Ter Mote – Nevele</w:t>
            </w:r>
          </w:p>
        </w:tc>
        <w:tc>
          <w:tcPr>
            <w:tcW w:w="1440" w:type="dxa"/>
          </w:tcPr>
          <w:p w:rsidR="00C43E3B" w:rsidRPr="00F309CF" w:rsidRDefault="00C43E3B" w:rsidP="00F309CF">
            <w:pPr>
              <w:jc w:val="right"/>
              <w:rPr>
                <w:sz w:val="20"/>
                <w:szCs w:val="20"/>
              </w:rPr>
            </w:pPr>
            <w:r w:rsidRPr="00F309CF">
              <w:rPr>
                <w:sz w:val="20"/>
                <w:szCs w:val="20"/>
              </w:rPr>
              <w:t>309.163,18</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Roskam – Merelbeke</w:t>
            </w:r>
          </w:p>
        </w:tc>
        <w:tc>
          <w:tcPr>
            <w:tcW w:w="1440" w:type="dxa"/>
          </w:tcPr>
          <w:p w:rsidR="00C43E3B" w:rsidRPr="00F309CF" w:rsidRDefault="00C43E3B" w:rsidP="00F309CF">
            <w:pPr>
              <w:jc w:val="right"/>
              <w:rPr>
                <w:sz w:val="20"/>
                <w:szCs w:val="20"/>
              </w:rPr>
            </w:pPr>
            <w:r w:rsidRPr="00F309CF">
              <w:rPr>
                <w:sz w:val="20"/>
                <w:szCs w:val="20"/>
              </w:rPr>
              <w:t>163.155,90</w:t>
            </w:r>
          </w:p>
        </w:tc>
        <w:tc>
          <w:tcPr>
            <w:tcW w:w="3940" w:type="dxa"/>
          </w:tcPr>
          <w:p w:rsidR="00C43E3B" w:rsidRPr="00F309CF" w:rsidRDefault="00C43E3B" w:rsidP="005E047C">
            <w:pPr>
              <w:rPr>
                <w:sz w:val="20"/>
                <w:szCs w:val="20"/>
              </w:rPr>
            </w:pPr>
            <w:r w:rsidRPr="00F309CF">
              <w:rPr>
                <w:sz w:val="20"/>
                <w:szCs w:val="20"/>
              </w:rPr>
              <w:t>Groene stroom/zonnepanelen</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Doornpark fase 2 – Beveren</w:t>
            </w:r>
          </w:p>
        </w:tc>
        <w:tc>
          <w:tcPr>
            <w:tcW w:w="1440" w:type="dxa"/>
          </w:tcPr>
          <w:p w:rsidR="00C43E3B" w:rsidRPr="00F309CF" w:rsidRDefault="00C43E3B" w:rsidP="00F309CF">
            <w:pPr>
              <w:jc w:val="right"/>
              <w:rPr>
                <w:sz w:val="20"/>
                <w:szCs w:val="20"/>
              </w:rPr>
            </w:pPr>
            <w:r w:rsidRPr="00F309CF">
              <w:rPr>
                <w:sz w:val="20"/>
                <w:szCs w:val="20"/>
              </w:rPr>
              <w:t>451.961,57</w:t>
            </w:r>
          </w:p>
        </w:tc>
        <w:tc>
          <w:tcPr>
            <w:tcW w:w="3940" w:type="dxa"/>
          </w:tcPr>
          <w:p w:rsidR="00C43E3B" w:rsidRPr="00F309CF" w:rsidRDefault="00C43E3B" w:rsidP="005E047C">
            <w:pPr>
              <w:rPr>
                <w:sz w:val="20"/>
                <w:szCs w:val="20"/>
              </w:rPr>
            </w:pPr>
            <w:r w:rsidRPr="00F309CF">
              <w:rPr>
                <w:sz w:val="20"/>
                <w:szCs w:val="20"/>
              </w:rPr>
              <w:t xml:space="preserve">Zelf elektriciteit opwekken/groene stroom </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Dendermondsesteenweg – Laarne</w:t>
            </w:r>
          </w:p>
        </w:tc>
        <w:tc>
          <w:tcPr>
            <w:tcW w:w="1440" w:type="dxa"/>
          </w:tcPr>
          <w:p w:rsidR="00C43E3B" w:rsidRPr="00F309CF" w:rsidRDefault="00C43E3B" w:rsidP="00F309CF">
            <w:pPr>
              <w:jc w:val="right"/>
              <w:rPr>
                <w:sz w:val="20"/>
                <w:szCs w:val="20"/>
              </w:rPr>
            </w:pPr>
            <w:r w:rsidRPr="00F309CF">
              <w:rPr>
                <w:sz w:val="20"/>
                <w:szCs w:val="20"/>
              </w:rPr>
              <w:t>652.662,07</w:t>
            </w:r>
          </w:p>
        </w:tc>
        <w:tc>
          <w:tcPr>
            <w:tcW w:w="3940" w:type="dxa"/>
          </w:tcPr>
          <w:p w:rsidR="00C43E3B" w:rsidRPr="00F309CF" w:rsidRDefault="00C43E3B" w:rsidP="005E047C">
            <w:pPr>
              <w:rPr>
                <w:sz w:val="20"/>
                <w:szCs w:val="20"/>
              </w:rPr>
            </w:pPr>
            <w:r w:rsidRPr="00F309CF">
              <w:rPr>
                <w:sz w:val="20"/>
                <w:szCs w:val="20"/>
              </w:rPr>
              <w:t>Groene stroom</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Heiplas – Lede</w:t>
            </w:r>
          </w:p>
        </w:tc>
        <w:tc>
          <w:tcPr>
            <w:tcW w:w="1440" w:type="dxa"/>
          </w:tcPr>
          <w:p w:rsidR="00C43E3B" w:rsidRPr="00F309CF" w:rsidRDefault="00C43E3B" w:rsidP="00F309CF">
            <w:pPr>
              <w:jc w:val="right"/>
              <w:rPr>
                <w:sz w:val="20"/>
                <w:szCs w:val="20"/>
              </w:rPr>
            </w:pPr>
            <w:r w:rsidRPr="00F309CF">
              <w:rPr>
                <w:sz w:val="20"/>
                <w:szCs w:val="20"/>
              </w:rPr>
              <w:t>303.711,49</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Woestijne – Aalter</w:t>
            </w:r>
          </w:p>
        </w:tc>
        <w:tc>
          <w:tcPr>
            <w:tcW w:w="1440" w:type="dxa"/>
          </w:tcPr>
          <w:p w:rsidR="00C43E3B" w:rsidRPr="00F309CF" w:rsidRDefault="00C43E3B" w:rsidP="00F309CF">
            <w:pPr>
              <w:jc w:val="right"/>
              <w:rPr>
                <w:sz w:val="20"/>
                <w:szCs w:val="20"/>
              </w:rPr>
            </w:pPr>
            <w:r w:rsidRPr="00F309CF">
              <w:rPr>
                <w:sz w:val="20"/>
                <w:szCs w:val="20"/>
              </w:rPr>
              <w:t>822.469,29</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Metalunion – St.-Niklaas</w:t>
            </w:r>
          </w:p>
        </w:tc>
        <w:tc>
          <w:tcPr>
            <w:tcW w:w="1440" w:type="dxa"/>
          </w:tcPr>
          <w:p w:rsidR="00C43E3B" w:rsidRPr="00F309CF" w:rsidRDefault="00C43E3B" w:rsidP="00F309CF">
            <w:pPr>
              <w:jc w:val="right"/>
              <w:rPr>
                <w:sz w:val="20"/>
                <w:szCs w:val="20"/>
              </w:rPr>
            </w:pPr>
            <w:r w:rsidRPr="00F309CF">
              <w:rPr>
                <w:sz w:val="20"/>
                <w:szCs w:val="20"/>
              </w:rPr>
              <w:t>891.745,14</w:t>
            </w:r>
          </w:p>
        </w:tc>
        <w:tc>
          <w:tcPr>
            <w:tcW w:w="3940" w:type="dxa"/>
          </w:tcPr>
          <w:p w:rsidR="00C43E3B" w:rsidRPr="00F309CF" w:rsidRDefault="00C43E3B" w:rsidP="005E047C">
            <w:pPr>
              <w:rPr>
                <w:sz w:val="20"/>
                <w:szCs w:val="20"/>
              </w:rPr>
            </w:pPr>
            <w:r w:rsidRPr="00F309CF">
              <w:rPr>
                <w:sz w:val="20"/>
                <w:szCs w:val="20"/>
              </w:rPr>
              <w:t>Groene stroom/emissierechten</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Aven Ackers – Kieldrecht</w:t>
            </w:r>
          </w:p>
        </w:tc>
        <w:tc>
          <w:tcPr>
            <w:tcW w:w="1440" w:type="dxa"/>
          </w:tcPr>
          <w:p w:rsidR="00C43E3B" w:rsidRPr="00F309CF" w:rsidRDefault="00C43E3B" w:rsidP="00F309CF">
            <w:pPr>
              <w:jc w:val="right"/>
              <w:rPr>
                <w:sz w:val="20"/>
                <w:szCs w:val="20"/>
              </w:rPr>
            </w:pPr>
            <w:r w:rsidRPr="00F309CF">
              <w:rPr>
                <w:sz w:val="20"/>
                <w:szCs w:val="20"/>
              </w:rPr>
              <w:t>1.350.155,14</w:t>
            </w:r>
          </w:p>
        </w:tc>
        <w:tc>
          <w:tcPr>
            <w:tcW w:w="3940" w:type="dxa"/>
          </w:tcPr>
          <w:p w:rsidR="00C43E3B" w:rsidRPr="00F309CF" w:rsidRDefault="00C43E3B" w:rsidP="005E047C">
            <w:pPr>
              <w:rPr>
                <w:sz w:val="20"/>
                <w:szCs w:val="20"/>
              </w:rPr>
            </w:pPr>
            <w:r w:rsidRPr="00F309CF">
              <w:rPr>
                <w:sz w:val="20"/>
                <w:szCs w:val="20"/>
              </w:rPr>
              <w:t>Groene stroom/emissierechten</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Ambachtelijke Zone Uitbr. – Torhout</w:t>
            </w:r>
          </w:p>
        </w:tc>
        <w:tc>
          <w:tcPr>
            <w:tcW w:w="1440" w:type="dxa"/>
          </w:tcPr>
          <w:p w:rsidR="00C43E3B" w:rsidRPr="00F309CF" w:rsidRDefault="00C43E3B" w:rsidP="00F309CF">
            <w:pPr>
              <w:jc w:val="right"/>
              <w:rPr>
                <w:sz w:val="20"/>
                <w:szCs w:val="20"/>
              </w:rPr>
            </w:pPr>
            <w:r w:rsidRPr="00F309CF">
              <w:rPr>
                <w:sz w:val="20"/>
                <w:szCs w:val="20"/>
              </w:rPr>
              <w:t>393.904,4</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De Blokken – Zwevegem</w:t>
            </w:r>
          </w:p>
        </w:tc>
        <w:tc>
          <w:tcPr>
            <w:tcW w:w="1440" w:type="dxa"/>
          </w:tcPr>
          <w:p w:rsidR="00C43E3B" w:rsidRPr="00F309CF" w:rsidRDefault="00C43E3B" w:rsidP="00F309CF">
            <w:pPr>
              <w:jc w:val="right"/>
              <w:rPr>
                <w:sz w:val="20"/>
                <w:szCs w:val="20"/>
              </w:rPr>
            </w:pPr>
            <w:r w:rsidRPr="00F309CF">
              <w:rPr>
                <w:sz w:val="20"/>
                <w:szCs w:val="20"/>
              </w:rPr>
              <w:t>2.263.206,1</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Alveringem – Hostede</w:t>
            </w:r>
          </w:p>
        </w:tc>
        <w:tc>
          <w:tcPr>
            <w:tcW w:w="1440" w:type="dxa"/>
          </w:tcPr>
          <w:p w:rsidR="00C43E3B" w:rsidRPr="00F309CF" w:rsidRDefault="00C43E3B" w:rsidP="00F309CF">
            <w:pPr>
              <w:jc w:val="right"/>
              <w:rPr>
                <w:sz w:val="20"/>
                <w:szCs w:val="20"/>
              </w:rPr>
            </w:pPr>
            <w:r w:rsidRPr="00F309CF">
              <w:rPr>
                <w:sz w:val="20"/>
                <w:szCs w:val="20"/>
              </w:rPr>
              <w:t>169.609,76</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Brugge – Kazerne Lissewege</w:t>
            </w:r>
          </w:p>
        </w:tc>
        <w:tc>
          <w:tcPr>
            <w:tcW w:w="1440" w:type="dxa"/>
          </w:tcPr>
          <w:p w:rsidR="00C43E3B" w:rsidRPr="00F309CF" w:rsidRDefault="00C43E3B" w:rsidP="00F309CF">
            <w:pPr>
              <w:jc w:val="right"/>
              <w:rPr>
                <w:sz w:val="20"/>
                <w:szCs w:val="20"/>
              </w:rPr>
            </w:pPr>
            <w:r w:rsidRPr="00F309CF">
              <w:rPr>
                <w:sz w:val="20"/>
                <w:szCs w:val="20"/>
              </w:rPr>
              <w:t>482.472,10</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Oostrozebeke – Gouden Appel (Spookkasteel)</w:t>
            </w:r>
          </w:p>
        </w:tc>
        <w:tc>
          <w:tcPr>
            <w:tcW w:w="1440" w:type="dxa"/>
          </w:tcPr>
          <w:p w:rsidR="00C43E3B" w:rsidRPr="00F309CF" w:rsidRDefault="00C43E3B" w:rsidP="00F309CF">
            <w:pPr>
              <w:jc w:val="right"/>
              <w:rPr>
                <w:sz w:val="20"/>
                <w:szCs w:val="20"/>
              </w:rPr>
            </w:pPr>
            <w:r w:rsidRPr="00F309CF">
              <w:rPr>
                <w:sz w:val="20"/>
                <w:szCs w:val="20"/>
              </w:rPr>
              <w:t>526.617,70</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Knokke-Heist – Het Walletje</w:t>
            </w:r>
          </w:p>
        </w:tc>
        <w:tc>
          <w:tcPr>
            <w:tcW w:w="1440" w:type="dxa"/>
          </w:tcPr>
          <w:p w:rsidR="00C43E3B" w:rsidRPr="00F309CF" w:rsidRDefault="00C43E3B" w:rsidP="00F309CF">
            <w:pPr>
              <w:jc w:val="right"/>
              <w:rPr>
                <w:sz w:val="20"/>
                <w:szCs w:val="20"/>
              </w:rPr>
            </w:pPr>
            <w:r w:rsidRPr="00F309CF">
              <w:rPr>
                <w:sz w:val="20"/>
                <w:szCs w:val="20"/>
              </w:rPr>
              <w:t>465.540,48</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Lt. Coppenskazerne – Brasschaat</w:t>
            </w:r>
          </w:p>
        </w:tc>
        <w:tc>
          <w:tcPr>
            <w:tcW w:w="1440" w:type="dxa"/>
          </w:tcPr>
          <w:p w:rsidR="00C43E3B" w:rsidRPr="00F309CF" w:rsidRDefault="00C43E3B" w:rsidP="00F309CF">
            <w:pPr>
              <w:jc w:val="right"/>
              <w:rPr>
                <w:sz w:val="20"/>
                <w:szCs w:val="20"/>
              </w:rPr>
            </w:pPr>
            <w:r w:rsidRPr="00F309CF">
              <w:rPr>
                <w:sz w:val="20"/>
                <w:szCs w:val="20"/>
              </w:rPr>
              <w:t>1.211.099,70</w:t>
            </w:r>
          </w:p>
        </w:tc>
        <w:tc>
          <w:tcPr>
            <w:tcW w:w="3940" w:type="dxa"/>
          </w:tcPr>
          <w:p w:rsidR="00C43E3B" w:rsidRPr="00F309CF" w:rsidRDefault="00C43E3B" w:rsidP="005E047C">
            <w:pPr>
              <w:rPr>
                <w:sz w:val="20"/>
                <w:szCs w:val="20"/>
              </w:rPr>
            </w:pPr>
            <w:r w:rsidRPr="00F309CF">
              <w:rPr>
                <w:sz w:val="20"/>
                <w:szCs w:val="20"/>
              </w:rPr>
              <w:t>Keuze bij het bedrijf/zonnepanelen</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Kristalpark – Lommel</w:t>
            </w:r>
          </w:p>
        </w:tc>
        <w:tc>
          <w:tcPr>
            <w:tcW w:w="1440" w:type="dxa"/>
          </w:tcPr>
          <w:p w:rsidR="00C43E3B" w:rsidRPr="00F309CF" w:rsidRDefault="00C43E3B" w:rsidP="00F309CF">
            <w:pPr>
              <w:jc w:val="right"/>
              <w:rPr>
                <w:sz w:val="20"/>
                <w:szCs w:val="20"/>
              </w:rPr>
            </w:pPr>
            <w:r w:rsidRPr="00F309CF">
              <w:rPr>
                <w:sz w:val="20"/>
                <w:szCs w:val="20"/>
              </w:rPr>
              <w:t>22.452.527,84</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Waterschei – Genk</w:t>
            </w:r>
          </w:p>
        </w:tc>
        <w:tc>
          <w:tcPr>
            <w:tcW w:w="1440" w:type="dxa"/>
          </w:tcPr>
          <w:p w:rsidR="00C43E3B" w:rsidRPr="00F309CF" w:rsidRDefault="00C43E3B" w:rsidP="00F309CF">
            <w:pPr>
              <w:jc w:val="right"/>
              <w:rPr>
                <w:sz w:val="20"/>
                <w:szCs w:val="20"/>
              </w:rPr>
            </w:pPr>
            <w:r w:rsidRPr="00F309CF">
              <w:rPr>
                <w:sz w:val="20"/>
                <w:szCs w:val="20"/>
              </w:rPr>
              <w:t>4.377.587,74</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Watergebonden – Niel</w:t>
            </w:r>
          </w:p>
        </w:tc>
        <w:tc>
          <w:tcPr>
            <w:tcW w:w="1440" w:type="dxa"/>
          </w:tcPr>
          <w:p w:rsidR="00C43E3B" w:rsidRPr="00F309CF" w:rsidRDefault="00C43E3B" w:rsidP="00F309CF">
            <w:pPr>
              <w:jc w:val="right"/>
              <w:rPr>
                <w:sz w:val="20"/>
                <w:szCs w:val="20"/>
              </w:rPr>
            </w:pPr>
            <w:r w:rsidRPr="00F309CF">
              <w:rPr>
                <w:sz w:val="20"/>
                <w:szCs w:val="20"/>
              </w:rPr>
              <w:t>223.585,29</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Den Hoek 3 – Wijnegem</w:t>
            </w:r>
          </w:p>
        </w:tc>
        <w:tc>
          <w:tcPr>
            <w:tcW w:w="1440" w:type="dxa"/>
          </w:tcPr>
          <w:p w:rsidR="00C43E3B" w:rsidRPr="00F309CF" w:rsidRDefault="00C43E3B" w:rsidP="00F309CF">
            <w:pPr>
              <w:jc w:val="right"/>
              <w:rPr>
                <w:sz w:val="20"/>
                <w:szCs w:val="20"/>
              </w:rPr>
            </w:pPr>
            <w:r w:rsidRPr="00F309CF">
              <w:rPr>
                <w:sz w:val="20"/>
                <w:szCs w:val="20"/>
              </w:rPr>
              <w:t>1.800.597,13</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Lanklaar fase 2 – Dilsen-Stokkem</w:t>
            </w:r>
          </w:p>
        </w:tc>
        <w:tc>
          <w:tcPr>
            <w:tcW w:w="1440" w:type="dxa"/>
          </w:tcPr>
          <w:p w:rsidR="00C43E3B" w:rsidRPr="00F309CF" w:rsidRDefault="00C43E3B" w:rsidP="00F309CF">
            <w:pPr>
              <w:jc w:val="right"/>
              <w:rPr>
                <w:sz w:val="20"/>
                <w:szCs w:val="20"/>
              </w:rPr>
            </w:pPr>
            <w:r w:rsidRPr="00F309CF">
              <w:rPr>
                <w:sz w:val="20"/>
                <w:szCs w:val="20"/>
              </w:rPr>
              <w:t>1.480.213,09</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Poort tot Noeveren – Boom</w:t>
            </w:r>
          </w:p>
        </w:tc>
        <w:tc>
          <w:tcPr>
            <w:tcW w:w="1440" w:type="dxa"/>
          </w:tcPr>
          <w:p w:rsidR="00C43E3B" w:rsidRPr="00F309CF" w:rsidRDefault="00C43E3B" w:rsidP="00F309CF">
            <w:pPr>
              <w:jc w:val="right"/>
              <w:rPr>
                <w:sz w:val="20"/>
                <w:szCs w:val="20"/>
              </w:rPr>
            </w:pPr>
            <w:r w:rsidRPr="00F309CF">
              <w:rPr>
                <w:sz w:val="20"/>
                <w:szCs w:val="20"/>
              </w:rPr>
              <w:t>461.030,57</w:t>
            </w:r>
          </w:p>
        </w:tc>
        <w:tc>
          <w:tcPr>
            <w:tcW w:w="3940" w:type="dxa"/>
          </w:tcPr>
          <w:p w:rsidR="00C43E3B" w:rsidRPr="00F309CF" w:rsidRDefault="00C43E3B" w:rsidP="005E047C">
            <w:pPr>
              <w:rPr>
                <w:sz w:val="20"/>
                <w:szCs w:val="20"/>
              </w:rPr>
            </w:pPr>
            <w:r w:rsidRPr="00F309CF">
              <w:rPr>
                <w:sz w:val="20"/>
                <w:szCs w:val="20"/>
              </w:rPr>
              <w:t>Groene stroom/zonnepanelen</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Krekelenberg 2 – Boom</w:t>
            </w:r>
          </w:p>
        </w:tc>
        <w:tc>
          <w:tcPr>
            <w:tcW w:w="1440" w:type="dxa"/>
          </w:tcPr>
          <w:p w:rsidR="00C43E3B" w:rsidRPr="00F309CF" w:rsidRDefault="00C43E3B" w:rsidP="00F309CF">
            <w:pPr>
              <w:jc w:val="right"/>
              <w:rPr>
                <w:sz w:val="20"/>
                <w:szCs w:val="20"/>
              </w:rPr>
            </w:pPr>
            <w:r w:rsidRPr="00F309CF">
              <w:rPr>
                <w:sz w:val="20"/>
                <w:szCs w:val="20"/>
              </w:rPr>
              <w:t>511.466,08</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Dreefvelden – St.-Katelijne-Waver</w:t>
            </w:r>
          </w:p>
        </w:tc>
        <w:tc>
          <w:tcPr>
            <w:tcW w:w="1440" w:type="dxa"/>
          </w:tcPr>
          <w:p w:rsidR="00C43E3B" w:rsidRPr="00F309CF" w:rsidRDefault="00C43E3B" w:rsidP="00F309CF">
            <w:pPr>
              <w:jc w:val="right"/>
              <w:rPr>
                <w:sz w:val="20"/>
                <w:szCs w:val="20"/>
              </w:rPr>
            </w:pPr>
            <w:r w:rsidRPr="00F309CF">
              <w:rPr>
                <w:sz w:val="20"/>
                <w:szCs w:val="20"/>
              </w:rPr>
              <w:t>1.855.234,02</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Beverdonk – Grobbendonk</w:t>
            </w:r>
          </w:p>
        </w:tc>
        <w:tc>
          <w:tcPr>
            <w:tcW w:w="1440" w:type="dxa"/>
          </w:tcPr>
          <w:p w:rsidR="00C43E3B" w:rsidRPr="00F309CF" w:rsidRDefault="00C43E3B" w:rsidP="00F309CF">
            <w:pPr>
              <w:jc w:val="right"/>
              <w:rPr>
                <w:sz w:val="20"/>
                <w:szCs w:val="20"/>
              </w:rPr>
            </w:pPr>
            <w:r w:rsidRPr="00F309CF">
              <w:rPr>
                <w:sz w:val="20"/>
                <w:szCs w:val="20"/>
              </w:rPr>
              <w:t>3.922.582,56</w:t>
            </w:r>
          </w:p>
        </w:tc>
        <w:tc>
          <w:tcPr>
            <w:tcW w:w="3940" w:type="dxa"/>
          </w:tcPr>
          <w:p w:rsidR="00C43E3B" w:rsidRPr="00F309CF" w:rsidRDefault="00C43E3B" w:rsidP="005E047C">
            <w:pPr>
              <w:rPr>
                <w:sz w:val="20"/>
                <w:szCs w:val="20"/>
              </w:rPr>
            </w:pPr>
            <w:r w:rsidRPr="00F309CF">
              <w:rPr>
                <w:sz w:val="20"/>
                <w:szCs w:val="20"/>
              </w:rPr>
              <w:t>Keuze bij het bedrijf</w:t>
            </w:r>
          </w:p>
        </w:tc>
      </w:tr>
      <w:tr w:rsidR="00C43E3B" w:rsidRPr="00F309CF" w:rsidTr="00F309CF">
        <w:trPr>
          <w:jc w:val="center"/>
        </w:trPr>
        <w:tc>
          <w:tcPr>
            <w:tcW w:w="2979" w:type="dxa"/>
          </w:tcPr>
          <w:p w:rsidR="00C43E3B" w:rsidRPr="00F309CF" w:rsidRDefault="00C43E3B" w:rsidP="005E047C">
            <w:pPr>
              <w:rPr>
                <w:sz w:val="20"/>
                <w:szCs w:val="20"/>
                <w:lang w:val="en-US"/>
              </w:rPr>
            </w:pPr>
            <w:r w:rsidRPr="00F309CF">
              <w:rPr>
                <w:sz w:val="20"/>
                <w:szCs w:val="20"/>
                <w:lang w:val="en-US"/>
              </w:rPr>
              <w:t>Feed Food Health Campus – Tienen</w:t>
            </w:r>
          </w:p>
        </w:tc>
        <w:tc>
          <w:tcPr>
            <w:tcW w:w="1440" w:type="dxa"/>
          </w:tcPr>
          <w:p w:rsidR="00C43E3B" w:rsidRPr="00F309CF" w:rsidRDefault="00C43E3B" w:rsidP="00F309CF">
            <w:pPr>
              <w:jc w:val="right"/>
              <w:rPr>
                <w:sz w:val="20"/>
                <w:szCs w:val="20"/>
              </w:rPr>
            </w:pPr>
            <w:r w:rsidRPr="00F309CF">
              <w:rPr>
                <w:sz w:val="20"/>
                <w:szCs w:val="20"/>
              </w:rPr>
              <w:t>794.396,80</w:t>
            </w:r>
          </w:p>
        </w:tc>
        <w:tc>
          <w:tcPr>
            <w:tcW w:w="3940" w:type="dxa"/>
          </w:tcPr>
          <w:p w:rsidR="00C43E3B" w:rsidRPr="00F309CF" w:rsidRDefault="00C43E3B" w:rsidP="005E047C">
            <w:pPr>
              <w:rPr>
                <w:sz w:val="20"/>
                <w:szCs w:val="20"/>
              </w:rPr>
            </w:pPr>
            <w:r w:rsidRPr="00F309CF">
              <w:rPr>
                <w:sz w:val="20"/>
                <w:szCs w:val="20"/>
              </w:rPr>
              <w:t>Groene stroom/openbare verlichting met zonnecellen</w:t>
            </w:r>
          </w:p>
        </w:tc>
      </w:tr>
      <w:tr w:rsidR="00C43E3B" w:rsidRPr="00F309CF" w:rsidTr="00F309CF">
        <w:trPr>
          <w:jc w:val="center"/>
        </w:trPr>
        <w:tc>
          <w:tcPr>
            <w:tcW w:w="2979" w:type="dxa"/>
          </w:tcPr>
          <w:p w:rsidR="00C43E3B" w:rsidRPr="00F309CF" w:rsidRDefault="00C43E3B" w:rsidP="005E047C">
            <w:pPr>
              <w:rPr>
                <w:sz w:val="20"/>
                <w:szCs w:val="20"/>
              </w:rPr>
            </w:pPr>
            <w:r w:rsidRPr="00F309CF">
              <w:rPr>
                <w:sz w:val="20"/>
                <w:szCs w:val="20"/>
              </w:rPr>
              <w:t>Ambachtel. Zone Assent/Bekkevoort</w:t>
            </w:r>
          </w:p>
        </w:tc>
        <w:tc>
          <w:tcPr>
            <w:tcW w:w="1440" w:type="dxa"/>
          </w:tcPr>
          <w:p w:rsidR="00C43E3B" w:rsidRPr="00F309CF" w:rsidRDefault="00C43E3B" w:rsidP="00F309CF">
            <w:pPr>
              <w:jc w:val="right"/>
              <w:rPr>
                <w:sz w:val="20"/>
                <w:szCs w:val="20"/>
              </w:rPr>
            </w:pPr>
            <w:r w:rsidRPr="00F309CF">
              <w:rPr>
                <w:sz w:val="20"/>
                <w:szCs w:val="20"/>
              </w:rPr>
              <w:t>76.091,44</w:t>
            </w:r>
          </w:p>
        </w:tc>
        <w:tc>
          <w:tcPr>
            <w:tcW w:w="3940" w:type="dxa"/>
          </w:tcPr>
          <w:p w:rsidR="00C43E3B" w:rsidRPr="00F309CF" w:rsidRDefault="00C43E3B" w:rsidP="005E047C">
            <w:pPr>
              <w:rPr>
                <w:sz w:val="20"/>
                <w:szCs w:val="20"/>
              </w:rPr>
            </w:pPr>
            <w:r w:rsidRPr="00F309CF">
              <w:rPr>
                <w:sz w:val="20"/>
                <w:szCs w:val="20"/>
              </w:rPr>
              <w:t>Groene stroom/ zonnepanelen</w:t>
            </w:r>
          </w:p>
        </w:tc>
      </w:tr>
    </w:tbl>
    <w:p w:rsidR="00C43E3B" w:rsidRDefault="00C43E3B" w:rsidP="0074119A">
      <w:pPr>
        <w:ind w:left="360"/>
        <w:jc w:val="both"/>
        <w:rPr>
          <w:sz w:val="22"/>
        </w:rPr>
      </w:pPr>
    </w:p>
    <w:p w:rsidR="00C43E3B" w:rsidRPr="0074119A" w:rsidRDefault="00C43E3B" w:rsidP="0074119A">
      <w:pPr>
        <w:ind w:left="360"/>
        <w:jc w:val="both"/>
        <w:rPr>
          <w:sz w:val="22"/>
        </w:rPr>
      </w:pPr>
      <w:r w:rsidRPr="0074119A">
        <w:rPr>
          <w:sz w:val="22"/>
        </w:rPr>
        <w:t>Nagenoeg alle ontwikkelaars stellen een CO2-neutraliteitsplan op dat de bedrijven die zich op hun terrein wensen te vestigen verplicht om een REG- en/of Quickscan te ondergaan en de resultaten ervan te implementeren. Bovendien organiseren ze infosessies om rationeel energieverbruik te promoten en de bedrijven te sensibiliseren voor de gezamenlijke aankoop van groene stroom. De CO2-neutraliteit op bedrijventerrein heeft alleszins geleid tot een zuinig energieverbruik.</w:t>
      </w:r>
    </w:p>
    <w:p w:rsidR="00C43E3B" w:rsidRDefault="00C43E3B" w:rsidP="0074119A">
      <w:pPr>
        <w:ind w:left="360"/>
        <w:jc w:val="both"/>
        <w:rPr>
          <w:sz w:val="22"/>
        </w:rPr>
      </w:pPr>
    </w:p>
    <w:p w:rsidR="00C43E3B" w:rsidRPr="0074119A" w:rsidRDefault="00C43E3B" w:rsidP="0074119A">
      <w:pPr>
        <w:numPr>
          <w:ilvl w:val="0"/>
          <w:numId w:val="3"/>
        </w:numPr>
        <w:jc w:val="both"/>
        <w:rPr>
          <w:sz w:val="22"/>
        </w:rPr>
      </w:pPr>
      <w:r w:rsidRPr="0074119A">
        <w:rPr>
          <w:sz w:val="22"/>
        </w:rPr>
        <w:t>Het GIS-registratiesysteem voor bedrijventerreinen houdt de juridische toestand bij van de bestemde bedrijventerreinen en geeft informatie over het gebruik van de diverse kavels</w:t>
      </w:r>
      <w:r>
        <w:rPr>
          <w:sz w:val="22"/>
        </w:rPr>
        <w:t>,</w:t>
      </w:r>
      <w:r w:rsidRPr="0074119A">
        <w:rPr>
          <w:sz w:val="22"/>
        </w:rPr>
        <w:t xml:space="preserve"> maar geeft geen info over de ontwikkelingsdatum van de terreinen. Uit een korte steekproef bij de openbare ontwikkelaars van bedrijventerreinen is gebleken dat voor de jaren 2008, 2009 en 2010 op een paar uitzonderingen na er steeds subsidies werden aangevraagd voor de (her)aanleg van bedrijven</w:t>
      </w:r>
      <w:r>
        <w:rPr>
          <w:sz w:val="22"/>
        </w:rPr>
        <w:softHyphen/>
      </w:r>
      <w:r w:rsidRPr="0074119A">
        <w:rPr>
          <w:sz w:val="22"/>
        </w:rPr>
        <w:t xml:space="preserve">terreinen. </w:t>
      </w:r>
    </w:p>
    <w:p w:rsidR="00C43E3B" w:rsidRPr="0074119A" w:rsidRDefault="00C43E3B" w:rsidP="0074119A">
      <w:pPr>
        <w:ind w:left="360"/>
        <w:jc w:val="both"/>
        <w:rPr>
          <w:sz w:val="22"/>
        </w:rPr>
      </w:pPr>
    </w:p>
    <w:p w:rsidR="00C43E3B" w:rsidRPr="0074119A" w:rsidRDefault="00C43E3B" w:rsidP="0074119A">
      <w:pPr>
        <w:ind w:left="360"/>
        <w:jc w:val="both"/>
        <w:rPr>
          <w:sz w:val="22"/>
        </w:rPr>
      </w:pPr>
      <w:r w:rsidRPr="0074119A">
        <w:rPr>
          <w:sz w:val="22"/>
        </w:rPr>
        <w:t>In de provincies Vlaams-Brabant en Limburg hebben de openbare ontwikkelaars in deze periode geen bedrijventerreinen ontwikkeld zonder subsidies. In de provincie Antwerpen legt enkel de intercommunale IOK drie nieuwe bedrijventerreinen aan zonder subsidies: Bentel (</w:t>
      </w:r>
      <w:smartTag w:uri="urn:schemas-microsoft-com:office:smarttags" w:element="metricconverter">
        <w:smartTagPr>
          <w:attr w:name="ProductID" w:val="12 ha"/>
        </w:smartTagPr>
        <w:r w:rsidRPr="0074119A">
          <w:rPr>
            <w:sz w:val="22"/>
          </w:rPr>
          <w:t>12 ha</w:t>
        </w:r>
      </w:smartTag>
      <w:r w:rsidRPr="0074119A">
        <w:rPr>
          <w:sz w:val="22"/>
        </w:rPr>
        <w:t xml:space="preserve"> verkoopbaar) in Oud-Turnhout, Veedijk (</w:t>
      </w:r>
      <w:smartTag w:uri="urn:schemas-microsoft-com:office:smarttags" w:element="metricconverter">
        <w:smartTagPr>
          <w:attr w:name="ProductID" w:val="42 ha"/>
        </w:smartTagPr>
        <w:r w:rsidRPr="0074119A">
          <w:rPr>
            <w:sz w:val="22"/>
          </w:rPr>
          <w:t>42 ha</w:t>
        </w:r>
      </w:smartTag>
      <w:r w:rsidRPr="0074119A">
        <w:rPr>
          <w:sz w:val="22"/>
        </w:rPr>
        <w:t xml:space="preserve"> bruto) in Turnhout en een terrein in Beerse (</w:t>
      </w:r>
      <w:smartTag w:uri="urn:schemas-microsoft-com:office:smarttags" w:element="metricconverter">
        <w:smartTagPr>
          <w:attr w:name="ProductID" w:val="35 ha"/>
        </w:smartTagPr>
        <w:r w:rsidRPr="0074119A">
          <w:rPr>
            <w:sz w:val="22"/>
          </w:rPr>
          <w:t>35 ha</w:t>
        </w:r>
      </w:smartTag>
      <w:r w:rsidRPr="0074119A">
        <w:rPr>
          <w:sz w:val="22"/>
        </w:rPr>
        <w:t xml:space="preserve"> bruto). De intercommunale zal voor deze terreinen niet noodzakelijk de CO2-verplichtingen opleggen zoals vastgelegd bij het subsidiebesluit van 2007 maar hanteert wel dezelfde principes van ecologische aard zoals zuinig ruimtegebruik, integraal waterbeheer, rationeel energieverbruik,</w:t>
      </w:r>
      <w:r>
        <w:rPr>
          <w:sz w:val="22"/>
        </w:rPr>
        <w:t xml:space="preserve"> etc. </w:t>
      </w:r>
      <w:r w:rsidRPr="0074119A">
        <w:rPr>
          <w:sz w:val="22"/>
        </w:rPr>
        <w:t xml:space="preserve">die evenals bij een gesubsidieerd bedrijventerrein via de verkoopsvoorwaarden afdwingbaar zijn bij de bedrijven. </w:t>
      </w:r>
    </w:p>
    <w:p w:rsidR="00C43E3B" w:rsidRPr="0074119A" w:rsidRDefault="00C43E3B" w:rsidP="0074119A">
      <w:pPr>
        <w:ind w:left="360"/>
        <w:jc w:val="both"/>
        <w:rPr>
          <w:sz w:val="22"/>
        </w:rPr>
      </w:pPr>
      <w:r w:rsidRPr="0074119A">
        <w:rPr>
          <w:sz w:val="22"/>
        </w:rPr>
        <w:t>In de provincie West-Vlaanderen worden door de publieke ontwikkelaars vier nieuwe bedrijven</w:t>
      </w:r>
      <w:r>
        <w:rPr>
          <w:sz w:val="22"/>
        </w:rPr>
        <w:softHyphen/>
      </w:r>
      <w:r w:rsidRPr="0074119A">
        <w:rPr>
          <w:sz w:val="22"/>
        </w:rPr>
        <w:t>terreinen aangelegd zonder subsidies: Doomanstraat in Aalbeke, Ter Eike in Staden, Spanjestraat in Staden en Torhoutsesteenweg in Oostende.</w:t>
      </w:r>
    </w:p>
    <w:p w:rsidR="00C43E3B" w:rsidRPr="0074119A" w:rsidRDefault="00C43E3B" w:rsidP="0074119A">
      <w:pPr>
        <w:ind w:left="360"/>
        <w:jc w:val="both"/>
        <w:rPr>
          <w:sz w:val="22"/>
        </w:rPr>
      </w:pPr>
    </w:p>
    <w:p w:rsidR="00C43E3B" w:rsidRPr="0074119A" w:rsidRDefault="00C43E3B" w:rsidP="0074119A">
      <w:pPr>
        <w:ind w:left="360"/>
        <w:jc w:val="both"/>
        <w:rPr>
          <w:sz w:val="22"/>
        </w:rPr>
      </w:pPr>
      <w:r w:rsidRPr="0074119A">
        <w:rPr>
          <w:sz w:val="22"/>
        </w:rPr>
        <w:t xml:space="preserve">Het betreft hier telkens kleinere bedrijventerreinen gaande van 2 tot </w:t>
      </w:r>
      <w:smartTag w:uri="urn:schemas-microsoft-com:office:smarttags" w:element="metricconverter">
        <w:smartTagPr>
          <w:attr w:name="ProductID" w:val="13 ha"/>
        </w:smartTagPr>
        <w:r w:rsidRPr="0074119A">
          <w:rPr>
            <w:sz w:val="22"/>
          </w:rPr>
          <w:t>13 ha</w:t>
        </w:r>
      </w:smartTag>
      <w:r w:rsidRPr="0074119A">
        <w:rPr>
          <w:sz w:val="22"/>
        </w:rPr>
        <w:t xml:space="preserve">. </w:t>
      </w:r>
    </w:p>
    <w:p w:rsidR="00C43E3B" w:rsidRPr="0074119A" w:rsidRDefault="00C43E3B" w:rsidP="0074119A">
      <w:pPr>
        <w:ind w:left="360"/>
        <w:jc w:val="both"/>
        <w:rPr>
          <w:sz w:val="22"/>
        </w:rPr>
      </w:pPr>
    </w:p>
    <w:p w:rsidR="00C43E3B" w:rsidRPr="0074119A" w:rsidRDefault="00C43E3B" w:rsidP="0074119A">
      <w:pPr>
        <w:ind w:left="360"/>
        <w:jc w:val="both"/>
        <w:rPr>
          <w:sz w:val="22"/>
        </w:rPr>
      </w:pPr>
      <w:r w:rsidRPr="0074119A">
        <w:rPr>
          <w:sz w:val="22"/>
        </w:rPr>
        <w:t xml:space="preserve">Beide intercommunales die deze terreinen ontwikkelen hanteren dezelfde principes van ecologische aard zoals hierboven geschetst </w:t>
      </w:r>
      <w:r>
        <w:rPr>
          <w:sz w:val="22"/>
        </w:rPr>
        <w:t xml:space="preserve">en </w:t>
      </w:r>
      <w:r w:rsidRPr="0074119A">
        <w:rPr>
          <w:sz w:val="22"/>
        </w:rPr>
        <w:t>die ook afdwingbaar zijn via de verkoopsvoor</w:t>
      </w:r>
      <w:r>
        <w:rPr>
          <w:sz w:val="22"/>
        </w:rPr>
        <w:softHyphen/>
      </w:r>
      <w:r w:rsidRPr="0074119A">
        <w:rPr>
          <w:sz w:val="22"/>
        </w:rPr>
        <w:t>waarden. Op deze terreinen wordt er geen expliciete CO2-neutraliteit opgelegd zoals voorzien door het subsidiebesluit.</w:t>
      </w:r>
    </w:p>
    <w:p w:rsidR="00C43E3B" w:rsidRPr="0074119A" w:rsidRDefault="00C43E3B" w:rsidP="0074119A">
      <w:pPr>
        <w:ind w:left="360"/>
        <w:jc w:val="both"/>
        <w:rPr>
          <w:sz w:val="22"/>
        </w:rPr>
      </w:pPr>
    </w:p>
    <w:p w:rsidR="00C43E3B" w:rsidRPr="0074119A" w:rsidRDefault="00C43E3B" w:rsidP="0074119A">
      <w:pPr>
        <w:ind w:left="360"/>
        <w:jc w:val="both"/>
        <w:rPr>
          <w:sz w:val="22"/>
        </w:rPr>
      </w:pPr>
      <w:r w:rsidRPr="0074119A">
        <w:rPr>
          <w:sz w:val="22"/>
        </w:rPr>
        <w:t xml:space="preserve">In de provincie Oost-Vlaanderen heeft de intercommunale Solva de uitbreiding met </w:t>
      </w:r>
      <w:smartTag w:uri="urn:schemas-microsoft-com:office:smarttags" w:element="metricconverter">
        <w:smartTagPr>
          <w:attr w:name="ProductID" w:val="8,6 ha"/>
        </w:smartTagPr>
        <w:r w:rsidRPr="0074119A">
          <w:rPr>
            <w:sz w:val="22"/>
          </w:rPr>
          <w:t>8,6 ha</w:t>
        </w:r>
      </w:smartTag>
      <w:r w:rsidRPr="0074119A">
        <w:rPr>
          <w:sz w:val="22"/>
        </w:rPr>
        <w:t xml:space="preserve"> verkoopbare oppervlakte van het bedrijventerrein Hoogveld in Dendermonde aangelegd. Ook deze intercommunale past dezelfde principes toe en stelt ze afdwingbaar via de verkoopsvoorwaarden. Ook hier wordt er geen CO2-verplichting opgelegd in de zin van het subsidiebesluit.</w:t>
      </w:r>
    </w:p>
    <w:p w:rsidR="00C43E3B" w:rsidRDefault="00C43E3B" w:rsidP="0074119A">
      <w:pPr>
        <w:ind w:left="360"/>
        <w:jc w:val="both"/>
        <w:rPr>
          <w:sz w:val="22"/>
        </w:rPr>
      </w:pPr>
    </w:p>
    <w:p w:rsidR="00C43E3B" w:rsidRPr="0074119A" w:rsidRDefault="00C43E3B" w:rsidP="0074119A">
      <w:pPr>
        <w:numPr>
          <w:ilvl w:val="0"/>
          <w:numId w:val="3"/>
        </w:numPr>
        <w:jc w:val="both"/>
        <w:rPr>
          <w:sz w:val="22"/>
        </w:rPr>
      </w:pPr>
      <w:r w:rsidRPr="0074119A">
        <w:rPr>
          <w:sz w:val="22"/>
        </w:rPr>
        <w:t>Het Agentschap Ondernemen heeft nog geen controles verricht op de naleving van de CO2-neutraliteit op de bedrijventerreinen die met subsidies werden aangelegd. De ontwikkeling van een bedrijventerrein neemt meerdere jaren in beslag enerzijds en anderzijds gaat de CO2-verplichting pas in bij het begin van het jaar volgend op de eerste bedrijfsvestiging. Het Agentschap Ondernemen zal integrale controles op de naleving van alle subsidievoorwaarden van het subsidie</w:t>
      </w:r>
      <w:r>
        <w:rPr>
          <w:sz w:val="22"/>
        </w:rPr>
        <w:softHyphen/>
      </w:r>
      <w:r w:rsidRPr="0074119A">
        <w:rPr>
          <w:sz w:val="22"/>
        </w:rPr>
        <w:t>besluit uitvoeren. Vermits de ontwikkelaars ook voor het beheer van het bedrijventerrein, waaronder het afdwingen van de CO2-neutraliteit, een éénmalige vergoeding kunnen bekomen, zullen de controles plaatsvinden ten laatste vijf jaar nadat ook deze vergoedingen zijn uitbetaald.</w:t>
      </w:r>
    </w:p>
    <w:p w:rsidR="00C43E3B" w:rsidRDefault="00C43E3B" w:rsidP="0074119A">
      <w:pPr>
        <w:ind w:left="360"/>
        <w:jc w:val="both"/>
        <w:rPr>
          <w:sz w:val="22"/>
        </w:rPr>
      </w:pPr>
    </w:p>
    <w:p w:rsidR="00C43E3B" w:rsidRPr="0074119A" w:rsidRDefault="00C43E3B" w:rsidP="0074119A">
      <w:pPr>
        <w:numPr>
          <w:ilvl w:val="0"/>
          <w:numId w:val="3"/>
        </w:numPr>
        <w:jc w:val="both"/>
        <w:rPr>
          <w:sz w:val="22"/>
        </w:rPr>
      </w:pPr>
      <w:r w:rsidRPr="0074119A">
        <w:rPr>
          <w:sz w:val="22"/>
        </w:rPr>
        <w:t xml:space="preserve">De toenmalige Vlaamse minister bevoegd voor economie heeft indertijd beslist om de CO2-neutraliteit enkel voor het elektriciteitsverbruik op te leggen omdat deze optie het gemakkelijkst te implementeren was rekening houdend met het feit dat het subsidiebesluit van 2003 een beperkte werking had tot 31 december 2006. Vooraleer aan een bedrijventerrein subsidies worden toegekend, gebeurt er een vooroverleg met plaatsbezoek </w:t>
      </w:r>
      <w:r>
        <w:rPr>
          <w:sz w:val="22"/>
        </w:rPr>
        <w:t>waarbij</w:t>
      </w:r>
      <w:r w:rsidRPr="0074119A">
        <w:rPr>
          <w:sz w:val="22"/>
        </w:rPr>
        <w:t xml:space="preserve"> de diverse deelplannen (inrichting: CO2-neutraliteit, landschappelijke inplanting, ecologie, veiligheid, beeldkwaliteit; uitgifte en beheer) worden toegelicht en desgevallend bijgestuurd. Het subsidiedossier moet de volledig uitgewerkte deelplannen bevatten</w:t>
      </w:r>
      <w:r>
        <w:rPr>
          <w:sz w:val="22"/>
        </w:rPr>
        <w:t>.</w:t>
      </w:r>
      <w:r w:rsidRPr="0074119A">
        <w:rPr>
          <w:sz w:val="22"/>
        </w:rPr>
        <w:t xml:space="preserve"> Het inrichtingsplan is doorgaans </w:t>
      </w:r>
      <w:r>
        <w:rPr>
          <w:sz w:val="22"/>
        </w:rPr>
        <w:t>al</w:t>
      </w:r>
      <w:r w:rsidRPr="0074119A">
        <w:rPr>
          <w:sz w:val="22"/>
        </w:rPr>
        <w:t xml:space="preserve"> afgetoetst met de diensten van ruimtelijke ordening en stedenbouw en is meestal het resultaat van het </w:t>
      </w:r>
      <w:r>
        <w:rPr>
          <w:sz w:val="22"/>
        </w:rPr>
        <w:t>al</w:t>
      </w:r>
      <w:r w:rsidRPr="0074119A">
        <w:rPr>
          <w:sz w:val="22"/>
        </w:rPr>
        <w:t xml:space="preserve"> goedgekeurde RUP en desgevallend van het mer-onderzoek</w:t>
      </w:r>
      <w:r>
        <w:rPr>
          <w:sz w:val="22"/>
        </w:rPr>
        <w:t>,</w:t>
      </w:r>
      <w:r w:rsidRPr="0074119A">
        <w:rPr>
          <w:sz w:val="22"/>
        </w:rPr>
        <w:t xml:space="preserve"> waarbij ook het onderdeel mobiliteit wordt onderzocht. Telkens het Agentschap Ondernemen dit nodig acht worden deze aspecten afgetoetst met de andere Vlaamse overheidsdiensten. De uitgifte- en beheerplannen die opgelegd worden vanuit de sector economie worden door het Agentschap Ondernemen zelf beoordeeld. Voor het onderdeel CO2-neutraliteit kan het advies van het Vlaams Energieagentschap ingewonnen worden zoals voorzien door het subsidiebesluit.</w:t>
      </w:r>
    </w:p>
    <w:p w:rsidR="00C43E3B" w:rsidRDefault="00C43E3B" w:rsidP="0074119A">
      <w:pPr>
        <w:ind w:left="360"/>
        <w:jc w:val="both"/>
        <w:rPr>
          <w:sz w:val="22"/>
        </w:rPr>
      </w:pPr>
    </w:p>
    <w:p w:rsidR="00C43E3B" w:rsidRPr="0074119A" w:rsidRDefault="00C43E3B" w:rsidP="0074119A">
      <w:pPr>
        <w:numPr>
          <w:ilvl w:val="0"/>
          <w:numId w:val="3"/>
        </w:numPr>
        <w:jc w:val="both"/>
        <w:rPr>
          <w:sz w:val="22"/>
        </w:rPr>
      </w:pPr>
      <w:r w:rsidRPr="0074119A">
        <w:rPr>
          <w:sz w:val="22"/>
        </w:rPr>
        <w:t xml:space="preserve">Duurzame bedrijventerreinen zijn inderdaad meer dan CO2-neutrale terreinen. Momenteel worden er </w:t>
      </w:r>
      <w:r>
        <w:rPr>
          <w:sz w:val="22"/>
        </w:rPr>
        <w:t>al</w:t>
      </w:r>
      <w:r w:rsidRPr="0074119A">
        <w:rPr>
          <w:sz w:val="22"/>
        </w:rPr>
        <w:t xml:space="preserve"> grote inspanningen gedaan, vaak ten koste van de economische rendabiliteit, op het gebied van intensief ruimtegebruik, zware groene buffers en groenvoorzieningen op het terrein, het behoud en versterken van de aanwezige biotopen op en rond de bedrijventerreinen, het integraal waterbeheer met herstel of behoud van de natuurlijke waterlopen, de mobiliteitsstructuur om kwetsbare zones te vrijwaren, investeringen in kades en spoorontsluitingen ter  ontlasting van het wegvervoer, behoud van landschappelijke en historische elementen, </w:t>
      </w:r>
      <w:r>
        <w:rPr>
          <w:sz w:val="22"/>
        </w:rPr>
        <w:t>etc.</w:t>
      </w:r>
      <w:r w:rsidRPr="0074119A">
        <w:rPr>
          <w:sz w:val="22"/>
        </w:rPr>
        <w:t xml:space="preserve"> Bij de realisatie van het nieuwe decreet ruimtelijke economie zal het duurzame aspect van bedrijventerreinen en bedrijfsgebouwen ongetwijfeld een onderdeel vormen van de nieuwe regelgeving. </w:t>
      </w:r>
    </w:p>
    <w:sectPr w:rsidR="00C43E3B" w:rsidRPr="0074119A" w:rsidSect="007C3F36">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87A"/>
    <w:multiLevelType w:val="hybridMultilevel"/>
    <w:tmpl w:val="8378139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24A512C1"/>
    <w:multiLevelType w:val="hybridMultilevel"/>
    <w:tmpl w:val="6BDC3120"/>
    <w:lvl w:ilvl="0" w:tplc="F0B4DD5C">
      <w:start w:val="2"/>
      <w:numFmt w:val="decimal"/>
      <w:lvlText w:val="%1."/>
      <w:lvlJc w:val="left"/>
      <w:pPr>
        <w:tabs>
          <w:tab w:val="num" w:pos="720"/>
        </w:tabs>
        <w:ind w:left="720" w:hanging="360"/>
      </w:pPr>
      <w:rPr>
        <w:rFonts w:cs="Times New Roman" w:hint="default"/>
      </w:rPr>
    </w:lvl>
    <w:lvl w:ilvl="1" w:tplc="A768CAC2" w:tentative="1">
      <w:start w:val="1"/>
      <w:numFmt w:val="lowerLetter"/>
      <w:lvlText w:val="%2."/>
      <w:lvlJc w:val="left"/>
      <w:pPr>
        <w:tabs>
          <w:tab w:val="num" w:pos="1440"/>
        </w:tabs>
        <w:ind w:left="1440" w:hanging="360"/>
      </w:pPr>
      <w:rPr>
        <w:rFonts w:cs="Times New Roman"/>
      </w:rPr>
    </w:lvl>
    <w:lvl w:ilvl="2" w:tplc="1EAAA668" w:tentative="1">
      <w:start w:val="1"/>
      <w:numFmt w:val="lowerRoman"/>
      <w:lvlText w:val="%3."/>
      <w:lvlJc w:val="right"/>
      <w:pPr>
        <w:tabs>
          <w:tab w:val="num" w:pos="2160"/>
        </w:tabs>
        <w:ind w:left="2160" w:hanging="180"/>
      </w:pPr>
      <w:rPr>
        <w:rFonts w:cs="Times New Roman"/>
      </w:rPr>
    </w:lvl>
    <w:lvl w:ilvl="3" w:tplc="57584024" w:tentative="1">
      <w:start w:val="1"/>
      <w:numFmt w:val="decimal"/>
      <w:lvlText w:val="%4."/>
      <w:lvlJc w:val="left"/>
      <w:pPr>
        <w:tabs>
          <w:tab w:val="num" w:pos="2880"/>
        </w:tabs>
        <w:ind w:left="2880" w:hanging="360"/>
      </w:pPr>
      <w:rPr>
        <w:rFonts w:cs="Times New Roman"/>
      </w:rPr>
    </w:lvl>
    <w:lvl w:ilvl="4" w:tplc="0E1CA528" w:tentative="1">
      <w:start w:val="1"/>
      <w:numFmt w:val="lowerLetter"/>
      <w:lvlText w:val="%5."/>
      <w:lvlJc w:val="left"/>
      <w:pPr>
        <w:tabs>
          <w:tab w:val="num" w:pos="3600"/>
        </w:tabs>
        <w:ind w:left="3600" w:hanging="360"/>
      </w:pPr>
      <w:rPr>
        <w:rFonts w:cs="Times New Roman"/>
      </w:rPr>
    </w:lvl>
    <w:lvl w:ilvl="5" w:tplc="A058EB9C" w:tentative="1">
      <w:start w:val="1"/>
      <w:numFmt w:val="lowerRoman"/>
      <w:lvlText w:val="%6."/>
      <w:lvlJc w:val="right"/>
      <w:pPr>
        <w:tabs>
          <w:tab w:val="num" w:pos="4320"/>
        </w:tabs>
        <w:ind w:left="4320" w:hanging="180"/>
      </w:pPr>
      <w:rPr>
        <w:rFonts w:cs="Times New Roman"/>
      </w:rPr>
    </w:lvl>
    <w:lvl w:ilvl="6" w:tplc="687A8198" w:tentative="1">
      <w:start w:val="1"/>
      <w:numFmt w:val="decimal"/>
      <w:lvlText w:val="%7."/>
      <w:lvlJc w:val="left"/>
      <w:pPr>
        <w:tabs>
          <w:tab w:val="num" w:pos="5040"/>
        </w:tabs>
        <w:ind w:left="5040" w:hanging="360"/>
      </w:pPr>
      <w:rPr>
        <w:rFonts w:cs="Times New Roman"/>
      </w:rPr>
    </w:lvl>
    <w:lvl w:ilvl="7" w:tplc="416E7D76" w:tentative="1">
      <w:start w:val="1"/>
      <w:numFmt w:val="lowerLetter"/>
      <w:lvlText w:val="%8."/>
      <w:lvlJc w:val="left"/>
      <w:pPr>
        <w:tabs>
          <w:tab w:val="num" w:pos="5760"/>
        </w:tabs>
        <w:ind w:left="5760" w:hanging="360"/>
      </w:pPr>
      <w:rPr>
        <w:rFonts w:cs="Times New Roman"/>
      </w:rPr>
    </w:lvl>
    <w:lvl w:ilvl="8" w:tplc="74EE41F2" w:tentative="1">
      <w:start w:val="1"/>
      <w:numFmt w:val="lowerRoman"/>
      <w:lvlText w:val="%9."/>
      <w:lvlJc w:val="right"/>
      <w:pPr>
        <w:tabs>
          <w:tab w:val="num" w:pos="6480"/>
        </w:tabs>
        <w:ind w:left="6480" w:hanging="180"/>
      </w:pPr>
      <w:rPr>
        <w:rFonts w:cs="Times New Roman"/>
      </w:rPr>
    </w:lvl>
  </w:abstractNum>
  <w:abstractNum w:abstractNumId="2">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1747B4"/>
    <w:rsid w:val="001F0937"/>
    <w:rsid w:val="002730B7"/>
    <w:rsid w:val="005431C7"/>
    <w:rsid w:val="00596C6E"/>
    <w:rsid w:val="005E047C"/>
    <w:rsid w:val="00627DDF"/>
    <w:rsid w:val="00650E01"/>
    <w:rsid w:val="006A324D"/>
    <w:rsid w:val="006F7264"/>
    <w:rsid w:val="0074119A"/>
    <w:rsid w:val="007A666B"/>
    <w:rsid w:val="007B527F"/>
    <w:rsid w:val="007C3F36"/>
    <w:rsid w:val="009976C1"/>
    <w:rsid w:val="009E0A54"/>
    <w:rsid w:val="009E2C40"/>
    <w:rsid w:val="00A8473D"/>
    <w:rsid w:val="00AB0AA4"/>
    <w:rsid w:val="00BF5BC2"/>
    <w:rsid w:val="00C43E3B"/>
    <w:rsid w:val="00C54B09"/>
    <w:rsid w:val="00D522C8"/>
    <w:rsid w:val="00F309C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36"/>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7C3F36"/>
    <w:pPr>
      <w:jc w:val="both"/>
    </w:pPr>
    <w:rPr>
      <w:sz w:val="22"/>
      <w:szCs w:val="20"/>
    </w:rPr>
  </w:style>
  <w:style w:type="paragraph" w:styleId="BalloonText">
    <w:name w:val="Balloon Text"/>
    <w:basedOn w:val="Normal"/>
    <w:link w:val="BalloonTextChar"/>
    <w:uiPriority w:val="99"/>
    <w:semiHidden/>
    <w:rsid w:val="007C3F36"/>
    <w:rPr>
      <w:rFonts w:ascii="Tahoma" w:hAnsi="Tahoma" w:cs="Tahoma"/>
      <w:sz w:val="16"/>
      <w:szCs w:val="16"/>
    </w:rPr>
  </w:style>
  <w:style w:type="character" w:customStyle="1" w:styleId="BalloonTextChar">
    <w:name w:val="Balloon Text Char"/>
    <w:basedOn w:val="DefaultParagraphFont"/>
    <w:link w:val="BalloonText"/>
    <w:uiPriority w:val="99"/>
    <w:semiHidden/>
    <w:rsid w:val="00F01791"/>
    <w:rPr>
      <w:sz w:val="0"/>
      <w:szCs w:val="0"/>
      <w:lang w:val="nl-NL" w:eastAsia="nl-NL"/>
    </w:rPr>
  </w:style>
  <w:style w:type="paragraph" w:styleId="EnvelopeAddress">
    <w:name w:val="envelope address"/>
    <w:basedOn w:val="Normal"/>
    <w:uiPriority w:val="99"/>
    <w:rsid w:val="002730B7"/>
    <w:pPr>
      <w:framePr w:w="7920" w:h="1980" w:hRule="exact" w:hSpace="141" w:wrap="auto" w:hAnchor="page" w:xAlign="center" w:yAlign="bottom"/>
      <w:ind w:left="2880"/>
    </w:pPr>
    <w:rPr>
      <w:szCs w:val="20"/>
    </w:rPr>
  </w:style>
  <w:style w:type="table" w:styleId="TableGrid">
    <w:name w:val="Table Grid"/>
    <w:basedOn w:val="TableNormal"/>
    <w:uiPriority w:val="99"/>
    <w:rsid w:val="007411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3</Pages>
  <Words>1416</Words>
  <Characters>7792</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Nathalie De Keyzer</cp:lastModifiedBy>
  <cp:revision>3</cp:revision>
  <cp:lastPrinted>2007-12-14T07:15:00Z</cp:lastPrinted>
  <dcterms:created xsi:type="dcterms:W3CDTF">2010-10-07T13:49:00Z</dcterms:created>
  <dcterms:modified xsi:type="dcterms:W3CDTF">2010-10-13T15:04:00Z</dcterms:modified>
</cp:coreProperties>
</file>