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95D9A" w:rsidRPr="00DD4121" w:rsidRDefault="00A95D9A"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A95D9A" w:rsidRPr="00015BF7" w:rsidRDefault="00A95D9A"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A95D9A" w:rsidRPr="00015BF7" w:rsidRDefault="00A95D9A" w:rsidP="000976E9">
      <w:pPr>
        <w:rPr>
          <w:szCs w:val="22"/>
        </w:rPr>
      </w:pPr>
    </w:p>
    <w:p w:rsidR="00A95D9A" w:rsidRPr="00DB41C0" w:rsidRDefault="00A95D9A" w:rsidP="000976E9">
      <w:pPr>
        <w:pStyle w:val="A-Lijn"/>
      </w:pPr>
    </w:p>
    <w:p w:rsidR="00A95D9A" w:rsidRDefault="00A95D9A" w:rsidP="000976E9">
      <w:pPr>
        <w:pStyle w:val="A-Type"/>
        <w:sectPr w:rsidR="00A95D9A">
          <w:pgSz w:w="11906" w:h="16838"/>
          <w:pgMar w:top="1417" w:right="1417" w:bottom="1417" w:left="1417" w:header="708" w:footer="708" w:gutter="0"/>
          <w:cols w:space="708"/>
          <w:rtlGutter/>
          <w:docGrid w:linePitch="360"/>
        </w:sectPr>
      </w:pPr>
    </w:p>
    <w:p w:rsidR="00A95D9A" w:rsidRDefault="00A95D9A" w:rsidP="009456B5">
      <w:pPr>
        <w:pStyle w:val="A-Type"/>
        <w:outlineLvl w:val="0"/>
        <w:sectPr w:rsidR="00A95D9A"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A95D9A" w:rsidRPr="00326A58" w:rsidRDefault="00A95D9A"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A95D9A" w:rsidRDefault="00A95D9A"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vera jans</w:t>
      </w:r>
      <w:r w:rsidRPr="009D7043">
        <w:rPr>
          <w:rStyle w:val="AntwoordNaamMinisterChar"/>
          <w:sz w:val="22"/>
        </w:rPr>
        <w:fldChar w:fldCharType="end"/>
      </w:r>
    </w:p>
    <w:p w:rsidR="00A95D9A" w:rsidRPr="00015BF7" w:rsidRDefault="00A95D9A" w:rsidP="000976E9">
      <w:pPr>
        <w:rPr>
          <w:szCs w:val="22"/>
        </w:rPr>
      </w:pPr>
    </w:p>
    <w:p w:rsidR="00A95D9A" w:rsidRPr="00DB41C0" w:rsidRDefault="00A95D9A" w:rsidP="000976E9">
      <w:pPr>
        <w:pStyle w:val="A-Lijn"/>
      </w:pPr>
    </w:p>
    <w:p w:rsidR="00A95D9A" w:rsidRPr="00DB41C0" w:rsidRDefault="00A95D9A" w:rsidP="000976E9">
      <w:pPr>
        <w:pStyle w:val="A-Lijn"/>
      </w:pPr>
    </w:p>
    <w:p w:rsidR="00A95D9A" w:rsidRDefault="00A95D9A" w:rsidP="00DB41C0">
      <w:pPr>
        <w:sectPr w:rsidR="00A95D9A" w:rsidSect="000976E9">
          <w:type w:val="continuous"/>
          <w:pgSz w:w="11906" w:h="16838"/>
          <w:pgMar w:top="1417" w:right="1417" w:bottom="1417" w:left="1417" w:header="708" w:footer="708" w:gutter="0"/>
          <w:cols w:space="708"/>
          <w:rtlGutter/>
          <w:docGrid w:linePitch="360"/>
        </w:sectPr>
      </w:pPr>
    </w:p>
    <w:p w:rsidR="00A95D9A" w:rsidRPr="003140A4" w:rsidRDefault="00A95D9A" w:rsidP="003140A4">
      <w:pPr>
        <w:jc w:val="both"/>
        <w:rPr>
          <w:b/>
          <w:i/>
          <w:u w:val="single"/>
          <w:lang w:val="nl-BE"/>
        </w:rPr>
      </w:pPr>
      <w:r w:rsidRPr="00160DAF">
        <w:rPr>
          <w:b/>
          <w:i/>
          <w:u w:val="single"/>
        </w:rPr>
        <w:t xml:space="preserve">Minister </w:t>
      </w:r>
      <w:r w:rsidRPr="003140A4">
        <w:rPr>
          <w:b/>
          <w:i/>
          <w:u w:val="single"/>
        </w:rPr>
        <w:t>Freya Van den Bossche</w:t>
      </w:r>
    </w:p>
    <w:p w:rsidR="00A95D9A" w:rsidRPr="00160DAF" w:rsidRDefault="00A95D9A" w:rsidP="003140A4">
      <w:pPr>
        <w:jc w:val="both"/>
      </w:pPr>
    </w:p>
    <w:p w:rsidR="00A95D9A" w:rsidRDefault="00A95D9A" w:rsidP="009A515F">
      <w:pPr>
        <w:jc w:val="both"/>
        <w:rPr>
          <w:szCs w:val="22"/>
        </w:rPr>
      </w:pPr>
      <w:r w:rsidRPr="009F3439">
        <w:rPr>
          <w:szCs w:val="22"/>
        </w:rPr>
        <w:t>Binnen het Vlaams Intersectoraal Akkoord (VIA) 2006-2011 voor de sociale profit hebben de sociale partners het engagement afgesproken om binnen het uitbreidingsbeleid 10% alloc</w:t>
      </w:r>
      <w:r>
        <w:rPr>
          <w:szCs w:val="22"/>
        </w:rPr>
        <w:t>htonen aan te werven. De social</w:t>
      </w:r>
      <w:r w:rsidRPr="009F3439">
        <w:rPr>
          <w:szCs w:val="22"/>
        </w:rPr>
        <w:t xml:space="preserve">profit sector stimuleert via een Taskforce diversiteit de acties rond diversiteit binnen de sector. Specifiek binnen de sociale economie wordt ook dit engagement nagestreefd. </w:t>
      </w:r>
    </w:p>
    <w:p w:rsidR="00A95D9A" w:rsidRPr="009F3439" w:rsidRDefault="00A95D9A" w:rsidP="009A515F">
      <w:pPr>
        <w:jc w:val="both"/>
        <w:rPr>
          <w:szCs w:val="22"/>
        </w:rPr>
      </w:pPr>
    </w:p>
    <w:p w:rsidR="00A95D9A" w:rsidRPr="009F3439" w:rsidRDefault="00A95D9A" w:rsidP="009A515F">
      <w:pPr>
        <w:pStyle w:val="ListParagraph"/>
        <w:numPr>
          <w:ilvl w:val="0"/>
          <w:numId w:val="9"/>
        </w:numPr>
        <w:tabs>
          <w:tab w:val="left" w:pos="567"/>
        </w:tabs>
        <w:spacing w:after="0"/>
        <w:ind w:left="567" w:hanging="567"/>
        <w:jc w:val="both"/>
        <w:rPr>
          <w:rFonts w:ascii="Times New Roman" w:hAnsi="Times New Roman"/>
          <w:sz w:val="22"/>
          <w:szCs w:val="22"/>
        </w:rPr>
      </w:pPr>
    </w:p>
    <w:tbl>
      <w:tblPr>
        <w:tblW w:w="8016"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8"/>
        <w:gridCol w:w="1877"/>
        <w:gridCol w:w="1833"/>
      </w:tblGrid>
      <w:tr w:rsidR="00A95D9A" w:rsidRPr="009F3439" w:rsidTr="009A515F">
        <w:trPr>
          <w:jc w:val="center"/>
        </w:trPr>
        <w:tc>
          <w:tcPr>
            <w:tcW w:w="2688" w:type="dxa"/>
          </w:tcPr>
          <w:p w:rsidR="00A95D9A" w:rsidRPr="009F3439" w:rsidRDefault="00A95D9A" w:rsidP="009A515F">
            <w:pPr>
              <w:pStyle w:val="SVTitel"/>
              <w:rPr>
                <w:b/>
                <w:i w:val="0"/>
                <w:szCs w:val="22"/>
              </w:rPr>
            </w:pPr>
            <w:r w:rsidRPr="009F3439">
              <w:rPr>
                <w:b/>
                <w:i w:val="0"/>
                <w:szCs w:val="22"/>
              </w:rPr>
              <w:t>Situatie op 01.01.2009</w:t>
            </w:r>
          </w:p>
        </w:tc>
        <w:tc>
          <w:tcPr>
            <w:tcW w:w="1618" w:type="dxa"/>
          </w:tcPr>
          <w:p w:rsidR="00A95D9A" w:rsidRPr="009F3439" w:rsidRDefault="00A95D9A" w:rsidP="009A515F">
            <w:pPr>
              <w:pStyle w:val="SVTitel"/>
              <w:jc w:val="center"/>
              <w:rPr>
                <w:b/>
                <w:i w:val="0"/>
                <w:szCs w:val="22"/>
              </w:rPr>
            </w:pPr>
            <w:r w:rsidRPr="009F3439">
              <w:rPr>
                <w:b/>
                <w:i w:val="0"/>
                <w:szCs w:val="22"/>
              </w:rPr>
              <w:t>(1)</w:t>
            </w:r>
          </w:p>
          <w:p w:rsidR="00A95D9A" w:rsidRPr="009F3439" w:rsidRDefault="00A95D9A" w:rsidP="009A515F">
            <w:pPr>
              <w:pStyle w:val="SVTitel"/>
              <w:jc w:val="center"/>
              <w:rPr>
                <w:b/>
                <w:i w:val="0"/>
                <w:szCs w:val="22"/>
              </w:rPr>
            </w:pPr>
            <w:r w:rsidRPr="009F3439">
              <w:rPr>
                <w:b/>
                <w:i w:val="0"/>
                <w:szCs w:val="22"/>
              </w:rPr>
              <w:t xml:space="preserve">Aantal tewerkgestelde gesubsidieerde </w:t>
            </w:r>
          </w:p>
          <w:p w:rsidR="00A95D9A" w:rsidRPr="009F3439" w:rsidRDefault="00A95D9A" w:rsidP="009A515F">
            <w:pPr>
              <w:pStyle w:val="SVTitel"/>
              <w:jc w:val="center"/>
              <w:rPr>
                <w:b/>
                <w:i w:val="0"/>
                <w:szCs w:val="22"/>
              </w:rPr>
            </w:pPr>
            <w:r w:rsidRPr="009F3439">
              <w:rPr>
                <w:b/>
                <w:i w:val="0"/>
                <w:szCs w:val="22"/>
              </w:rPr>
              <w:t>werknemers</w:t>
            </w:r>
          </w:p>
        </w:tc>
        <w:tc>
          <w:tcPr>
            <w:tcW w:w="1877" w:type="dxa"/>
          </w:tcPr>
          <w:p w:rsidR="00A95D9A" w:rsidRPr="009F3439" w:rsidRDefault="00A95D9A" w:rsidP="009A515F">
            <w:pPr>
              <w:pStyle w:val="SVTitel"/>
              <w:jc w:val="center"/>
              <w:rPr>
                <w:b/>
                <w:i w:val="0"/>
                <w:szCs w:val="22"/>
              </w:rPr>
            </w:pPr>
            <w:r w:rsidRPr="009F3439">
              <w:rPr>
                <w:b/>
                <w:i w:val="0"/>
                <w:szCs w:val="22"/>
              </w:rPr>
              <w:t>(2)</w:t>
            </w:r>
          </w:p>
          <w:p w:rsidR="00A95D9A" w:rsidRPr="009F3439" w:rsidRDefault="00A95D9A" w:rsidP="009A515F">
            <w:pPr>
              <w:pStyle w:val="SVTitel"/>
              <w:jc w:val="center"/>
              <w:rPr>
                <w:b/>
                <w:i w:val="0"/>
                <w:szCs w:val="22"/>
              </w:rPr>
            </w:pPr>
            <w:r w:rsidRPr="009F3439">
              <w:rPr>
                <w:b/>
                <w:i w:val="0"/>
                <w:szCs w:val="22"/>
              </w:rPr>
              <w:t>Aantal tewerkgestelde gesubsidieerde</w:t>
            </w:r>
          </w:p>
          <w:p w:rsidR="00A95D9A" w:rsidRPr="009F3439" w:rsidRDefault="00A95D9A" w:rsidP="009A515F">
            <w:pPr>
              <w:pStyle w:val="SVTitel"/>
              <w:jc w:val="center"/>
              <w:rPr>
                <w:b/>
                <w:i w:val="0"/>
                <w:szCs w:val="22"/>
              </w:rPr>
            </w:pPr>
            <w:r w:rsidRPr="009F3439">
              <w:rPr>
                <w:b/>
                <w:i w:val="0"/>
                <w:szCs w:val="22"/>
              </w:rPr>
              <w:t>allochtonen</w:t>
            </w:r>
          </w:p>
        </w:tc>
        <w:tc>
          <w:tcPr>
            <w:tcW w:w="1833" w:type="dxa"/>
          </w:tcPr>
          <w:p w:rsidR="00A95D9A" w:rsidRPr="009F3439" w:rsidRDefault="00A95D9A" w:rsidP="009A515F">
            <w:pPr>
              <w:pStyle w:val="SVTitel"/>
              <w:jc w:val="center"/>
              <w:rPr>
                <w:b/>
                <w:i w:val="0"/>
                <w:szCs w:val="22"/>
              </w:rPr>
            </w:pPr>
            <w:r w:rsidRPr="009F3439">
              <w:rPr>
                <w:b/>
                <w:i w:val="0"/>
                <w:szCs w:val="22"/>
              </w:rPr>
              <w:t>Procentueel aandeel</w:t>
            </w:r>
          </w:p>
          <w:p w:rsidR="00A95D9A" w:rsidRPr="009F3439" w:rsidRDefault="00A95D9A" w:rsidP="009A515F">
            <w:pPr>
              <w:pStyle w:val="SVTitel"/>
              <w:jc w:val="center"/>
              <w:rPr>
                <w:b/>
                <w:i w:val="0"/>
                <w:szCs w:val="22"/>
              </w:rPr>
            </w:pPr>
            <w:r w:rsidRPr="009F3439">
              <w:rPr>
                <w:b/>
                <w:i w:val="0"/>
                <w:szCs w:val="22"/>
              </w:rPr>
              <w:t>Van (2) tgov. (1)</w:t>
            </w:r>
          </w:p>
        </w:tc>
      </w:tr>
      <w:tr w:rsidR="00A95D9A" w:rsidRPr="009F3439" w:rsidTr="009A515F">
        <w:trPr>
          <w:jc w:val="center"/>
        </w:trPr>
        <w:tc>
          <w:tcPr>
            <w:tcW w:w="2688" w:type="dxa"/>
          </w:tcPr>
          <w:p w:rsidR="00A95D9A" w:rsidRPr="009F3439" w:rsidRDefault="00A95D9A" w:rsidP="009A515F">
            <w:pPr>
              <w:pStyle w:val="SVTitel"/>
              <w:rPr>
                <w:b/>
                <w:i w:val="0"/>
                <w:szCs w:val="22"/>
              </w:rPr>
            </w:pPr>
            <w:r w:rsidRPr="009F3439">
              <w:rPr>
                <w:b/>
                <w:i w:val="0"/>
                <w:szCs w:val="22"/>
              </w:rPr>
              <w:t>Pijler maatwerken</w:t>
            </w:r>
          </w:p>
          <w:p w:rsidR="00A95D9A" w:rsidRPr="009F3439" w:rsidRDefault="00A95D9A" w:rsidP="009A515F">
            <w:pPr>
              <w:pStyle w:val="SVTitel"/>
              <w:rPr>
                <w:b/>
                <w:i w:val="0"/>
                <w:szCs w:val="22"/>
              </w:rPr>
            </w:pPr>
            <w:r w:rsidRPr="009F3439">
              <w:rPr>
                <w:b/>
                <w:i w:val="0"/>
                <w:szCs w:val="22"/>
              </w:rPr>
              <w:t>- Beschutte werkplaatsen</w:t>
            </w:r>
          </w:p>
          <w:p w:rsidR="00A95D9A" w:rsidRPr="009F3439" w:rsidRDefault="00A95D9A" w:rsidP="009A515F">
            <w:pPr>
              <w:pStyle w:val="SVTitel"/>
              <w:rPr>
                <w:b/>
                <w:i w:val="0"/>
                <w:szCs w:val="22"/>
              </w:rPr>
            </w:pPr>
            <w:r w:rsidRPr="009F3439">
              <w:rPr>
                <w:b/>
                <w:i w:val="0"/>
                <w:szCs w:val="22"/>
              </w:rPr>
              <w:t>- Sociale werkplaatsen</w:t>
            </w:r>
          </w:p>
          <w:p w:rsidR="00A95D9A" w:rsidRPr="009F3439" w:rsidRDefault="00A95D9A" w:rsidP="009A515F">
            <w:pPr>
              <w:pStyle w:val="SVTitel"/>
              <w:jc w:val="left"/>
              <w:rPr>
                <w:b/>
                <w:i w:val="0"/>
                <w:szCs w:val="22"/>
              </w:rPr>
            </w:pPr>
            <w:r w:rsidRPr="009F3439">
              <w:rPr>
                <w:b/>
                <w:i w:val="0"/>
                <w:szCs w:val="22"/>
              </w:rPr>
              <w:t>- Invoegmaatregel (commerciële</w:t>
            </w:r>
          </w:p>
          <w:p w:rsidR="00A95D9A" w:rsidRPr="009F3439" w:rsidRDefault="00A95D9A" w:rsidP="009A515F">
            <w:pPr>
              <w:pStyle w:val="SVTitel"/>
              <w:jc w:val="left"/>
              <w:rPr>
                <w:b/>
                <w:i w:val="0"/>
                <w:szCs w:val="22"/>
              </w:rPr>
            </w:pPr>
            <w:r w:rsidRPr="009F3439">
              <w:rPr>
                <w:b/>
                <w:i w:val="0"/>
                <w:szCs w:val="22"/>
              </w:rPr>
              <w:t>en dienstencheques)</w:t>
            </w:r>
          </w:p>
        </w:tc>
        <w:tc>
          <w:tcPr>
            <w:tcW w:w="1618" w:type="dxa"/>
          </w:tcPr>
          <w:p w:rsidR="00A95D9A" w:rsidRPr="009F3439" w:rsidRDefault="00A95D9A" w:rsidP="009A515F">
            <w:pPr>
              <w:pStyle w:val="SVTitel"/>
              <w:jc w:val="center"/>
              <w:rPr>
                <w:i w:val="0"/>
                <w:szCs w:val="22"/>
              </w:rPr>
            </w:pPr>
          </w:p>
          <w:p w:rsidR="00A95D9A" w:rsidRPr="009F3439" w:rsidRDefault="00A95D9A" w:rsidP="009A515F">
            <w:pPr>
              <w:pStyle w:val="SVTitel"/>
              <w:jc w:val="center"/>
              <w:rPr>
                <w:i w:val="0"/>
                <w:szCs w:val="22"/>
              </w:rPr>
            </w:pPr>
            <w:r w:rsidRPr="009F3439">
              <w:rPr>
                <w:i w:val="0"/>
                <w:szCs w:val="22"/>
              </w:rPr>
              <w:t>16.081</w:t>
            </w:r>
          </w:p>
          <w:p w:rsidR="00A95D9A" w:rsidRPr="009F3439" w:rsidRDefault="00A95D9A" w:rsidP="009A515F">
            <w:pPr>
              <w:pStyle w:val="SVTitel"/>
              <w:jc w:val="center"/>
              <w:rPr>
                <w:i w:val="0"/>
                <w:szCs w:val="22"/>
              </w:rPr>
            </w:pPr>
            <w:r w:rsidRPr="009F3439">
              <w:rPr>
                <w:i w:val="0"/>
                <w:szCs w:val="22"/>
              </w:rPr>
              <w:t>4.364</w:t>
            </w:r>
          </w:p>
          <w:p w:rsidR="00A95D9A" w:rsidRPr="009F3439" w:rsidRDefault="00A95D9A" w:rsidP="009A515F">
            <w:pPr>
              <w:pStyle w:val="SVTitel"/>
              <w:jc w:val="center"/>
              <w:rPr>
                <w:i w:val="0"/>
                <w:szCs w:val="22"/>
              </w:rPr>
            </w:pPr>
            <w:r w:rsidRPr="009F3439">
              <w:rPr>
                <w:i w:val="0"/>
                <w:szCs w:val="22"/>
              </w:rPr>
              <w:t>2.192</w:t>
            </w:r>
          </w:p>
        </w:tc>
        <w:tc>
          <w:tcPr>
            <w:tcW w:w="1877" w:type="dxa"/>
          </w:tcPr>
          <w:p w:rsidR="00A95D9A" w:rsidRPr="009F3439" w:rsidRDefault="00A95D9A" w:rsidP="009A515F">
            <w:pPr>
              <w:pStyle w:val="SVTitel"/>
              <w:jc w:val="center"/>
              <w:rPr>
                <w:i w:val="0"/>
                <w:szCs w:val="22"/>
              </w:rPr>
            </w:pPr>
          </w:p>
          <w:p w:rsidR="00A95D9A" w:rsidRPr="009F3439" w:rsidRDefault="00A95D9A" w:rsidP="009A515F">
            <w:pPr>
              <w:pStyle w:val="SVTitel"/>
              <w:jc w:val="center"/>
              <w:rPr>
                <w:i w:val="0"/>
                <w:szCs w:val="22"/>
              </w:rPr>
            </w:pPr>
            <w:r w:rsidRPr="009F3439">
              <w:rPr>
                <w:i w:val="0"/>
                <w:szCs w:val="22"/>
              </w:rPr>
              <w:t>261</w:t>
            </w:r>
          </w:p>
          <w:p w:rsidR="00A95D9A" w:rsidRPr="009F3439" w:rsidRDefault="00A95D9A" w:rsidP="009A515F">
            <w:pPr>
              <w:pStyle w:val="SVTitel"/>
              <w:jc w:val="center"/>
              <w:rPr>
                <w:i w:val="0"/>
                <w:szCs w:val="22"/>
              </w:rPr>
            </w:pPr>
            <w:r w:rsidRPr="009F3439">
              <w:rPr>
                <w:i w:val="0"/>
                <w:szCs w:val="22"/>
              </w:rPr>
              <w:t>768</w:t>
            </w:r>
          </w:p>
          <w:p w:rsidR="00A95D9A" w:rsidRPr="009F3439" w:rsidRDefault="00A95D9A" w:rsidP="009A515F">
            <w:pPr>
              <w:pStyle w:val="SVTitel"/>
              <w:jc w:val="center"/>
              <w:rPr>
                <w:i w:val="0"/>
                <w:szCs w:val="22"/>
              </w:rPr>
            </w:pPr>
            <w:r w:rsidRPr="009F3439">
              <w:rPr>
                <w:i w:val="0"/>
                <w:szCs w:val="22"/>
              </w:rPr>
              <w:t>482</w:t>
            </w:r>
          </w:p>
        </w:tc>
        <w:tc>
          <w:tcPr>
            <w:tcW w:w="1833" w:type="dxa"/>
          </w:tcPr>
          <w:p w:rsidR="00A95D9A" w:rsidRPr="009F3439" w:rsidRDefault="00A95D9A" w:rsidP="009A515F">
            <w:pPr>
              <w:pStyle w:val="SVTitel"/>
              <w:jc w:val="center"/>
              <w:rPr>
                <w:i w:val="0"/>
                <w:szCs w:val="22"/>
              </w:rPr>
            </w:pPr>
          </w:p>
          <w:p w:rsidR="00A95D9A" w:rsidRPr="009F3439" w:rsidRDefault="00A95D9A" w:rsidP="009A515F">
            <w:pPr>
              <w:pStyle w:val="SVTitel"/>
              <w:jc w:val="center"/>
              <w:rPr>
                <w:i w:val="0"/>
                <w:szCs w:val="22"/>
              </w:rPr>
            </w:pPr>
            <w:r w:rsidRPr="009F3439">
              <w:rPr>
                <w:i w:val="0"/>
                <w:szCs w:val="22"/>
              </w:rPr>
              <w:t>1,6 %</w:t>
            </w:r>
          </w:p>
          <w:p w:rsidR="00A95D9A" w:rsidRPr="009F3439" w:rsidRDefault="00A95D9A" w:rsidP="009A515F">
            <w:pPr>
              <w:pStyle w:val="SVTitel"/>
              <w:jc w:val="center"/>
              <w:rPr>
                <w:i w:val="0"/>
                <w:szCs w:val="22"/>
              </w:rPr>
            </w:pPr>
            <w:r w:rsidRPr="009F3439">
              <w:rPr>
                <w:i w:val="0"/>
                <w:szCs w:val="22"/>
              </w:rPr>
              <w:t>17,6 %</w:t>
            </w:r>
          </w:p>
          <w:p w:rsidR="00A95D9A" w:rsidRPr="009F3439" w:rsidRDefault="00A95D9A" w:rsidP="009A515F">
            <w:pPr>
              <w:pStyle w:val="SVTitel"/>
              <w:jc w:val="center"/>
              <w:rPr>
                <w:i w:val="0"/>
                <w:szCs w:val="22"/>
              </w:rPr>
            </w:pPr>
            <w:r w:rsidRPr="009F3439">
              <w:rPr>
                <w:i w:val="0"/>
                <w:szCs w:val="22"/>
              </w:rPr>
              <w:t>22,0 %</w:t>
            </w:r>
          </w:p>
        </w:tc>
      </w:tr>
      <w:tr w:rsidR="00A95D9A" w:rsidRPr="009F3439" w:rsidTr="009A515F">
        <w:trPr>
          <w:jc w:val="center"/>
        </w:trPr>
        <w:tc>
          <w:tcPr>
            <w:tcW w:w="2688" w:type="dxa"/>
          </w:tcPr>
          <w:p w:rsidR="00A95D9A" w:rsidRPr="009F3439" w:rsidRDefault="00A95D9A" w:rsidP="009A515F">
            <w:pPr>
              <w:pStyle w:val="SVTitel"/>
              <w:jc w:val="left"/>
              <w:rPr>
                <w:b/>
                <w:i w:val="0"/>
                <w:szCs w:val="22"/>
              </w:rPr>
            </w:pPr>
            <w:r w:rsidRPr="009F3439">
              <w:rPr>
                <w:b/>
                <w:i w:val="0"/>
                <w:szCs w:val="22"/>
              </w:rPr>
              <w:t>Pijler lokale diensteneconomie</w:t>
            </w:r>
          </w:p>
        </w:tc>
        <w:tc>
          <w:tcPr>
            <w:tcW w:w="1618" w:type="dxa"/>
          </w:tcPr>
          <w:p w:rsidR="00A95D9A" w:rsidRPr="009F3439" w:rsidRDefault="00A95D9A" w:rsidP="009A515F">
            <w:pPr>
              <w:pStyle w:val="SVTitel"/>
              <w:jc w:val="center"/>
              <w:rPr>
                <w:i w:val="0"/>
                <w:szCs w:val="22"/>
              </w:rPr>
            </w:pPr>
            <w:r w:rsidRPr="009F3439">
              <w:rPr>
                <w:i w:val="0"/>
                <w:szCs w:val="22"/>
              </w:rPr>
              <w:t>891</w:t>
            </w:r>
          </w:p>
        </w:tc>
        <w:tc>
          <w:tcPr>
            <w:tcW w:w="1877" w:type="dxa"/>
          </w:tcPr>
          <w:p w:rsidR="00A95D9A" w:rsidRPr="009F3439" w:rsidRDefault="00A95D9A" w:rsidP="009A515F">
            <w:pPr>
              <w:pStyle w:val="SVTitel"/>
              <w:jc w:val="center"/>
              <w:rPr>
                <w:i w:val="0"/>
                <w:szCs w:val="22"/>
              </w:rPr>
            </w:pPr>
            <w:r w:rsidRPr="009F3439">
              <w:rPr>
                <w:i w:val="0"/>
                <w:szCs w:val="22"/>
              </w:rPr>
              <w:t>178</w:t>
            </w:r>
          </w:p>
        </w:tc>
        <w:tc>
          <w:tcPr>
            <w:tcW w:w="1833" w:type="dxa"/>
          </w:tcPr>
          <w:p w:rsidR="00A95D9A" w:rsidRPr="009F3439" w:rsidRDefault="00A95D9A" w:rsidP="009A515F">
            <w:pPr>
              <w:pStyle w:val="SVTitel"/>
              <w:jc w:val="center"/>
              <w:rPr>
                <w:i w:val="0"/>
                <w:szCs w:val="22"/>
              </w:rPr>
            </w:pPr>
            <w:r w:rsidRPr="009F3439">
              <w:rPr>
                <w:i w:val="0"/>
                <w:szCs w:val="22"/>
              </w:rPr>
              <w:t>20,0 %</w:t>
            </w:r>
          </w:p>
        </w:tc>
      </w:tr>
    </w:tbl>
    <w:p w:rsidR="00A95D9A" w:rsidRPr="009F3439" w:rsidRDefault="00A95D9A" w:rsidP="009A515F">
      <w:pPr>
        <w:pStyle w:val="SVTitel"/>
        <w:rPr>
          <w:i w:val="0"/>
          <w:szCs w:val="22"/>
        </w:rPr>
      </w:pPr>
    </w:p>
    <w:p w:rsidR="00A95D9A" w:rsidRPr="009F3439" w:rsidRDefault="00A95D9A" w:rsidP="009A515F">
      <w:pPr>
        <w:pStyle w:val="SVTitel"/>
        <w:ind w:left="567"/>
        <w:rPr>
          <w:i w:val="0"/>
          <w:szCs w:val="22"/>
        </w:rPr>
      </w:pPr>
      <w:r w:rsidRPr="009F3439">
        <w:rPr>
          <w:i w:val="0"/>
          <w:szCs w:val="22"/>
        </w:rPr>
        <w:t>Slechts 1,6 % van de gesubsidieerde populatie in de sector beschutte werkplaatsen zijn op 1 januari 2009 allochtone werknemers (met een arbeidshandicap). Echter in de sociale werkplaatsen zijn er ruim 17 % van de gesubsidieerde werknemers van allochtone af</w:t>
      </w:r>
      <w:r>
        <w:rPr>
          <w:i w:val="0"/>
          <w:szCs w:val="22"/>
        </w:rPr>
        <w:t>komst.</w:t>
      </w:r>
    </w:p>
    <w:p w:rsidR="00A95D9A" w:rsidRPr="009F3439" w:rsidRDefault="00A95D9A" w:rsidP="009A515F">
      <w:pPr>
        <w:pStyle w:val="SVTitel"/>
        <w:ind w:left="567"/>
        <w:rPr>
          <w:i w:val="0"/>
          <w:szCs w:val="22"/>
        </w:rPr>
      </w:pPr>
      <w:r w:rsidRPr="009F3439">
        <w:rPr>
          <w:i w:val="0"/>
          <w:szCs w:val="22"/>
        </w:rPr>
        <w:t>Bij de invoeg bedraagt dit percentage 22 % en in de lokale diensteneconomie 20 %. Dit is veel hoger dan het aandeel werknemers van vreemde nationaliteit onder alle werkenden (incl. reguliere economie) (EAK 2008: 4,9 %). Het procentueel hoog aantal allochtonen in de sociale werkplaatsen, invoeg en lokale diensteneconomie wordt voor een overgroot aandeel verklaard door de vooropgestelde</w:t>
      </w:r>
      <w:r>
        <w:rPr>
          <w:i w:val="0"/>
          <w:szCs w:val="22"/>
        </w:rPr>
        <w:t xml:space="preserve"> </w:t>
      </w:r>
      <w:r w:rsidRPr="009F3439">
        <w:rPr>
          <w:i w:val="0"/>
          <w:szCs w:val="22"/>
        </w:rPr>
        <w:t>werknemerscriteria tot toetreding in de respectieve maatregel: kort</w:t>
      </w:r>
      <w:r>
        <w:rPr>
          <w:i w:val="0"/>
          <w:szCs w:val="22"/>
        </w:rPr>
        <w:t>-</w:t>
      </w:r>
      <w:r w:rsidRPr="009F3439">
        <w:rPr>
          <w:i w:val="0"/>
          <w:szCs w:val="22"/>
        </w:rPr>
        <w:t>geschooldheid en een (relatief)</w:t>
      </w:r>
      <w:r>
        <w:rPr>
          <w:i w:val="0"/>
          <w:szCs w:val="22"/>
        </w:rPr>
        <w:t xml:space="preserve"> </w:t>
      </w:r>
      <w:r w:rsidRPr="009F3439">
        <w:rPr>
          <w:i w:val="0"/>
          <w:szCs w:val="22"/>
        </w:rPr>
        <w:t xml:space="preserve"> lange werkloosheidsduur.</w:t>
      </w:r>
    </w:p>
    <w:p w:rsidR="00A95D9A" w:rsidRPr="009F3439" w:rsidRDefault="00A95D9A" w:rsidP="009A515F">
      <w:pPr>
        <w:pStyle w:val="SVTitel"/>
        <w:ind w:left="360"/>
        <w:rPr>
          <w:i w:val="0"/>
          <w:szCs w:val="22"/>
        </w:rPr>
      </w:pPr>
    </w:p>
    <w:p w:rsidR="00A95D9A" w:rsidRPr="009F3439" w:rsidRDefault="00A95D9A" w:rsidP="009A515F">
      <w:pPr>
        <w:pStyle w:val="SVTitel"/>
        <w:ind w:left="567"/>
        <w:rPr>
          <w:i w:val="0"/>
          <w:szCs w:val="22"/>
        </w:rPr>
      </w:pPr>
      <w:r w:rsidRPr="009F3439">
        <w:rPr>
          <w:i w:val="0"/>
          <w:szCs w:val="22"/>
        </w:rPr>
        <w:t>De administratie beschikt momenteel enkel voor de beschutte en sociale werkplaatsen en de invoegmaatregel over provinciale gegevens. Zie tabel hierna:</w:t>
      </w:r>
    </w:p>
    <w:p w:rsidR="00A95D9A" w:rsidRPr="009F3439" w:rsidRDefault="00A95D9A" w:rsidP="009A515F">
      <w:pPr>
        <w:pStyle w:val="SVTitel"/>
        <w:ind w:left="360"/>
        <w:rPr>
          <w:i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793"/>
        <w:gridCol w:w="1475"/>
        <w:gridCol w:w="1475"/>
      </w:tblGrid>
      <w:tr w:rsidR="00A95D9A" w:rsidRPr="009F3439" w:rsidTr="00B32594">
        <w:trPr>
          <w:jc w:val="center"/>
        </w:trPr>
        <w:tc>
          <w:tcPr>
            <w:tcW w:w="3070" w:type="dxa"/>
          </w:tcPr>
          <w:p w:rsidR="00A95D9A" w:rsidRPr="009F3439" w:rsidRDefault="00A95D9A" w:rsidP="009A515F">
            <w:pPr>
              <w:pStyle w:val="SVTitel"/>
              <w:rPr>
                <w:b/>
                <w:i w:val="0"/>
                <w:szCs w:val="22"/>
              </w:rPr>
            </w:pPr>
            <w:r w:rsidRPr="009F3439">
              <w:rPr>
                <w:b/>
                <w:i w:val="0"/>
                <w:szCs w:val="22"/>
              </w:rPr>
              <w:t>Situatie op 01.01.2009</w:t>
            </w:r>
          </w:p>
        </w:tc>
        <w:tc>
          <w:tcPr>
            <w:tcW w:w="1361" w:type="dxa"/>
          </w:tcPr>
          <w:p w:rsidR="00A95D9A" w:rsidRPr="009F3439" w:rsidRDefault="00A95D9A" w:rsidP="009A515F">
            <w:pPr>
              <w:pStyle w:val="SVTitel"/>
              <w:rPr>
                <w:b/>
                <w:i w:val="0"/>
                <w:szCs w:val="22"/>
              </w:rPr>
            </w:pPr>
            <w:r w:rsidRPr="009F3439">
              <w:rPr>
                <w:b/>
                <w:i w:val="0"/>
                <w:szCs w:val="22"/>
              </w:rPr>
              <w:t>Invoegmaatregel</w:t>
            </w:r>
          </w:p>
        </w:tc>
        <w:tc>
          <w:tcPr>
            <w:tcW w:w="1361" w:type="dxa"/>
          </w:tcPr>
          <w:p w:rsidR="00A95D9A" w:rsidRPr="009F3439" w:rsidRDefault="00A95D9A" w:rsidP="009A515F">
            <w:pPr>
              <w:pStyle w:val="SVTitel"/>
              <w:rPr>
                <w:b/>
                <w:i w:val="0"/>
                <w:szCs w:val="22"/>
              </w:rPr>
            </w:pPr>
            <w:r w:rsidRPr="009F3439">
              <w:rPr>
                <w:b/>
                <w:i w:val="0"/>
                <w:szCs w:val="22"/>
              </w:rPr>
              <w:t>Beschutte werkplaatsen</w:t>
            </w:r>
          </w:p>
        </w:tc>
        <w:tc>
          <w:tcPr>
            <w:tcW w:w="1437" w:type="dxa"/>
          </w:tcPr>
          <w:p w:rsidR="00A95D9A" w:rsidRPr="009F3439" w:rsidRDefault="00A95D9A" w:rsidP="009A515F">
            <w:pPr>
              <w:pStyle w:val="SVTitel"/>
              <w:rPr>
                <w:b/>
                <w:i w:val="0"/>
                <w:szCs w:val="22"/>
              </w:rPr>
            </w:pPr>
            <w:r w:rsidRPr="009F3439">
              <w:rPr>
                <w:b/>
                <w:i w:val="0"/>
                <w:szCs w:val="22"/>
              </w:rPr>
              <w:t>Sociale werkplaatsen</w:t>
            </w:r>
          </w:p>
        </w:tc>
      </w:tr>
      <w:tr w:rsidR="00A95D9A" w:rsidRPr="009F3439" w:rsidTr="00B32594">
        <w:trPr>
          <w:jc w:val="center"/>
        </w:trPr>
        <w:tc>
          <w:tcPr>
            <w:tcW w:w="3070" w:type="dxa"/>
          </w:tcPr>
          <w:p w:rsidR="00A95D9A" w:rsidRPr="009F3439" w:rsidRDefault="00A95D9A" w:rsidP="009A515F">
            <w:pPr>
              <w:pStyle w:val="SVTitel"/>
              <w:rPr>
                <w:b/>
                <w:i w:val="0"/>
                <w:szCs w:val="22"/>
              </w:rPr>
            </w:pPr>
            <w:r w:rsidRPr="009F3439">
              <w:rPr>
                <w:b/>
                <w:i w:val="0"/>
                <w:szCs w:val="22"/>
              </w:rPr>
              <w:t>Antwerpen</w:t>
            </w:r>
          </w:p>
        </w:tc>
        <w:tc>
          <w:tcPr>
            <w:tcW w:w="1361" w:type="dxa"/>
          </w:tcPr>
          <w:p w:rsidR="00A95D9A" w:rsidRPr="009F3439" w:rsidRDefault="00A95D9A" w:rsidP="009A515F">
            <w:pPr>
              <w:pStyle w:val="SVTitel"/>
              <w:jc w:val="center"/>
              <w:rPr>
                <w:i w:val="0"/>
                <w:szCs w:val="22"/>
              </w:rPr>
            </w:pPr>
            <w:r w:rsidRPr="009F3439">
              <w:rPr>
                <w:i w:val="0"/>
                <w:szCs w:val="22"/>
              </w:rPr>
              <w:t>312</w:t>
            </w:r>
          </w:p>
        </w:tc>
        <w:tc>
          <w:tcPr>
            <w:tcW w:w="1361" w:type="dxa"/>
          </w:tcPr>
          <w:p w:rsidR="00A95D9A" w:rsidRPr="009F3439" w:rsidRDefault="00A95D9A" w:rsidP="009A515F">
            <w:pPr>
              <w:pStyle w:val="SVTitel"/>
              <w:jc w:val="center"/>
              <w:rPr>
                <w:i w:val="0"/>
                <w:szCs w:val="22"/>
              </w:rPr>
            </w:pPr>
            <w:r w:rsidRPr="009F3439">
              <w:rPr>
                <w:i w:val="0"/>
                <w:szCs w:val="22"/>
              </w:rPr>
              <w:t>88</w:t>
            </w:r>
          </w:p>
        </w:tc>
        <w:tc>
          <w:tcPr>
            <w:tcW w:w="1437" w:type="dxa"/>
          </w:tcPr>
          <w:p w:rsidR="00A95D9A" w:rsidRPr="009F3439" w:rsidRDefault="00A95D9A" w:rsidP="009A515F">
            <w:pPr>
              <w:pStyle w:val="SVTitel"/>
              <w:jc w:val="center"/>
              <w:rPr>
                <w:i w:val="0"/>
                <w:szCs w:val="22"/>
              </w:rPr>
            </w:pPr>
            <w:r w:rsidRPr="009F3439">
              <w:rPr>
                <w:i w:val="0"/>
                <w:szCs w:val="22"/>
              </w:rPr>
              <w:t>289</w:t>
            </w:r>
          </w:p>
        </w:tc>
      </w:tr>
      <w:tr w:rsidR="00A95D9A" w:rsidRPr="009F3439" w:rsidTr="00B32594">
        <w:trPr>
          <w:jc w:val="center"/>
        </w:trPr>
        <w:tc>
          <w:tcPr>
            <w:tcW w:w="3070" w:type="dxa"/>
          </w:tcPr>
          <w:p w:rsidR="00A95D9A" w:rsidRPr="009F3439" w:rsidRDefault="00A95D9A" w:rsidP="009A515F">
            <w:pPr>
              <w:pStyle w:val="SVTitel"/>
              <w:rPr>
                <w:b/>
                <w:i w:val="0"/>
                <w:szCs w:val="22"/>
              </w:rPr>
            </w:pPr>
            <w:r w:rsidRPr="009F3439">
              <w:rPr>
                <w:b/>
                <w:i w:val="0"/>
                <w:szCs w:val="22"/>
              </w:rPr>
              <w:t>Limburg</w:t>
            </w:r>
          </w:p>
        </w:tc>
        <w:tc>
          <w:tcPr>
            <w:tcW w:w="1361" w:type="dxa"/>
          </w:tcPr>
          <w:p w:rsidR="00A95D9A" w:rsidRPr="009F3439" w:rsidRDefault="00A95D9A" w:rsidP="009A515F">
            <w:pPr>
              <w:pStyle w:val="SVTitel"/>
              <w:jc w:val="center"/>
              <w:rPr>
                <w:i w:val="0"/>
                <w:szCs w:val="22"/>
              </w:rPr>
            </w:pPr>
            <w:r w:rsidRPr="009F3439">
              <w:rPr>
                <w:i w:val="0"/>
                <w:szCs w:val="22"/>
              </w:rPr>
              <w:t>48</w:t>
            </w:r>
          </w:p>
        </w:tc>
        <w:tc>
          <w:tcPr>
            <w:tcW w:w="1361" w:type="dxa"/>
          </w:tcPr>
          <w:p w:rsidR="00A95D9A" w:rsidRPr="009F3439" w:rsidRDefault="00A95D9A" w:rsidP="009A515F">
            <w:pPr>
              <w:pStyle w:val="SVTitel"/>
              <w:jc w:val="center"/>
              <w:rPr>
                <w:i w:val="0"/>
                <w:szCs w:val="22"/>
              </w:rPr>
            </w:pPr>
            <w:r w:rsidRPr="009F3439">
              <w:rPr>
                <w:i w:val="0"/>
                <w:szCs w:val="22"/>
              </w:rPr>
              <w:t>22</w:t>
            </w:r>
          </w:p>
        </w:tc>
        <w:tc>
          <w:tcPr>
            <w:tcW w:w="1437" w:type="dxa"/>
          </w:tcPr>
          <w:p w:rsidR="00A95D9A" w:rsidRPr="009F3439" w:rsidRDefault="00A95D9A" w:rsidP="009A515F">
            <w:pPr>
              <w:pStyle w:val="SVTitel"/>
              <w:jc w:val="center"/>
              <w:rPr>
                <w:i w:val="0"/>
                <w:szCs w:val="22"/>
              </w:rPr>
            </w:pPr>
            <w:r w:rsidRPr="009F3439">
              <w:rPr>
                <w:i w:val="0"/>
                <w:szCs w:val="22"/>
              </w:rPr>
              <w:t>140</w:t>
            </w:r>
          </w:p>
        </w:tc>
      </w:tr>
      <w:tr w:rsidR="00A95D9A" w:rsidRPr="009F3439" w:rsidTr="00B32594">
        <w:trPr>
          <w:jc w:val="center"/>
        </w:trPr>
        <w:tc>
          <w:tcPr>
            <w:tcW w:w="3070" w:type="dxa"/>
          </w:tcPr>
          <w:p w:rsidR="00A95D9A" w:rsidRPr="009F3439" w:rsidRDefault="00A95D9A" w:rsidP="009A515F">
            <w:pPr>
              <w:pStyle w:val="SVTitel"/>
              <w:rPr>
                <w:b/>
                <w:i w:val="0"/>
                <w:szCs w:val="22"/>
              </w:rPr>
            </w:pPr>
            <w:r w:rsidRPr="009F3439">
              <w:rPr>
                <w:b/>
                <w:i w:val="0"/>
                <w:szCs w:val="22"/>
              </w:rPr>
              <w:t>Oost-Vlaanderen</w:t>
            </w:r>
          </w:p>
        </w:tc>
        <w:tc>
          <w:tcPr>
            <w:tcW w:w="1361" w:type="dxa"/>
          </w:tcPr>
          <w:p w:rsidR="00A95D9A" w:rsidRPr="009F3439" w:rsidRDefault="00A95D9A" w:rsidP="009A515F">
            <w:pPr>
              <w:pStyle w:val="SVTitel"/>
              <w:jc w:val="center"/>
              <w:rPr>
                <w:i w:val="0"/>
                <w:szCs w:val="22"/>
              </w:rPr>
            </w:pPr>
            <w:r w:rsidRPr="009F3439">
              <w:rPr>
                <w:i w:val="0"/>
                <w:szCs w:val="22"/>
              </w:rPr>
              <w:t>60</w:t>
            </w:r>
          </w:p>
        </w:tc>
        <w:tc>
          <w:tcPr>
            <w:tcW w:w="1361" w:type="dxa"/>
          </w:tcPr>
          <w:p w:rsidR="00A95D9A" w:rsidRPr="009F3439" w:rsidRDefault="00A95D9A" w:rsidP="009A515F">
            <w:pPr>
              <w:pStyle w:val="SVTitel"/>
              <w:jc w:val="center"/>
              <w:rPr>
                <w:i w:val="0"/>
                <w:szCs w:val="22"/>
              </w:rPr>
            </w:pPr>
            <w:r w:rsidRPr="009F3439">
              <w:rPr>
                <w:i w:val="0"/>
                <w:szCs w:val="22"/>
              </w:rPr>
              <w:t>55</w:t>
            </w:r>
          </w:p>
        </w:tc>
        <w:tc>
          <w:tcPr>
            <w:tcW w:w="1437" w:type="dxa"/>
          </w:tcPr>
          <w:p w:rsidR="00A95D9A" w:rsidRPr="009F3439" w:rsidRDefault="00A95D9A" w:rsidP="009A515F">
            <w:pPr>
              <w:pStyle w:val="SVTitel"/>
              <w:jc w:val="center"/>
              <w:rPr>
                <w:i w:val="0"/>
                <w:szCs w:val="22"/>
              </w:rPr>
            </w:pPr>
            <w:r w:rsidRPr="009F3439">
              <w:rPr>
                <w:i w:val="0"/>
                <w:szCs w:val="22"/>
              </w:rPr>
              <w:t>156</w:t>
            </w:r>
          </w:p>
        </w:tc>
      </w:tr>
      <w:tr w:rsidR="00A95D9A" w:rsidRPr="009F3439" w:rsidTr="00B32594">
        <w:trPr>
          <w:jc w:val="center"/>
        </w:trPr>
        <w:tc>
          <w:tcPr>
            <w:tcW w:w="3070" w:type="dxa"/>
          </w:tcPr>
          <w:p w:rsidR="00A95D9A" w:rsidRPr="009F3439" w:rsidRDefault="00A95D9A" w:rsidP="009A515F">
            <w:pPr>
              <w:pStyle w:val="SVTitel"/>
              <w:jc w:val="left"/>
              <w:rPr>
                <w:b/>
                <w:i w:val="0"/>
                <w:szCs w:val="22"/>
              </w:rPr>
            </w:pPr>
            <w:r w:rsidRPr="009F3439">
              <w:rPr>
                <w:b/>
                <w:i w:val="0"/>
                <w:szCs w:val="22"/>
              </w:rPr>
              <w:t>Vlaams Brabant (incl. Brussel)</w:t>
            </w:r>
          </w:p>
        </w:tc>
        <w:tc>
          <w:tcPr>
            <w:tcW w:w="1361" w:type="dxa"/>
          </w:tcPr>
          <w:p w:rsidR="00A95D9A" w:rsidRPr="009F3439" w:rsidRDefault="00A95D9A" w:rsidP="009A515F">
            <w:pPr>
              <w:pStyle w:val="SVTitel"/>
              <w:jc w:val="center"/>
              <w:rPr>
                <w:i w:val="0"/>
                <w:szCs w:val="22"/>
              </w:rPr>
            </w:pPr>
            <w:r w:rsidRPr="009F3439">
              <w:rPr>
                <w:i w:val="0"/>
                <w:szCs w:val="22"/>
              </w:rPr>
              <w:t>36</w:t>
            </w:r>
          </w:p>
        </w:tc>
        <w:tc>
          <w:tcPr>
            <w:tcW w:w="1361" w:type="dxa"/>
          </w:tcPr>
          <w:p w:rsidR="00A95D9A" w:rsidRPr="009F3439" w:rsidRDefault="00A95D9A" w:rsidP="009A515F">
            <w:pPr>
              <w:pStyle w:val="SVTitel"/>
              <w:jc w:val="center"/>
              <w:rPr>
                <w:i w:val="0"/>
                <w:szCs w:val="22"/>
              </w:rPr>
            </w:pPr>
            <w:r w:rsidRPr="009F3439">
              <w:rPr>
                <w:i w:val="0"/>
                <w:szCs w:val="22"/>
              </w:rPr>
              <w:t>65</w:t>
            </w:r>
          </w:p>
        </w:tc>
        <w:tc>
          <w:tcPr>
            <w:tcW w:w="1437" w:type="dxa"/>
          </w:tcPr>
          <w:p w:rsidR="00A95D9A" w:rsidRPr="009F3439" w:rsidRDefault="00A95D9A" w:rsidP="009A515F">
            <w:pPr>
              <w:pStyle w:val="SVTitel"/>
              <w:jc w:val="center"/>
              <w:rPr>
                <w:i w:val="0"/>
                <w:szCs w:val="22"/>
              </w:rPr>
            </w:pPr>
            <w:r w:rsidRPr="009F3439">
              <w:rPr>
                <w:i w:val="0"/>
                <w:szCs w:val="22"/>
              </w:rPr>
              <w:t>105</w:t>
            </w:r>
          </w:p>
        </w:tc>
      </w:tr>
      <w:tr w:rsidR="00A95D9A" w:rsidRPr="009F3439" w:rsidTr="00B32594">
        <w:trPr>
          <w:jc w:val="center"/>
        </w:trPr>
        <w:tc>
          <w:tcPr>
            <w:tcW w:w="3070" w:type="dxa"/>
          </w:tcPr>
          <w:p w:rsidR="00A95D9A" w:rsidRPr="009F3439" w:rsidRDefault="00A95D9A" w:rsidP="009A515F">
            <w:pPr>
              <w:pStyle w:val="SVTitel"/>
              <w:rPr>
                <w:b/>
                <w:i w:val="0"/>
                <w:szCs w:val="22"/>
              </w:rPr>
            </w:pPr>
            <w:r w:rsidRPr="009F3439">
              <w:rPr>
                <w:b/>
                <w:i w:val="0"/>
                <w:szCs w:val="22"/>
              </w:rPr>
              <w:t>West-Vlaanderen</w:t>
            </w:r>
          </w:p>
        </w:tc>
        <w:tc>
          <w:tcPr>
            <w:tcW w:w="1361" w:type="dxa"/>
          </w:tcPr>
          <w:p w:rsidR="00A95D9A" w:rsidRPr="009F3439" w:rsidRDefault="00A95D9A" w:rsidP="009A515F">
            <w:pPr>
              <w:pStyle w:val="SVTitel"/>
              <w:jc w:val="center"/>
              <w:rPr>
                <w:i w:val="0"/>
                <w:szCs w:val="22"/>
              </w:rPr>
            </w:pPr>
            <w:r w:rsidRPr="009F3439">
              <w:rPr>
                <w:i w:val="0"/>
                <w:szCs w:val="22"/>
              </w:rPr>
              <w:t>26</w:t>
            </w:r>
          </w:p>
        </w:tc>
        <w:tc>
          <w:tcPr>
            <w:tcW w:w="1361" w:type="dxa"/>
          </w:tcPr>
          <w:p w:rsidR="00A95D9A" w:rsidRPr="009F3439" w:rsidRDefault="00A95D9A" w:rsidP="009A515F">
            <w:pPr>
              <w:pStyle w:val="SVTitel"/>
              <w:jc w:val="center"/>
              <w:rPr>
                <w:i w:val="0"/>
                <w:szCs w:val="22"/>
              </w:rPr>
            </w:pPr>
            <w:r w:rsidRPr="009F3439">
              <w:rPr>
                <w:i w:val="0"/>
                <w:szCs w:val="22"/>
              </w:rPr>
              <w:t>31</w:t>
            </w:r>
          </w:p>
        </w:tc>
        <w:tc>
          <w:tcPr>
            <w:tcW w:w="1437" w:type="dxa"/>
          </w:tcPr>
          <w:p w:rsidR="00A95D9A" w:rsidRPr="009F3439" w:rsidRDefault="00A95D9A" w:rsidP="009A515F">
            <w:pPr>
              <w:pStyle w:val="SVTitel"/>
              <w:jc w:val="center"/>
              <w:rPr>
                <w:i w:val="0"/>
                <w:szCs w:val="22"/>
              </w:rPr>
            </w:pPr>
            <w:r w:rsidRPr="009F3439">
              <w:rPr>
                <w:i w:val="0"/>
                <w:szCs w:val="22"/>
              </w:rPr>
              <w:t>78</w:t>
            </w:r>
          </w:p>
        </w:tc>
      </w:tr>
      <w:tr w:rsidR="00A95D9A" w:rsidRPr="009F3439" w:rsidTr="00B32594">
        <w:trPr>
          <w:jc w:val="center"/>
        </w:trPr>
        <w:tc>
          <w:tcPr>
            <w:tcW w:w="3070" w:type="dxa"/>
          </w:tcPr>
          <w:p w:rsidR="00A95D9A" w:rsidRPr="009F3439" w:rsidRDefault="00A95D9A" w:rsidP="009A515F">
            <w:pPr>
              <w:pStyle w:val="SVTitel"/>
              <w:rPr>
                <w:b/>
                <w:i w:val="0"/>
                <w:szCs w:val="22"/>
              </w:rPr>
            </w:pPr>
            <w:r w:rsidRPr="009F3439">
              <w:rPr>
                <w:b/>
                <w:i w:val="0"/>
                <w:szCs w:val="22"/>
              </w:rPr>
              <w:t>Totaal</w:t>
            </w:r>
          </w:p>
        </w:tc>
        <w:tc>
          <w:tcPr>
            <w:tcW w:w="1361" w:type="dxa"/>
          </w:tcPr>
          <w:p w:rsidR="00A95D9A" w:rsidRPr="009F3439" w:rsidRDefault="00A95D9A" w:rsidP="009A515F">
            <w:pPr>
              <w:pStyle w:val="SVTitel"/>
              <w:jc w:val="center"/>
              <w:rPr>
                <w:b/>
                <w:i w:val="0"/>
                <w:szCs w:val="22"/>
              </w:rPr>
            </w:pPr>
            <w:r w:rsidRPr="009F3439">
              <w:rPr>
                <w:b/>
                <w:i w:val="0"/>
                <w:szCs w:val="22"/>
              </w:rPr>
              <w:t>482</w:t>
            </w:r>
          </w:p>
        </w:tc>
        <w:tc>
          <w:tcPr>
            <w:tcW w:w="1361" w:type="dxa"/>
          </w:tcPr>
          <w:p w:rsidR="00A95D9A" w:rsidRPr="009F3439" w:rsidRDefault="00A95D9A" w:rsidP="009A515F">
            <w:pPr>
              <w:pStyle w:val="SVTitel"/>
              <w:jc w:val="center"/>
              <w:rPr>
                <w:b/>
                <w:i w:val="0"/>
                <w:szCs w:val="22"/>
              </w:rPr>
            </w:pPr>
            <w:r w:rsidRPr="009F3439">
              <w:rPr>
                <w:b/>
                <w:i w:val="0"/>
                <w:szCs w:val="22"/>
              </w:rPr>
              <w:t>261</w:t>
            </w:r>
          </w:p>
        </w:tc>
        <w:tc>
          <w:tcPr>
            <w:tcW w:w="1437" w:type="dxa"/>
          </w:tcPr>
          <w:p w:rsidR="00A95D9A" w:rsidRPr="009F3439" w:rsidRDefault="00A95D9A" w:rsidP="009A515F">
            <w:pPr>
              <w:pStyle w:val="SVTitel"/>
              <w:jc w:val="center"/>
              <w:rPr>
                <w:b/>
                <w:i w:val="0"/>
                <w:szCs w:val="22"/>
              </w:rPr>
            </w:pPr>
            <w:r w:rsidRPr="009F3439">
              <w:rPr>
                <w:b/>
                <w:i w:val="0"/>
                <w:szCs w:val="22"/>
              </w:rPr>
              <w:t>768</w:t>
            </w:r>
          </w:p>
        </w:tc>
      </w:tr>
    </w:tbl>
    <w:p w:rsidR="00A95D9A" w:rsidRPr="009F3439" w:rsidRDefault="00A95D9A" w:rsidP="009A515F">
      <w:pPr>
        <w:pStyle w:val="ListParagraph"/>
        <w:spacing w:after="0"/>
        <w:ind w:left="360"/>
        <w:rPr>
          <w:rFonts w:ascii="Times New Roman" w:hAnsi="Times New Roman"/>
          <w:b/>
          <w:sz w:val="22"/>
          <w:szCs w:val="22"/>
        </w:rPr>
      </w:pPr>
    </w:p>
    <w:p w:rsidR="00A95D9A" w:rsidRPr="009F3439" w:rsidRDefault="00A95D9A" w:rsidP="009A515F">
      <w:pPr>
        <w:rPr>
          <w:szCs w:val="22"/>
        </w:rPr>
      </w:pPr>
    </w:p>
    <w:p w:rsidR="00A95D9A" w:rsidRPr="009F3439" w:rsidRDefault="00A95D9A" w:rsidP="009A515F">
      <w:pPr>
        <w:pStyle w:val="ListParagraph"/>
        <w:numPr>
          <w:ilvl w:val="0"/>
          <w:numId w:val="9"/>
        </w:numPr>
        <w:tabs>
          <w:tab w:val="left" w:pos="567"/>
        </w:tabs>
        <w:spacing w:after="0"/>
        <w:ind w:left="567" w:hanging="567"/>
        <w:jc w:val="both"/>
        <w:rPr>
          <w:rFonts w:ascii="Times New Roman" w:hAnsi="Times New Roman"/>
          <w:sz w:val="22"/>
          <w:szCs w:val="22"/>
        </w:rPr>
      </w:pPr>
      <w:r w:rsidRPr="009F3439">
        <w:rPr>
          <w:rFonts w:ascii="Times New Roman" w:hAnsi="Times New Roman"/>
          <w:sz w:val="22"/>
          <w:szCs w:val="22"/>
        </w:rPr>
        <w:t xml:space="preserve">Volgens het VIA -akkoord dient er gestreefd te worden om 10 % van het luik uitbreidingsbeleid te voorzien voor tewerkstelling van allochtonen. Het uitbreidingsbeleid in het VIA -akkoord voorzag dat er 288 VTE arbeidsplaatsen worden gecreëerd in de beschutte werkplaatsen en 200 VTE arbeidsplaatsen in de sociale werkplaatsen. Dit akkoord voorzag geen uitbreiding voor de maatregelen lokale diensteneconomie en invoeg. Er werden bovendien in het kader van dit VIA-akkoord noch in het kader van de uitvoering ervan, afspraken gemaakt naar provinciale en/of regionale verdeling of verdeling over deelsectoren binnen het voorziene uitbreidingsaantal. </w:t>
      </w:r>
    </w:p>
    <w:p w:rsidR="00A95D9A" w:rsidRPr="009F3439" w:rsidRDefault="00A95D9A" w:rsidP="009A515F">
      <w:pPr>
        <w:rPr>
          <w:szCs w:val="22"/>
        </w:rPr>
      </w:pPr>
    </w:p>
    <w:p w:rsidR="00A95D9A" w:rsidRPr="009F3439" w:rsidRDefault="00A95D9A" w:rsidP="009A515F">
      <w:pPr>
        <w:pStyle w:val="ListParagraph"/>
        <w:spacing w:after="0"/>
        <w:ind w:left="567"/>
        <w:jc w:val="both"/>
        <w:rPr>
          <w:rFonts w:ascii="Times New Roman" w:hAnsi="Times New Roman"/>
          <w:sz w:val="22"/>
          <w:szCs w:val="22"/>
        </w:rPr>
      </w:pPr>
      <w:r w:rsidRPr="009F3439">
        <w:rPr>
          <w:rFonts w:ascii="Times New Roman" w:hAnsi="Times New Roman"/>
          <w:sz w:val="22"/>
          <w:szCs w:val="22"/>
        </w:rPr>
        <w:t>10 % van de voorziene 488 arbeidsplaatsen (= ruim 50 arbeidsplaatsen) betekent dat 50 arbeidsplaatsen voorzien zouden worden voor potentiële werknemers van allochtone afkomst. Op basis van het totaal aantal allochtone werknemers in de sociale economie van de voorbije jaren(cfr. antwoord 5), kan gesteld worden dat het streefcijfer van 10% in de sociale economie is gerealiseerd. Er zijn echter geen gegevens beschikbaar om de exacte verhouding allochtonen binnen dit bijkomend contingent, noch over de verdeling per provincie weer te geven.</w:t>
      </w:r>
    </w:p>
    <w:p w:rsidR="00A95D9A" w:rsidRPr="009F3439" w:rsidRDefault="00A95D9A" w:rsidP="009A515F">
      <w:pPr>
        <w:pStyle w:val="ListParagraph"/>
        <w:spacing w:after="0"/>
        <w:ind w:left="360"/>
        <w:jc w:val="both"/>
        <w:rPr>
          <w:rFonts w:ascii="Times New Roman" w:hAnsi="Times New Roman"/>
          <w:sz w:val="22"/>
          <w:szCs w:val="22"/>
        </w:rPr>
      </w:pPr>
    </w:p>
    <w:p w:rsidR="00A95D9A" w:rsidRPr="009F3439" w:rsidRDefault="00A95D9A" w:rsidP="009A515F">
      <w:pPr>
        <w:pStyle w:val="ListParagraph"/>
        <w:numPr>
          <w:ilvl w:val="0"/>
          <w:numId w:val="9"/>
        </w:numPr>
        <w:tabs>
          <w:tab w:val="left" w:pos="567"/>
        </w:tabs>
        <w:spacing w:after="0"/>
        <w:ind w:left="567" w:hanging="567"/>
        <w:jc w:val="both"/>
        <w:rPr>
          <w:rFonts w:ascii="Times New Roman" w:hAnsi="Times New Roman"/>
          <w:sz w:val="22"/>
          <w:szCs w:val="22"/>
        </w:rPr>
      </w:pPr>
      <w:r w:rsidRPr="009F3439">
        <w:rPr>
          <w:rFonts w:ascii="Times New Roman" w:hAnsi="Times New Roman"/>
          <w:sz w:val="22"/>
          <w:szCs w:val="22"/>
        </w:rPr>
        <w:t xml:space="preserve">De administratie beschikt niet over gegevens die een zicht geven </w:t>
      </w:r>
      <w:r>
        <w:rPr>
          <w:rFonts w:ascii="Times New Roman" w:hAnsi="Times New Roman"/>
          <w:sz w:val="22"/>
          <w:szCs w:val="22"/>
        </w:rPr>
        <w:t>op</w:t>
      </w:r>
      <w:r w:rsidRPr="009F3439">
        <w:rPr>
          <w:rFonts w:ascii="Times New Roman" w:hAnsi="Times New Roman"/>
          <w:sz w:val="22"/>
          <w:szCs w:val="22"/>
        </w:rPr>
        <w:t xml:space="preserve"> de diversiteit en verschil</w:t>
      </w:r>
      <w:r>
        <w:rPr>
          <w:rFonts w:ascii="Times New Roman" w:hAnsi="Times New Roman"/>
          <w:sz w:val="22"/>
          <w:szCs w:val="22"/>
        </w:rPr>
        <w:t>-</w:t>
      </w:r>
      <w:r w:rsidRPr="009F3439">
        <w:rPr>
          <w:rFonts w:ascii="Times New Roman" w:hAnsi="Times New Roman"/>
          <w:sz w:val="22"/>
          <w:szCs w:val="22"/>
        </w:rPr>
        <w:t>lende nationaliteiten die de tewerkgestelde allochtonen hebben.</w:t>
      </w:r>
    </w:p>
    <w:p w:rsidR="00A95D9A" w:rsidRPr="009F3439" w:rsidRDefault="00A95D9A" w:rsidP="009A515F">
      <w:pPr>
        <w:pStyle w:val="ListParagraph"/>
        <w:spacing w:after="0"/>
        <w:ind w:left="360"/>
        <w:jc w:val="both"/>
        <w:rPr>
          <w:rFonts w:ascii="Times New Roman" w:hAnsi="Times New Roman"/>
          <w:sz w:val="22"/>
          <w:szCs w:val="22"/>
        </w:rPr>
      </w:pPr>
    </w:p>
    <w:p w:rsidR="00A95D9A" w:rsidRPr="009F3439" w:rsidRDefault="00A95D9A" w:rsidP="009A515F">
      <w:pPr>
        <w:pStyle w:val="ListParagraph"/>
        <w:numPr>
          <w:ilvl w:val="0"/>
          <w:numId w:val="9"/>
        </w:numPr>
        <w:tabs>
          <w:tab w:val="left" w:pos="567"/>
        </w:tabs>
        <w:spacing w:after="0"/>
        <w:ind w:left="567" w:hanging="567"/>
        <w:jc w:val="both"/>
        <w:rPr>
          <w:rFonts w:ascii="Times New Roman" w:hAnsi="Times New Roman"/>
          <w:sz w:val="22"/>
          <w:szCs w:val="22"/>
        </w:rPr>
      </w:pPr>
      <w:r w:rsidRPr="009F3439">
        <w:rPr>
          <w:rFonts w:ascii="Times New Roman" w:hAnsi="Times New Roman"/>
          <w:sz w:val="22"/>
          <w:szCs w:val="22"/>
        </w:rPr>
        <w:t xml:space="preserve">Werknemers worden als allochtoon geregistreerd op 2 wijzen. </w:t>
      </w:r>
    </w:p>
    <w:p w:rsidR="00A95D9A" w:rsidRPr="009F3439" w:rsidRDefault="00A95D9A" w:rsidP="009A515F">
      <w:pPr>
        <w:numPr>
          <w:ilvl w:val="0"/>
          <w:numId w:val="10"/>
        </w:numPr>
        <w:tabs>
          <w:tab w:val="left" w:pos="900"/>
        </w:tabs>
        <w:ind w:left="900"/>
        <w:rPr>
          <w:szCs w:val="22"/>
        </w:rPr>
      </w:pPr>
      <w:r w:rsidRPr="009F3439">
        <w:rPr>
          <w:szCs w:val="22"/>
        </w:rPr>
        <w:t xml:space="preserve">Vóór 2008: indien magrebbijnse etniciteit en/of geen EU-15 nationaliteit. </w:t>
      </w:r>
    </w:p>
    <w:p w:rsidR="00A95D9A" w:rsidRPr="009F3439" w:rsidRDefault="00A95D9A" w:rsidP="009A515F">
      <w:pPr>
        <w:numPr>
          <w:ilvl w:val="0"/>
          <w:numId w:val="10"/>
        </w:numPr>
        <w:tabs>
          <w:tab w:val="left" w:pos="900"/>
        </w:tabs>
        <w:ind w:left="900"/>
        <w:jc w:val="both"/>
        <w:rPr>
          <w:szCs w:val="22"/>
        </w:rPr>
      </w:pPr>
      <w:r w:rsidRPr="009F3439">
        <w:rPr>
          <w:szCs w:val="22"/>
        </w:rPr>
        <w:t xml:space="preserve">Vanaf 2008 personen waarvan de nationaliteit niet behoort tot de EU-27, IJsland, Noorwegen, Liechtenstein of Zwitserland. </w:t>
      </w:r>
    </w:p>
    <w:p w:rsidR="00A95D9A" w:rsidRPr="009F3439" w:rsidRDefault="00A95D9A" w:rsidP="009A515F">
      <w:pPr>
        <w:ind w:left="540"/>
        <w:jc w:val="both"/>
        <w:rPr>
          <w:szCs w:val="22"/>
        </w:rPr>
      </w:pPr>
      <w:r w:rsidRPr="009F3439">
        <w:rPr>
          <w:szCs w:val="22"/>
        </w:rPr>
        <w:t>Personen waarbij de nationaliteit niet gekend of beschikbaar zijn, worden niet geregistreerd als allochtoon.</w:t>
      </w:r>
    </w:p>
    <w:p w:rsidR="00A95D9A" w:rsidRPr="009F3439" w:rsidRDefault="00A95D9A" w:rsidP="009A515F">
      <w:pPr>
        <w:pStyle w:val="ListParagraph"/>
        <w:spacing w:after="0"/>
        <w:ind w:left="360"/>
        <w:jc w:val="both"/>
        <w:rPr>
          <w:rFonts w:ascii="Times New Roman" w:hAnsi="Times New Roman"/>
          <w:sz w:val="22"/>
          <w:szCs w:val="22"/>
        </w:rPr>
      </w:pPr>
    </w:p>
    <w:p w:rsidR="00A95D9A" w:rsidRPr="009F3439" w:rsidRDefault="00A95D9A" w:rsidP="009A515F">
      <w:pPr>
        <w:pStyle w:val="ListParagraph"/>
        <w:numPr>
          <w:ilvl w:val="0"/>
          <w:numId w:val="9"/>
        </w:numPr>
        <w:tabs>
          <w:tab w:val="left" w:pos="567"/>
        </w:tabs>
        <w:spacing w:after="0"/>
        <w:ind w:left="567" w:hanging="567"/>
        <w:jc w:val="both"/>
        <w:rPr>
          <w:rFonts w:ascii="Times New Roman" w:hAnsi="Times New Roman"/>
          <w:sz w:val="22"/>
          <w:szCs w:val="22"/>
        </w:rPr>
      </w:pPr>
      <w:r w:rsidRPr="009F3439">
        <w:rPr>
          <w:rFonts w:ascii="Times New Roman" w:hAnsi="Times New Roman"/>
          <w:sz w:val="22"/>
          <w:szCs w:val="22"/>
        </w:rPr>
        <w:t>In 2005 waren er in de sociale werkplaatsen 431 werknemers van allochtone afkomst tewerk</w:t>
      </w:r>
      <w:r>
        <w:rPr>
          <w:rFonts w:ascii="Times New Roman" w:hAnsi="Times New Roman"/>
          <w:sz w:val="22"/>
          <w:szCs w:val="22"/>
        </w:rPr>
        <w:t>-</w:t>
      </w:r>
      <w:r w:rsidRPr="009F3439">
        <w:rPr>
          <w:rFonts w:ascii="Times New Roman" w:hAnsi="Times New Roman"/>
          <w:sz w:val="22"/>
          <w:szCs w:val="22"/>
        </w:rPr>
        <w:t xml:space="preserve">gesteld. Dit aantal is op 1 januari 2009 opgelopen tot 768. </w:t>
      </w:r>
    </w:p>
    <w:p w:rsidR="00A95D9A" w:rsidRPr="009F3439" w:rsidRDefault="00A95D9A" w:rsidP="009A515F">
      <w:pPr>
        <w:ind w:left="567"/>
        <w:jc w:val="both"/>
        <w:rPr>
          <w:i/>
          <w:szCs w:val="22"/>
        </w:rPr>
      </w:pPr>
      <w:r w:rsidRPr="009F3439">
        <w:rPr>
          <w:szCs w:val="22"/>
        </w:rPr>
        <w:t xml:space="preserve">Voor beschutte werkplaatsen zijn er geen gegevens beschikbaar voor de periode 2005 – 2007. </w:t>
      </w:r>
    </w:p>
    <w:p w:rsidR="00A95D9A" w:rsidRPr="009F3439" w:rsidRDefault="00A95D9A" w:rsidP="009A515F">
      <w:pPr>
        <w:pStyle w:val="SVTitel"/>
        <w:ind w:left="567"/>
        <w:rPr>
          <w:i w:val="0"/>
          <w:szCs w:val="22"/>
        </w:rPr>
      </w:pPr>
    </w:p>
    <w:p w:rsidR="00A95D9A" w:rsidRPr="009F3439" w:rsidRDefault="00A95D9A" w:rsidP="009A515F">
      <w:pPr>
        <w:ind w:left="567"/>
        <w:jc w:val="both"/>
        <w:rPr>
          <w:szCs w:val="22"/>
        </w:rPr>
      </w:pPr>
      <w:r w:rsidRPr="009F3439">
        <w:rPr>
          <w:szCs w:val="22"/>
        </w:rPr>
        <w:t>In samenwerking met het Steunpunt WSE en de betrokken stakeholders wordt er actueel een monitoringinstrument voor de sociale economie ontwikkeld. Dit monitoringinstrument zal op termijn diverse globale en regionale gegevens kunnen verstrekken op het vlak van omvang, in- en uitstroom van tewerkstellingsprogramma’s, evoluties, financieel-economische data, juri</w:t>
      </w:r>
      <w:r>
        <w:rPr>
          <w:szCs w:val="22"/>
        </w:rPr>
        <w:t>-</w:t>
      </w:r>
      <w:r w:rsidRPr="009F3439">
        <w:rPr>
          <w:szCs w:val="22"/>
        </w:rPr>
        <w:t>dische vormgeving, aantal potentiële en tewerkgestelde personen behorende de kansengroepen, profiel van de werknemers, etc….</w:t>
      </w:r>
    </w:p>
    <w:p w:rsidR="00A95D9A" w:rsidRDefault="00A95D9A" w:rsidP="009A515F">
      <w:pPr>
        <w:jc w:val="both"/>
      </w:pPr>
    </w:p>
    <w:p w:rsidR="00A95D9A" w:rsidRPr="003140A4" w:rsidRDefault="00A95D9A" w:rsidP="009A515F">
      <w:pPr>
        <w:jc w:val="both"/>
        <w:rPr>
          <w:b/>
          <w:i/>
          <w:u w:val="single"/>
          <w:lang w:val="nl-BE"/>
        </w:rPr>
      </w:pPr>
      <w:r w:rsidRPr="00160DAF">
        <w:rPr>
          <w:b/>
          <w:i/>
          <w:u w:val="single"/>
        </w:rPr>
        <w:t xml:space="preserve">Minister </w:t>
      </w:r>
      <w:r w:rsidRPr="003140A4">
        <w:rPr>
          <w:b/>
          <w:i/>
          <w:u w:val="single"/>
        </w:rPr>
        <w:t>Philippe Muyters</w:t>
      </w:r>
    </w:p>
    <w:p w:rsidR="00A95D9A" w:rsidRPr="003140A4" w:rsidRDefault="00A95D9A" w:rsidP="009A515F">
      <w:pPr>
        <w:jc w:val="both"/>
        <w:rPr>
          <w:lang w:val="nl-BE"/>
        </w:rPr>
      </w:pPr>
    </w:p>
    <w:p w:rsidR="00A95D9A" w:rsidRPr="00A06EF0" w:rsidRDefault="00A95D9A" w:rsidP="009A515F">
      <w:pPr>
        <w:jc w:val="both"/>
      </w:pPr>
      <w:r w:rsidRPr="00A06EF0">
        <w:t>Binnen het Vlaams Intersectoraal Akkoord (VIA) 2006-2010 voor de sociale profit hebben de sociale partners het engagement om binnen het uitbreidingsbeleid 10% allochtonen aan te werven. De social profit sector stimuleert via een Taskforce diversiteit de acties rond diversiteit binnen de sector.</w:t>
      </w:r>
    </w:p>
    <w:p w:rsidR="00A95D9A" w:rsidRPr="00A06EF0" w:rsidRDefault="00A95D9A" w:rsidP="009A515F">
      <w:pPr>
        <w:jc w:val="both"/>
      </w:pPr>
    </w:p>
    <w:p w:rsidR="00A95D9A" w:rsidRPr="00A06EF0" w:rsidRDefault="00A95D9A" w:rsidP="009A515F">
      <w:pPr>
        <w:jc w:val="both"/>
      </w:pPr>
      <w:r w:rsidRPr="00A06EF0">
        <w:t>In de socialprofit gebeuren heel wat inspanningen op het vlak van diversiteit en evenredige arbeids</w:t>
      </w:r>
      <w:r>
        <w:t>-</w:t>
      </w:r>
      <w:r w:rsidRPr="00A06EF0">
        <w:t>deelname. De sector levert inspanningen door bij aanwervingprocedures gebruik te maken van Job</w:t>
      </w:r>
      <w:r>
        <w:t>-</w:t>
      </w:r>
      <w:r w:rsidRPr="00A06EF0">
        <w:t xml:space="preserve">kanaal. Sinds maart 2006 streven VOKA, UNIZO en VERSO (en sinds maart 2009 ook het VKW), de werkgeverspartners binnen Jobkanaal, gezamenlijk naar meer instroom van kansengroepen (personen van allochtone afkomst, 50+ en personen met een arbeidshandicap) op de arbeidsmarkt. In 2008 verzamelden de Jobkanaalpartners 8.020 vacatures, wat gelijk staat met 13.397 jobs over alle sectoren heen. Er werden voor 2008 4.359 personen uit de drie kansengroepen geregistreerd die zijn kunnen starten in een job. Circa 10,3 % van het totaal aantal gepubliceerde jobs en 11 % van het totaal aantal invullingen situeert zich in de socialprofitsectoren welzijn, gezondheid, socio-culturele sector en aangepaste tewerkstelling, inclusief sociale economie. 57,5 % van de invullingen door kansengroepers in de socialprofit werd ingevuld door personen van allochtone afkomst. Van 1 januari 2009 tot 30 juni 2009 publiceerden de Jobkanaalpartners samen 5.962 jobs over alle sectoren heen. Hierop konden 1.633 invullingen door de drie kansengroepen gerealiseerd worden. Ruim 12 % van het totaal aantal gepubliceerde banen en 14 % van de invullingen situeren zich in de socialprofitsectoren. Ruim 53 % van de invullingen door kansengroepers werd ingevuld door personen met een allochtone afkomst. </w:t>
      </w:r>
    </w:p>
    <w:p w:rsidR="00A95D9A" w:rsidRPr="00A06EF0" w:rsidRDefault="00A95D9A" w:rsidP="009A515F">
      <w:pPr>
        <w:jc w:val="both"/>
      </w:pPr>
      <w:r w:rsidRPr="00A06EF0">
        <w:t>Deze cijfers geven slechts een gedeeltelijk beeld van het totaal aantal aanwervingen van personen uit kansengroepen in de socialprofitsector. Niet alle werkgevers verspreiden hun vacatures langs Jobanaal.</w:t>
      </w:r>
    </w:p>
    <w:p w:rsidR="00A95D9A" w:rsidRPr="009A515F" w:rsidRDefault="00A95D9A" w:rsidP="009A515F">
      <w:pPr>
        <w:jc w:val="both"/>
      </w:pPr>
    </w:p>
    <w:p w:rsidR="00A95D9A" w:rsidRPr="009A515F" w:rsidRDefault="00A95D9A" w:rsidP="009A515F">
      <w:pPr>
        <w:pStyle w:val="SVTitel"/>
        <w:tabs>
          <w:tab w:val="left" w:pos="567"/>
        </w:tabs>
        <w:ind w:left="567" w:hanging="567"/>
        <w:rPr>
          <w:i w:val="0"/>
        </w:rPr>
      </w:pPr>
      <w:r w:rsidRPr="009A515F">
        <w:rPr>
          <w:i w:val="0"/>
        </w:rPr>
        <w:t>1-5</w:t>
      </w:r>
      <w:r>
        <w:t>.</w:t>
      </w:r>
      <w:r>
        <w:tab/>
      </w:r>
      <w:r w:rsidRPr="009A515F">
        <w:rPr>
          <w:i w:val="0"/>
          <w:szCs w:val="22"/>
        </w:rPr>
        <w:t>Voor de voormelde specifieke vragen m.b.t. de Sociale Economie verwijs ik naar het antwoord van mijn collega, mevrouw Freya Van den Bossche, Vlaams minister van Energie, Wonen, Steden en Sociale Economie.</w:t>
      </w:r>
    </w:p>
    <w:sectPr w:rsidR="00A95D9A" w:rsidRPr="009A515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755860"/>
    <w:multiLevelType w:val="hybridMultilevel"/>
    <w:tmpl w:val="7CD67E2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32CC766B"/>
    <w:multiLevelType w:val="hybridMultilevel"/>
    <w:tmpl w:val="3BF0C686"/>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3ED950CA"/>
    <w:multiLevelType w:val="hybridMultilevel"/>
    <w:tmpl w:val="50203A3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9864EE5"/>
    <w:multiLevelType w:val="hybridMultilevel"/>
    <w:tmpl w:val="6D0E333C"/>
    <w:lvl w:ilvl="0" w:tplc="92B0EC6C">
      <w:start w:val="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2403CC"/>
    <w:multiLevelType w:val="hybridMultilevel"/>
    <w:tmpl w:val="7E3E9DDE"/>
    <w:lvl w:ilvl="0" w:tplc="B6D22E26">
      <w:start w:val="1"/>
      <w:numFmt w:val="decimal"/>
      <w:lvlText w:val="%1."/>
      <w:lvlJc w:val="left"/>
      <w:pPr>
        <w:tabs>
          <w:tab w:val="num" w:pos="360"/>
        </w:tabs>
        <w:ind w:left="360" w:hanging="360"/>
      </w:pPr>
      <w:rPr>
        <w:rFonts w:cs="Times New Roman" w:hint="default"/>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7">
    <w:nsid w:val="69F76FE1"/>
    <w:multiLevelType w:val="hybridMultilevel"/>
    <w:tmpl w:val="975E926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2"/>
  </w:num>
  <w:num w:numId="4">
    <w:abstractNumId w:val="0"/>
  </w:num>
  <w:num w:numId="5">
    <w:abstractNumId w:val="8"/>
  </w:num>
  <w:num w:numId="6">
    <w:abstractNumId w:val="3"/>
  </w:num>
  <w:num w:numId="7">
    <w:abstractNumId w:val="7"/>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EF0"/>
    <w:rsid w:val="00015BF7"/>
    <w:rsid w:val="00095C78"/>
    <w:rsid w:val="000976E9"/>
    <w:rsid w:val="000C4E8C"/>
    <w:rsid w:val="000F3532"/>
    <w:rsid w:val="000F7247"/>
    <w:rsid w:val="00103F3F"/>
    <w:rsid w:val="0015575F"/>
    <w:rsid w:val="00160DAF"/>
    <w:rsid w:val="00210C07"/>
    <w:rsid w:val="002843DB"/>
    <w:rsid w:val="003140A4"/>
    <w:rsid w:val="00326A58"/>
    <w:rsid w:val="003E3FD0"/>
    <w:rsid w:val="00463FCD"/>
    <w:rsid w:val="00471904"/>
    <w:rsid w:val="004E4428"/>
    <w:rsid w:val="005E38CA"/>
    <w:rsid w:val="006563FB"/>
    <w:rsid w:val="006A76E7"/>
    <w:rsid w:val="006E50EA"/>
    <w:rsid w:val="0071248C"/>
    <w:rsid w:val="007252C7"/>
    <w:rsid w:val="007B440C"/>
    <w:rsid w:val="008D5DB4"/>
    <w:rsid w:val="0091113C"/>
    <w:rsid w:val="009347E0"/>
    <w:rsid w:val="009456B5"/>
    <w:rsid w:val="0099307C"/>
    <w:rsid w:val="00996094"/>
    <w:rsid w:val="009A515F"/>
    <w:rsid w:val="009D7043"/>
    <w:rsid w:val="009F3439"/>
    <w:rsid w:val="00A06EF0"/>
    <w:rsid w:val="00A61C86"/>
    <w:rsid w:val="00A90DF2"/>
    <w:rsid w:val="00A95D9A"/>
    <w:rsid w:val="00A96688"/>
    <w:rsid w:val="00AD2437"/>
    <w:rsid w:val="00AF7000"/>
    <w:rsid w:val="00B06A7F"/>
    <w:rsid w:val="00B32594"/>
    <w:rsid w:val="00B32B02"/>
    <w:rsid w:val="00B45EB2"/>
    <w:rsid w:val="00BC6A14"/>
    <w:rsid w:val="00BE425A"/>
    <w:rsid w:val="00C91441"/>
    <w:rsid w:val="00D22297"/>
    <w:rsid w:val="00D71D99"/>
    <w:rsid w:val="00D754F2"/>
    <w:rsid w:val="00DB41C0"/>
    <w:rsid w:val="00DC4DB6"/>
    <w:rsid w:val="00DD4121"/>
    <w:rsid w:val="00E31F4D"/>
    <w:rsid w:val="00E36EC8"/>
    <w:rsid w:val="00E55200"/>
    <w:rsid w:val="00E85C8D"/>
    <w:rsid w:val="00E94286"/>
    <w:rsid w:val="00EA7588"/>
    <w:rsid w:val="00F02A90"/>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58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9D758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9D7583"/>
    <w:rPr>
      <w:rFonts w:asciiTheme="majorHAnsi" w:eastAsiaTheme="majorEastAsia" w:hAnsiTheme="majorHAnsi" w:cstheme="majorBidi"/>
      <w:b/>
      <w:bCs/>
      <w:sz w:val="26"/>
      <w:szCs w:val="26"/>
      <w:lang w:val="nl-NL" w:eastAsia="nl-NL"/>
    </w:rPr>
  </w:style>
  <w:style w:type="paragraph" w:styleId="ListParagraph">
    <w:name w:val="List Paragraph"/>
    <w:basedOn w:val="Normal"/>
    <w:uiPriority w:val="99"/>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9D758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VTitel">
    <w:name w:val="SV Titel"/>
    <w:basedOn w:val="Normal"/>
    <w:uiPriority w:val="99"/>
    <w:rsid w:val="00AD2437"/>
    <w:pPr>
      <w:jc w:val="both"/>
    </w:pPr>
    <w:rPr>
      <w:i/>
      <w:szCs w:val="20"/>
    </w:rPr>
  </w:style>
  <w:style w:type="character" w:styleId="Hyperlink">
    <w:name w:val="Hyperlink"/>
    <w:basedOn w:val="DefaultParagraphFont"/>
    <w:uiPriority w:val="99"/>
    <w:rsid w:val="00AD2437"/>
    <w:rPr>
      <w:rFonts w:cs="Times New Roman"/>
      <w:color w:val="0000FF"/>
      <w:u w:val="single"/>
    </w:rPr>
  </w:style>
  <w:style w:type="paragraph" w:styleId="DocumentMap">
    <w:name w:val="Document Map"/>
    <w:basedOn w:val="Normal"/>
    <w:link w:val="DocumentMapChar"/>
    <w:uiPriority w:val="99"/>
    <w:semiHidden/>
    <w:rsid w:val="009456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D7583"/>
    <w:rPr>
      <w:sz w:val="0"/>
      <w:szCs w:val="0"/>
      <w:lang w:val="nl-NL" w:eastAsia="nl-NL"/>
    </w:rPr>
  </w:style>
  <w:style w:type="paragraph" w:customStyle="1" w:styleId="Tekstbrief">
    <w:name w:val="Tekst brief"/>
    <w:basedOn w:val="CommentText"/>
    <w:uiPriority w:val="99"/>
    <w:semiHidden/>
    <w:rsid w:val="00095C78"/>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095C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95C78"/>
    <w:rPr>
      <w:sz w:val="20"/>
      <w:szCs w:val="20"/>
    </w:rPr>
  </w:style>
  <w:style w:type="character" w:customStyle="1" w:styleId="CommentTextChar">
    <w:name w:val="Comment Text Char"/>
    <w:basedOn w:val="DefaultParagraphFont"/>
    <w:link w:val="CommentText"/>
    <w:uiPriority w:val="99"/>
    <w:semiHidden/>
    <w:rsid w:val="009D7583"/>
    <w:rPr>
      <w:sz w:val="20"/>
      <w:szCs w:val="20"/>
      <w:lang w:val="nl-NL" w:eastAsia="nl-NL"/>
    </w:rPr>
  </w:style>
  <w:style w:type="paragraph" w:styleId="NormalWeb">
    <w:name w:val="Normal (Web)"/>
    <w:basedOn w:val="Normal"/>
    <w:uiPriority w:val="99"/>
    <w:rsid w:val="00160DAF"/>
    <w:pPr>
      <w:spacing w:before="100" w:beforeAutospacing="1" w:after="100" w:afterAutospacing="1"/>
    </w:pPr>
    <w:rPr>
      <w:sz w:val="24"/>
      <w:lang w:val="nl-BE" w:eastAsia="nl-BE"/>
    </w:rPr>
  </w:style>
  <w:style w:type="character" w:styleId="Emphasis">
    <w:name w:val="Emphasis"/>
    <w:basedOn w:val="DefaultParagraphFont"/>
    <w:uiPriority w:val="99"/>
    <w:qFormat/>
    <w:rsid w:val="00160DA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riftelijke%20Vragen\sjablonen%20schriftelijke%20vragen\antwoord%20sv%20geco&#246;rdineerd%20door%20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 gecoördineerd door ons.dotx</Template>
  <TotalTime>0</TotalTime>
  <Pages>3</Pages>
  <Words>1061</Words>
  <Characters>5836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Arachida Outferdine</dc:creator>
  <cp:keywords/>
  <dc:description/>
  <cp:lastModifiedBy>Robert Willems</cp:lastModifiedBy>
  <cp:revision>2</cp:revision>
  <dcterms:created xsi:type="dcterms:W3CDTF">2009-10-23T16:32:00Z</dcterms:created>
  <dcterms:modified xsi:type="dcterms:W3CDTF">2009-10-23T16:32:00Z</dcterms:modified>
</cp:coreProperties>
</file>