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22E95" w14:textId="46C0E45D" w:rsidR="00B032E7" w:rsidRDefault="00CB095F" w:rsidP="00B300BD">
      <w:pPr>
        <w:pStyle w:val="Kop2"/>
        <w:rPr>
          <w:sz w:val="28"/>
          <w:szCs w:val="28"/>
        </w:rPr>
      </w:pPr>
      <w:bookmarkStart w:id="0" w:name="_GoBack"/>
      <w:bookmarkEnd w:id="0"/>
      <w:r>
        <w:rPr>
          <w:sz w:val="28"/>
          <w:szCs w:val="28"/>
        </w:rPr>
        <w:t>Monitoringr</w:t>
      </w:r>
      <w:r w:rsidR="00982E89" w:rsidRPr="00F14C2C">
        <w:rPr>
          <w:sz w:val="28"/>
          <w:szCs w:val="28"/>
        </w:rPr>
        <w:t xml:space="preserve">apport </w:t>
      </w:r>
      <w:r w:rsidR="00921B44" w:rsidRPr="00F14C2C">
        <w:rPr>
          <w:sz w:val="28"/>
          <w:szCs w:val="28"/>
        </w:rPr>
        <w:t>van</w:t>
      </w:r>
      <w:r w:rsidR="00B032E7">
        <w:rPr>
          <w:sz w:val="28"/>
          <w:szCs w:val="28"/>
        </w:rPr>
        <w:t xml:space="preserve"> de begroting 201</w:t>
      </w:r>
      <w:r w:rsidR="00BB5D23">
        <w:rPr>
          <w:sz w:val="28"/>
          <w:szCs w:val="28"/>
        </w:rPr>
        <w:t>9</w:t>
      </w:r>
    </w:p>
    <w:p w14:paraId="3C51B091" w14:textId="68EA9EC2" w:rsidR="00404FE5" w:rsidRPr="00F14C2C" w:rsidRDefault="00884D57" w:rsidP="00B032E7">
      <w:pPr>
        <w:pStyle w:val="Kop2"/>
        <w:pBdr>
          <w:bottom w:val="single" w:sz="4" w:space="1" w:color="auto"/>
        </w:pBdr>
        <w:rPr>
          <w:sz w:val="28"/>
          <w:szCs w:val="28"/>
        </w:rPr>
      </w:pPr>
      <w:r>
        <w:rPr>
          <w:sz w:val="28"/>
          <w:szCs w:val="28"/>
        </w:rPr>
        <w:t>1</w:t>
      </w:r>
      <w:r w:rsidR="000D5470">
        <w:rPr>
          <w:sz w:val="28"/>
          <w:szCs w:val="28"/>
        </w:rPr>
        <w:t>7</w:t>
      </w:r>
      <w:r w:rsidR="00866464" w:rsidRPr="00F14C2C">
        <w:rPr>
          <w:sz w:val="28"/>
          <w:szCs w:val="28"/>
        </w:rPr>
        <w:t xml:space="preserve"> </w:t>
      </w:r>
      <w:r w:rsidR="000D5470">
        <w:rPr>
          <w:sz w:val="28"/>
          <w:szCs w:val="28"/>
        </w:rPr>
        <w:t xml:space="preserve">februari </w:t>
      </w:r>
      <w:r w:rsidR="00B300BD" w:rsidRPr="00F14C2C">
        <w:rPr>
          <w:sz w:val="28"/>
          <w:szCs w:val="28"/>
        </w:rPr>
        <w:t>20</w:t>
      </w:r>
      <w:r w:rsidR="000D5470">
        <w:rPr>
          <w:sz w:val="28"/>
          <w:szCs w:val="28"/>
        </w:rPr>
        <w:t>20</w:t>
      </w:r>
    </w:p>
    <w:p w14:paraId="24EF8B7C" w14:textId="77777777" w:rsidR="00525095" w:rsidRDefault="00083291" w:rsidP="00921B44">
      <w:pPr>
        <w:pStyle w:val="Kop3"/>
        <w:numPr>
          <w:ilvl w:val="0"/>
          <w:numId w:val="24"/>
        </w:numPr>
      </w:pPr>
      <w:r>
        <w:t>Samenvatting</w:t>
      </w:r>
    </w:p>
    <w:p w14:paraId="14C6E19A" w14:textId="77777777" w:rsidR="003C7C16" w:rsidRDefault="003C7C16" w:rsidP="003C7C16"/>
    <w:p w14:paraId="71EA5E40" w14:textId="3E785010" w:rsidR="00677806" w:rsidRDefault="00792136" w:rsidP="00CC77CB">
      <w:pPr>
        <w:spacing w:after="120"/>
      </w:pPr>
      <w:r w:rsidRPr="004379CD">
        <w:t>Tabel 1.  Het monitoringresultaat in een oogopslag</w:t>
      </w:r>
    </w:p>
    <w:p w14:paraId="28A448E9" w14:textId="3E0336EB" w:rsidR="008C3CC7" w:rsidRDefault="008C3CC7" w:rsidP="00CC77CB">
      <w:pPr>
        <w:spacing w:after="120"/>
      </w:pPr>
    </w:p>
    <w:tbl>
      <w:tblPr>
        <w:tblW w:w="5000" w:type="pct"/>
        <w:tblCellMar>
          <w:left w:w="70" w:type="dxa"/>
          <w:right w:w="70" w:type="dxa"/>
        </w:tblCellMar>
        <w:tblLook w:val="04A0" w:firstRow="1" w:lastRow="0" w:firstColumn="1" w:lastColumn="0" w:noHBand="0" w:noVBand="1"/>
      </w:tblPr>
      <w:tblGrid>
        <w:gridCol w:w="3115"/>
        <w:gridCol w:w="1133"/>
        <w:gridCol w:w="850"/>
        <w:gridCol w:w="993"/>
        <w:gridCol w:w="714"/>
        <w:gridCol w:w="747"/>
        <w:gridCol w:w="665"/>
        <w:gridCol w:w="845"/>
      </w:tblGrid>
      <w:tr w:rsidR="00D9796E" w:rsidRPr="00D9796E" w14:paraId="1DBE645C" w14:textId="77777777" w:rsidTr="00D9796E">
        <w:trPr>
          <w:trHeight w:val="290"/>
        </w:trPr>
        <w:tc>
          <w:tcPr>
            <w:tcW w:w="17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7CFDA5" w14:textId="77777777" w:rsidR="00D9796E" w:rsidRPr="00D9796E" w:rsidRDefault="00D9796E" w:rsidP="00D9796E">
            <w:pPr>
              <w:rPr>
                <w:rFonts w:ascii="Calibri" w:eastAsia="Times New Roman" w:hAnsi="Calibri" w:cs="Calibri"/>
                <w:b/>
                <w:bCs/>
                <w:color w:val="000000"/>
                <w:sz w:val="18"/>
                <w:szCs w:val="18"/>
                <w:lang w:eastAsia="nl-BE"/>
              </w:rPr>
            </w:pPr>
            <w:r w:rsidRPr="00D9796E">
              <w:rPr>
                <w:rFonts w:ascii="Calibri" w:eastAsia="Times New Roman" w:hAnsi="Calibri" w:cs="Calibri"/>
                <w:b/>
                <w:bCs/>
                <w:color w:val="000000"/>
                <w:sz w:val="18"/>
                <w:szCs w:val="18"/>
                <w:lang w:eastAsia="nl-BE"/>
              </w:rPr>
              <w:t>In mio euro // HRF</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AB1281" w14:textId="77777777" w:rsidR="00D9796E" w:rsidRPr="00D9796E" w:rsidRDefault="00D9796E" w:rsidP="00D9796E">
            <w:pPr>
              <w:jc w:val="center"/>
              <w:rPr>
                <w:rFonts w:ascii="Calibri" w:eastAsia="Times New Roman" w:hAnsi="Calibri" w:cs="Calibri"/>
                <w:b/>
                <w:bCs/>
                <w:color w:val="000000"/>
                <w:sz w:val="18"/>
                <w:szCs w:val="18"/>
                <w:lang w:eastAsia="nl-BE"/>
              </w:rPr>
            </w:pPr>
            <w:r w:rsidRPr="00D9796E">
              <w:rPr>
                <w:rFonts w:ascii="Calibri" w:eastAsia="Times New Roman" w:hAnsi="Calibri" w:cs="Calibri"/>
                <w:b/>
                <w:bCs/>
                <w:color w:val="000000"/>
                <w:sz w:val="18"/>
                <w:szCs w:val="18"/>
                <w:lang w:eastAsia="nl-BE"/>
              </w:rPr>
              <w:t>BA 2019</w:t>
            </w:r>
          </w:p>
        </w:tc>
        <w:tc>
          <w:tcPr>
            <w:tcW w:w="469" w:type="pct"/>
            <w:tcBorders>
              <w:top w:val="single" w:sz="4" w:space="0" w:color="auto"/>
              <w:left w:val="nil"/>
              <w:bottom w:val="single" w:sz="4" w:space="0" w:color="auto"/>
              <w:right w:val="single" w:sz="4" w:space="0" w:color="auto"/>
            </w:tcBorders>
            <w:shd w:val="clear" w:color="auto" w:fill="auto"/>
            <w:vAlign w:val="center"/>
            <w:hideMark/>
          </w:tcPr>
          <w:p w14:paraId="65F1C1B1" w14:textId="77777777" w:rsidR="00D9796E" w:rsidRPr="00D9796E" w:rsidRDefault="00D9796E" w:rsidP="00D9796E">
            <w:pPr>
              <w:jc w:val="center"/>
              <w:rPr>
                <w:rFonts w:ascii="Calibri" w:eastAsia="Times New Roman" w:hAnsi="Calibri" w:cs="Calibri"/>
                <w:b/>
                <w:bCs/>
                <w:color w:val="000000"/>
                <w:sz w:val="18"/>
                <w:szCs w:val="18"/>
                <w:lang w:eastAsia="nl-BE"/>
              </w:rPr>
            </w:pPr>
            <w:r w:rsidRPr="00D9796E">
              <w:rPr>
                <w:rFonts w:ascii="Calibri" w:eastAsia="Times New Roman" w:hAnsi="Calibri" w:cs="Calibri"/>
                <w:b/>
                <w:bCs/>
                <w:color w:val="000000"/>
                <w:sz w:val="18"/>
                <w:szCs w:val="18"/>
                <w:lang w:eastAsia="nl-BE"/>
              </w:rPr>
              <w:t>Dec</w:t>
            </w:r>
          </w:p>
        </w:tc>
        <w:tc>
          <w:tcPr>
            <w:tcW w:w="548" w:type="pct"/>
            <w:tcBorders>
              <w:top w:val="single" w:sz="4" w:space="0" w:color="auto"/>
              <w:left w:val="nil"/>
              <w:bottom w:val="single" w:sz="4" w:space="0" w:color="auto"/>
              <w:right w:val="nil"/>
            </w:tcBorders>
            <w:shd w:val="clear" w:color="auto" w:fill="auto"/>
            <w:vAlign w:val="center"/>
            <w:hideMark/>
          </w:tcPr>
          <w:p w14:paraId="06A0938C" w14:textId="77777777" w:rsidR="00D9796E" w:rsidRPr="00D9796E" w:rsidRDefault="00D9796E" w:rsidP="00D9796E">
            <w:pPr>
              <w:jc w:val="center"/>
              <w:rPr>
                <w:rFonts w:ascii="Calibri" w:eastAsia="Times New Roman" w:hAnsi="Calibri" w:cs="Calibri"/>
                <w:b/>
                <w:bCs/>
                <w:color w:val="000000"/>
                <w:sz w:val="18"/>
                <w:szCs w:val="18"/>
                <w:lang w:eastAsia="nl-BE"/>
              </w:rPr>
            </w:pPr>
            <w:r w:rsidRPr="00D9796E">
              <w:rPr>
                <w:rFonts w:ascii="Calibri" w:eastAsia="Times New Roman" w:hAnsi="Calibri" w:cs="Calibri"/>
                <w:b/>
                <w:bCs/>
                <w:color w:val="000000"/>
                <w:sz w:val="18"/>
                <w:szCs w:val="18"/>
                <w:lang w:eastAsia="nl-BE"/>
              </w:rPr>
              <w:t>Feb</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491915" w14:textId="77777777" w:rsidR="00D9796E" w:rsidRPr="00D9796E" w:rsidRDefault="00D9796E" w:rsidP="00D9796E">
            <w:pPr>
              <w:jc w:val="center"/>
              <w:rPr>
                <w:rFonts w:ascii="Calibri" w:eastAsia="Times New Roman" w:hAnsi="Calibri" w:cs="Calibri"/>
                <w:b/>
                <w:bCs/>
                <w:color w:val="000000"/>
                <w:sz w:val="18"/>
                <w:szCs w:val="18"/>
                <w:lang w:eastAsia="nl-BE"/>
              </w:rPr>
            </w:pPr>
            <w:r w:rsidRPr="00D9796E">
              <w:rPr>
                <w:rFonts w:ascii="Calibri" w:eastAsia="Times New Roman" w:hAnsi="Calibri" w:cs="Calibri"/>
                <w:b/>
                <w:bCs/>
                <w:color w:val="000000"/>
                <w:sz w:val="18"/>
                <w:szCs w:val="18"/>
                <w:lang w:eastAsia="nl-BE"/>
              </w:rPr>
              <w:t>Delta BA</w:t>
            </w:r>
          </w:p>
        </w:tc>
        <w:tc>
          <w:tcPr>
            <w:tcW w:w="412" w:type="pct"/>
            <w:tcBorders>
              <w:top w:val="single" w:sz="4" w:space="0" w:color="auto"/>
              <w:left w:val="nil"/>
              <w:bottom w:val="single" w:sz="4" w:space="0" w:color="auto"/>
              <w:right w:val="single" w:sz="4" w:space="0" w:color="auto"/>
            </w:tcBorders>
            <w:shd w:val="clear" w:color="auto" w:fill="auto"/>
            <w:vAlign w:val="center"/>
            <w:hideMark/>
          </w:tcPr>
          <w:p w14:paraId="64540F72" w14:textId="77777777" w:rsidR="00D9796E" w:rsidRPr="00D9796E" w:rsidRDefault="00D9796E" w:rsidP="00D9796E">
            <w:pPr>
              <w:jc w:val="center"/>
              <w:rPr>
                <w:rFonts w:ascii="Calibri" w:eastAsia="Times New Roman" w:hAnsi="Calibri" w:cs="Calibri"/>
                <w:b/>
                <w:bCs/>
                <w:color w:val="000000"/>
                <w:sz w:val="18"/>
                <w:szCs w:val="18"/>
                <w:lang w:eastAsia="nl-BE"/>
              </w:rPr>
            </w:pPr>
            <w:r w:rsidRPr="00D9796E">
              <w:rPr>
                <w:rFonts w:ascii="Calibri" w:eastAsia="Times New Roman" w:hAnsi="Calibri" w:cs="Calibri"/>
                <w:b/>
                <w:bCs/>
                <w:color w:val="000000"/>
                <w:sz w:val="18"/>
                <w:szCs w:val="18"/>
                <w:lang w:eastAsia="nl-BE"/>
              </w:rPr>
              <w:t>%</w:t>
            </w:r>
          </w:p>
        </w:tc>
        <w:tc>
          <w:tcPr>
            <w:tcW w:w="367" w:type="pct"/>
            <w:tcBorders>
              <w:top w:val="single" w:sz="4" w:space="0" w:color="auto"/>
              <w:left w:val="nil"/>
              <w:bottom w:val="single" w:sz="4" w:space="0" w:color="auto"/>
              <w:right w:val="single" w:sz="4" w:space="0" w:color="auto"/>
            </w:tcBorders>
            <w:shd w:val="clear" w:color="auto" w:fill="auto"/>
            <w:vAlign w:val="center"/>
            <w:hideMark/>
          </w:tcPr>
          <w:p w14:paraId="07E179EF" w14:textId="77777777" w:rsidR="00D9796E" w:rsidRPr="00D9796E" w:rsidRDefault="00D9796E" w:rsidP="00D9796E">
            <w:pPr>
              <w:jc w:val="center"/>
              <w:rPr>
                <w:rFonts w:ascii="Calibri" w:eastAsia="Times New Roman" w:hAnsi="Calibri" w:cs="Calibri"/>
                <w:b/>
                <w:bCs/>
                <w:color w:val="000000"/>
                <w:sz w:val="18"/>
                <w:szCs w:val="18"/>
                <w:lang w:eastAsia="nl-BE"/>
              </w:rPr>
            </w:pPr>
            <w:r w:rsidRPr="00D9796E">
              <w:rPr>
                <w:rFonts w:ascii="Calibri" w:eastAsia="Times New Roman" w:hAnsi="Calibri" w:cs="Calibri"/>
                <w:b/>
                <w:bCs/>
                <w:color w:val="000000"/>
                <w:sz w:val="18"/>
                <w:szCs w:val="18"/>
                <w:lang w:eastAsia="nl-BE"/>
              </w:rPr>
              <w:t>Feb vs  Dec</w:t>
            </w:r>
          </w:p>
        </w:tc>
        <w:tc>
          <w:tcPr>
            <w:tcW w:w="466" w:type="pct"/>
            <w:tcBorders>
              <w:top w:val="single" w:sz="4" w:space="0" w:color="auto"/>
              <w:left w:val="nil"/>
              <w:bottom w:val="single" w:sz="4" w:space="0" w:color="auto"/>
              <w:right w:val="single" w:sz="4" w:space="0" w:color="auto"/>
            </w:tcBorders>
            <w:shd w:val="clear" w:color="auto" w:fill="auto"/>
            <w:vAlign w:val="center"/>
            <w:hideMark/>
          </w:tcPr>
          <w:p w14:paraId="700F806A" w14:textId="77777777" w:rsidR="00D9796E" w:rsidRPr="00D9796E" w:rsidRDefault="00D9796E" w:rsidP="00D9796E">
            <w:pPr>
              <w:jc w:val="center"/>
              <w:rPr>
                <w:rFonts w:ascii="Calibri" w:eastAsia="Times New Roman" w:hAnsi="Calibri" w:cs="Calibri"/>
                <w:b/>
                <w:bCs/>
                <w:color w:val="000000"/>
                <w:sz w:val="18"/>
                <w:szCs w:val="18"/>
                <w:lang w:eastAsia="nl-BE"/>
              </w:rPr>
            </w:pPr>
            <w:r w:rsidRPr="00D9796E">
              <w:rPr>
                <w:rFonts w:ascii="Calibri" w:eastAsia="Times New Roman" w:hAnsi="Calibri" w:cs="Calibri"/>
                <w:b/>
                <w:bCs/>
                <w:color w:val="000000"/>
                <w:sz w:val="18"/>
                <w:szCs w:val="18"/>
                <w:lang w:eastAsia="nl-BE"/>
              </w:rPr>
              <w:t>%</w:t>
            </w:r>
          </w:p>
        </w:tc>
      </w:tr>
      <w:tr w:rsidR="00EC5614" w:rsidRPr="00D9796E" w14:paraId="7AD99C1E" w14:textId="77777777" w:rsidTr="00D9796E">
        <w:trPr>
          <w:trHeight w:val="290"/>
        </w:trPr>
        <w:tc>
          <w:tcPr>
            <w:tcW w:w="1719" w:type="pct"/>
            <w:tcBorders>
              <w:top w:val="nil"/>
              <w:left w:val="single" w:sz="4" w:space="0" w:color="auto"/>
              <w:bottom w:val="nil"/>
              <w:right w:val="single" w:sz="4" w:space="0" w:color="auto"/>
            </w:tcBorders>
            <w:shd w:val="clear" w:color="auto" w:fill="auto"/>
            <w:noWrap/>
            <w:vAlign w:val="center"/>
            <w:hideMark/>
          </w:tcPr>
          <w:p w14:paraId="2C1CEF05" w14:textId="77777777" w:rsidR="00EC5614" w:rsidRPr="00D9796E" w:rsidRDefault="00EC5614" w:rsidP="00EC5614">
            <w:pPr>
              <w:rPr>
                <w:rFonts w:ascii="Calibri" w:eastAsia="Times New Roman" w:hAnsi="Calibri" w:cs="Calibri"/>
                <w:color w:val="000000"/>
                <w:sz w:val="18"/>
                <w:szCs w:val="18"/>
                <w:lang w:eastAsia="nl-BE"/>
              </w:rPr>
            </w:pPr>
            <w:r w:rsidRPr="00D9796E">
              <w:rPr>
                <w:rFonts w:ascii="Calibri" w:eastAsia="Times New Roman" w:hAnsi="Calibri" w:cs="Calibri"/>
                <w:color w:val="000000"/>
                <w:sz w:val="18"/>
                <w:szCs w:val="18"/>
                <w:lang w:eastAsia="nl-BE"/>
              </w:rPr>
              <w:t>Ontvangsten (+)</w:t>
            </w:r>
          </w:p>
        </w:tc>
        <w:tc>
          <w:tcPr>
            <w:tcW w:w="625" w:type="pct"/>
            <w:tcBorders>
              <w:top w:val="nil"/>
              <w:left w:val="single" w:sz="4" w:space="0" w:color="auto"/>
              <w:bottom w:val="nil"/>
              <w:right w:val="single" w:sz="4" w:space="0" w:color="auto"/>
            </w:tcBorders>
            <w:shd w:val="clear" w:color="auto" w:fill="auto"/>
            <w:noWrap/>
            <w:vAlign w:val="center"/>
            <w:hideMark/>
          </w:tcPr>
          <w:p w14:paraId="42DAA782" w14:textId="7929DDAD" w:rsidR="00EC5614" w:rsidRPr="00EC5614" w:rsidRDefault="00EC5614" w:rsidP="00EC5614">
            <w:pPr>
              <w:jc w:val="right"/>
              <w:rPr>
                <w:rFonts w:ascii="Calibri" w:eastAsia="Times New Roman" w:hAnsi="Calibri" w:cs="Calibri"/>
                <w:color w:val="000000"/>
                <w:sz w:val="18"/>
                <w:szCs w:val="18"/>
                <w:lang w:eastAsia="nl-BE"/>
              </w:rPr>
            </w:pPr>
            <w:r w:rsidRPr="00EC5614">
              <w:rPr>
                <w:rFonts w:ascii="Calibri" w:hAnsi="Calibri" w:cs="Calibri"/>
                <w:color w:val="000000"/>
                <w:sz w:val="18"/>
                <w:szCs w:val="18"/>
              </w:rPr>
              <w:t>45.130,5</w:t>
            </w:r>
          </w:p>
        </w:tc>
        <w:tc>
          <w:tcPr>
            <w:tcW w:w="469" w:type="pct"/>
            <w:tcBorders>
              <w:top w:val="nil"/>
              <w:left w:val="nil"/>
              <w:bottom w:val="nil"/>
              <w:right w:val="single" w:sz="4" w:space="0" w:color="auto"/>
            </w:tcBorders>
            <w:shd w:val="clear" w:color="auto" w:fill="auto"/>
            <w:noWrap/>
            <w:vAlign w:val="center"/>
            <w:hideMark/>
          </w:tcPr>
          <w:p w14:paraId="5958F1AE" w14:textId="29CD807A" w:rsidR="00EC5614" w:rsidRPr="00EC5614" w:rsidRDefault="00EC5614" w:rsidP="00EC5614">
            <w:pPr>
              <w:jc w:val="right"/>
              <w:rPr>
                <w:rFonts w:ascii="Calibri" w:eastAsia="Times New Roman" w:hAnsi="Calibri" w:cs="Calibri"/>
                <w:color w:val="000000"/>
                <w:sz w:val="18"/>
                <w:szCs w:val="18"/>
                <w:lang w:eastAsia="nl-BE"/>
              </w:rPr>
            </w:pPr>
            <w:r w:rsidRPr="00EC5614">
              <w:rPr>
                <w:rFonts w:ascii="Calibri" w:hAnsi="Calibri" w:cs="Calibri"/>
                <w:color w:val="000000"/>
                <w:sz w:val="18"/>
                <w:szCs w:val="18"/>
              </w:rPr>
              <w:t>45.103,8</w:t>
            </w:r>
          </w:p>
        </w:tc>
        <w:tc>
          <w:tcPr>
            <w:tcW w:w="548" w:type="pct"/>
            <w:tcBorders>
              <w:top w:val="nil"/>
              <w:left w:val="nil"/>
              <w:bottom w:val="nil"/>
              <w:right w:val="single" w:sz="4" w:space="0" w:color="auto"/>
            </w:tcBorders>
            <w:shd w:val="clear" w:color="auto" w:fill="auto"/>
            <w:noWrap/>
            <w:vAlign w:val="center"/>
            <w:hideMark/>
          </w:tcPr>
          <w:p w14:paraId="443C76AE" w14:textId="190F2CB5" w:rsidR="00EC5614" w:rsidRPr="00EC5614" w:rsidRDefault="00EC5614" w:rsidP="00EC5614">
            <w:pPr>
              <w:jc w:val="right"/>
              <w:rPr>
                <w:rFonts w:ascii="Calibri" w:eastAsia="Times New Roman" w:hAnsi="Calibri" w:cs="Calibri"/>
                <w:color w:val="000000"/>
                <w:sz w:val="18"/>
                <w:szCs w:val="18"/>
                <w:lang w:eastAsia="nl-BE"/>
              </w:rPr>
            </w:pPr>
            <w:r w:rsidRPr="00EC5614">
              <w:rPr>
                <w:rFonts w:ascii="Calibri" w:hAnsi="Calibri" w:cs="Calibri"/>
                <w:color w:val="000000"/>
                <w:sz w:val="18"/>
                <w:szCs w:val="18"/>
              </w:rPr>
              <w:t>45.529,9</w:t>
            </w:r>
          </w:p>
        </w:tc>
        <w:tc>
          <w:tcPr>
            <w:tcW w:w="394" w:type="pct"/>
            <w:tcBorders>
              <w:top w:val="nil"/>
              <w:left w:val="nil"/>
              <w:bottom w:val="nil"/>
              <w:right w:val="single" w:sz="4" w:space="0" w:color="auto"/>
            </w:tcBorders>
            <w:shd w:val="clear" w:color="auto" w:fill="auto"/>
            <w:noWrap/>
            <w:vAlign w:val="center"/>
            <w:hideMark/>
          </w:tcPr>
          <w:p w14:paraId="5EA1BC36" w14:textId="15EBC01E" w:rsidR="00EC5614" w:rsidRPr="00EC5614" w:rsidRDefault="00EC5614" w:rsidP="00EC5614">
            <w:pPr>
              <w:jc w:val="right"/>
              <w:rPr>
                <w:rFonts w:ascii="Calibri" w:eastAsia="Times New Roman" w:hAnsi="Calibri" w:cs="Calibri"/>
                <w:color w:val="000000"/>
                <w:sz w:val="18"/>
                <w:szCs w:val="18"/>
                <w:lang w:eastAsia="nl-BE"/>
              </w:rPr>
            </w:pPr>
            <w:r w:rsidRPr="00EC5614">
              <w:rPr>
                <w:rFonts w:ascii="Calibri" w:hAnsi="Calibri" w:cs="Calibri"/>
                <w:color w:val="000000"/>
                <w:sz w:val="18"/>
                <w:szCs w:val="18"/>
              </w:rPr>
              <w:t>399,5</w:t>
            </w:r>
          </w:p>
        </w:tc>
        <w:tc>
          <w:tcPr>
            <w:tcW w:w="412" w:type="pct"/>
            <w:tcBorders>
              <w:top w:val="nil"/>
              <w:left w:val="nil"/>
              <w:bottom w:val="nil"/>
              <w:right w:val="single" w:sz="4" w:space="0" w:color="auto"/>
            </w:tcBorders>
            <w:shd w:val="clear" w:color="auto" w:fill="auto"/>
            <w:noWrap/>
            <w:vAlign w:val="center"/>
            <w:hideMark/>
          </w:tcPr>
          <w:p w14:paraId="7DBE5CFF" w14:textId="02778957" w:rsidR="00EC5614" w:rsidRPr="00EC5614" w:rsidRDefault="00EC5614" w:rsidP="00EC5614">
            <w:pPr>
              <w:jc w:val="right"/>
              <w:rPr>
                <w:rFonts w:ascii="Calibri" w:eastAsia="Times New Roman" w:hAnsi="Calibri" w:cs="Calibri"/>
                <w:color w:val="000000"/>
                <w:sz w:val="18"/>
                <w:szCs w:val="18"/>
                <w:lang w:eastAsia="nl-BE"/>
              </w:rPr>
            </w:pPr>
            <w:r w:rsidRPr="00EC5614">
              <w:rPr>
                <w:rFonts w:ascii="Calibri" w:hAnsi="Calibri" w:cs="Calibri"/>
                <w:color w:val="000000"/>
                <w:sz w:val="18"/>
                <w:szCs w:val="18"/>
              </w:rPr>
              <w:t>0,9%</w:t>
            </w:r>
          </w:p>
        </w:tc>
        <w:tc>
          <w:tcPr>
            <w:tcW w:w="367" w:type="pct"/>
            <w:tcBorders>
              <w:top w:val="nil"/>
              <w:left w:val="nil"/>
              <w:bottom w:val="nil"/>
              <w:right w:val="nil"/>
            </w:tcBorders>
            <w:shd w:val="clear" w:color="auto" w:fill="auto"/>
            <w:noWrap/>
            <w:vAlign w:val="center"/>
            <w:hideMark/>
          </w:tcPr>
          <w:p w14:paraId="0B02ACBC" w14:textId="2E9958BC" w:rsidR="00EC5614" w:rsidRPr="00EC5614" w:rsidRDefault="00EC5614" w:rsidP="00EC5614">
            <w:pPr>
              <w:jc w:val="right"/>
              <w:rPr>
                <w:rFonts w:ascii="Calibri" w:eastAsia="Times New Roman" w:hAnsi="Calibri" w:cs="Calibri"/>
                <w:color w:val="000000"/>
                <w:sz w:val="18"/>
                <w:szCs w:val="18"/>
                <w:lang w:eastAsia="nl-BE"/>
              </w:rPr>
            </w:pPr>
            <w:r w:rsidRPr="00EC5614">
              <w:rPr>
                <w:rFonts w:ascii="Calibri" w:hAnsi="Calibri" w:cs="Calibri"/>
                <w:color w:val="000000"/>
                <w:sz w:val="18"/>
                <w:szCs w:val="18"/>
              </w:rPr>
              <w:t>426,1</w:t>
            </w:r>
          </w:p>
        </w:tc>
        <w:tc>
          <w:tcPr>
            <w:tcW w:w="466" w:type="pct"/>
            <w:tcBorders>
              <w:top w:val="nil"/>
              <w:left w:val="single" w:sz="4" w:space="0" w:color="auto"/>
              <w:bottom w:val="nil"/>
              <w:right w:val="single" w:sz="4" w:space="0" w:color="auto"/>
            </w:tcBorders>
            <w:shd w:val="clear" w:color="auto" w:fill="auto"/>
            <w:noWrap/>
            <w:vAlign w:val="center"/>
            <w:hideMark/>
          </w:tcPr>
          <w:p w14:paraId="00A952C9" w14:textId="7F812CD4" w:rsidR="00EC5614" w:rsidRPr="00EC5614" w:rsidRDefault="00EC5614" w:rsidP="00EC5614">
            <w:pPr>
              <w:jc w:val="right"/>
              <w:rPr>
                <w:rFonts w:ascii="Calibri" w:eastAsia="Times New Roman" w:hAnsi="Calibri" w:cs="Calibri"/>
                <w:color w:val="000000"/>
                <w:sz w:val="18"/>
                <w:szCs w:val="18"/>
                <w:lang w:eastAsia="nl-BE"/>
              </w:rPr>
            </w:pPr>
            <w:r w:rsidRPr="00EC5614">
              <w:rPr>
                <w:rFonts w:ascii="Calibri" w:hAnsi="Calibri" w:cs="Calibri"/>
                <w:color w:val="000000"/>
                <w:sz w:val="18"/>
                <w:szCs w:val="18"/>
              </w:rPr>
              <w:t>0,9%</w:t>
            </w:r>
          </w:p>
        </w:tc>
      </w:tr>
      <w:tr w:rsidR="00EC5614" w:rsidRPr="00D9796E" w14:paraId="00176D90" w14:textId="77777777" w:rsidTr="00D9796E">
        <w:trPr>
          <w:trHeight w:val="290"/>
        </w:trPr>
        <w:tc>
          <w:tcPr>
            <w:tcW w:w="1719" w:type="pct"/>
            <w:tcBorders>
              <w:top w:val="nil"/>
              <w:left w:val="single" w:sz="4" w:space="0" w:color="auto"/>
              <w:bottom w:val="nil"/>
              <w:right w:val="nil"/>
            </w:tcBorders>
            <w:shd w:val="clear" w:color="auto" w:fill="auto"/>
            <w:noWrap/>
            <w:vAlign w:val="center"/>
            <w:hideMark/>
          </w:tcPr>
          <w:p w14:paraId="09472676" w14:textId="77777777" w:rsidR="00EC5614" w:rsidRPr="00D9796E" w:rsidRDefault="00EC5614" w:rsidP="00EC5614">
            <w:pPr>
              <w:rPr>
                <w:rFonts w:ascii="Calibri" w:eastAsia="Times New Roman" w:hAnsi="Calibri" w:cs="Calibri"/>
                <w:color w:val="000000"/>
                <w:sz w:val="18"/>
                <w:szCs w:val="18"/>
                <w:lang w:eastAsia="nl-BE"/>
              </w:rPr>
            </w:pPr>
            <w:r w:rsidRPr="00D9796E">
              <w:rPr>
                <w:rFonts w:ascii="Calibri" w:eastAsia="Times New Roman" w:hAnsi="Calibri" w:cs="Calibri"/>
                <w:color w:val="000000"/>
                <w:sz w:val="18"/>
                <w:szCs w:val="18"/>
                <w:lang w:eastAsia="nl-BE"/>
              </w:rPr>
              <w:t>Uitgaven (-)</w:t>
            </w:r>
          </w:p>
        </w:tc>
        <w:tc>
          <w:tcPr>
            <w:tcW w:w="625" w:type="pct"/>
            <w:tcBorders>
              <w:top w:val="nil"/>
              <w:left w:val="single" w:sz="4" w:space="0" w:color="auto"/>
              <w:bottom w:val="nil"/>
              <w:right w:val="single" w:sz="4" w:space="0" w:color="auto"/>
            </w:tcBorders>
            <w:shd w:val="clear" w:color="auto" w:fill="auto"/>
            <w:noWrap/>
            <w:vAlign w:val="center"/>
            <w:hideMark/>
          </w:tcPr>
          <w:p w14:paraId="209D7D06" w14:textId="6EB7A4EB" w:rsidR="00EC5614" w:rsidRPr="00EC5614" w:rsidRDefault="00EC5614" w:rsidP="00EC5614">
            <w:pPr>
              <w:jc w:val="right"/>
              <w:rPr>
                <w:rFonts w:ascii="Calibri" w:eastAsia="Times New Roman" w:hAnsi="Calibri" w:cs="Calibri"/>
                <w:color w:val="000000"/>
                <w:sz w:val="18"/>
                <w:szCs w:val="18"/>
                <w:lang w:eastAsia="nl-BE"/>
              </w:rPr>
            </w:pPr>
            <w:r w:rsidRPr="00EC5614">
              <w:rPr>
                <w:rFonts w:ascii="Calibri" w:hAnsi="Calibri" w:cs="Calibri"/>
                <w:color w:val="000000"/>
                <w:sz w:val="18"/>
                <w:szCs w:val="18"/>
              </w:rPr>
              <w:t>45.338,1</w:t>
            </w:r>
          </w:p>
        </w:tc>
        <w:tc>
          <w:tcPr>
            <w:tcW w:w="469" w:type="pct"/>
            <w:tcBorders>
              <w:top w:val="nil"/>
              <w:left w:val="single" w:sz="4" w:space="0" w:color="auto"/>
              <w:bottom w:val="nil"/>
              <w:right w:val="single" w:sz="4" w:space="0" w:color="auto"/>
            </w:tcBorders>
            <w:shd w:val="clear" w:color="auto" w:fill="auto"/>
            <w:noWrap/>
            <w:vAlign w:val="center"/>
            <w:hideMark/>
          </w:tcPr>
          <w:p w14:paraId="54D21397" w14:textId="7DEFE7F1" w:rsidR="00EC5614" w:rsidRPr="00EC5614" w:rsidRDefault="00EC5614" w:rsidP="00EC5614">
            <w:pPr>
              <w:jc w:val="right"/>
              <w:rPr>
                <w:rFonts w:ascii="Calibri" w:eastAsia="Times New Roman" w:hAnsi="Calibri" w:cs="Calibri"/>
                <w:color w:val="000000"/>
                <w:sz w:val="18"/>
                <w:szCs w:val="18"/>
                <w:lang w:eastAsia="nl-BE"/>
              </w:rPr>
            </w:pPr>
            <w:r w:rsidRPr="00EC5614">
              <w:rPr>
                <w:rFonts w:ascii="Calibri" w:hAnsi="Calibri" w:cs="Calibri"/>
                <w:color w:val="000000"/>
                <w:sz w:val="18"/>
                <w:szCs w:val="18"/>
              </w:rPr>
              <w:t>45.407,6</w:t>
            </w:r>
          </w:p>
        </w:tc>
        <w:tc>
          <w:tcPr>
            <w:tcW w:w="548" w:type="pct"/>
            <w:tcBorders>
              <w:top w:val="nil"/>
              <w:left w:val="nil"/>
              <w:bottom w:val="nil"/>
              <w:right w:val="single" w:sz="4" w:space="0" w:color="auto"/>
            </w:tcBorders>
            <w:shd w:val="clear" w:color="auto" w:fill="auto"/>
            <w:noWrap/>
            <w:vAlign w:val="center"/>
            <w:hideMark/>
          </w:tcPr>
          <w:p w14:paraId="1A465B7A" w14:textId="1E284696" w:rsidR="00EC5614" w:rsidRPr="00EC5614" w:rsidRDefault="00EC5614" w:rsidP="00EC5614">
            <w:pPr>
              <w:jc w:val="right"/>
              <w:rPr>
                <w:rFonts w:ascii="Calibri" w:eastAsia="Times New Roman" w:hAnsi="Calibri" w:cs="Calibri"/>
                <w:color w:val="000000"/>
                <w:sz w:val="18"/>
                <w:szCs w:val="18"/>
                <w:lang w:eastAsia="nl-BE"/>
              </w:rPr>
            </w:pPr>
            <w:r w:rsidRPr="00EC5614">
              <w:rPr>
                <w:rFonts w:ascii="Calibri" w:hAnsi="Calibri" w:cs="Calibri"/>
                <w:color w:val="000000"/>
                <w:sz w:val="18"/>
                <w:szCs w:val="18"/>
              </w:rPr>
              <w:t>45.612,5</w:t>
            </w:r>
          </w:p>
        </w:tc>
        <w:tc>
          <w:tcPr>
            <w:tcW w:w="394" w:type="pct"/>
            <w:tcBorders>
              <w:top w:val="nil"/>
              <w:left w:val="nil"/>
              <w:bottom w:val="nil"/>
              <w:right w:val="single" w:sz="4" w:space="0" w:color="auto"/>
            </w:tcBorders>
            <w:shd w:val="clear" w:color="auto" w:fill="auto"/>
            <w:noWrap/>
            <w:vAlign w:val="center"/>
            <w:hideMark/>
          </w:tcPr>
          <w:p w14:paraId="18302613" w14:textId="52535202" w:rsidR="00EC5614" w:rsidRPr="00EC5614" w:rsidRDefault="00EC5614" w:rsidP="00EC5614">
            <w:pPr>
              <w:jc w:val="right"/>
              <w:rPr>
                <w:rFonts w:ascii="Calibri" w:eastAsia="Times New Roman" w:hAnsi="Calibri" w:cs="Calibri"/>
                <w:color w:val="000000"/>
                <w:sz w:val="18"/>
                <w:szCs w:val="18"/>
                <w:lang w:eastAsia="nl-BE"/>
              </w:rPr>
            </w:pPr>
            <w:r w:rsidRPr="00EC5614">
              <w:rPr>
                <w:rFonts w:ascii="Calibri" w:hAnsi="Calibri" w:cs="Calibri"/>
                <w:color w:val="000000"/>
                <w:sz w:val="18"/>
                <w:szCs w:val="18"/>
              </w:rPr>
              <w:t>274,4</w:t>
            </w:r>
          </w:p>
        </w:tc>
        <w:tc>
          <w:tcPr>
            <w:tcW w:w="412" w:type="pct"/>
            <w:tcBorders>
              <w:top w:val="nil"/>
              <w:left w:val="nil"/>
              <w:bottom w:val="nil"/>
              <w:right w:val="single" w:sz="4" w:space="0" w:color="auto"/>
            </w:tcBorders>
            <w:shd w:val="clear" w:color="auto" w:fill="auto"/>
            <w:noWrap/>
            <w:vAlign w:val="center"/>
            <w:hideMark/>
          </w:tcPr>
          <w:p w14:paraId="0A3156B6" w14:textId="37887C17" w:rsidR="00EC5614" w:rsidRPr="00EC5614" w:rsidRDefault="00EC5614" w:rsidP="00EC5614">
            <w:pPr>
              <w:jc w:val="right"/>
              <w:rPr>
                <w:rFonts w:ascii="Calibri" w:eastAsia="Times New Roman" w:hAnsi="Calibri" w:cs="Calibri"/>
                <w:color w:val="000000"/>
                <w:sz w:val="18"/>
                <w:szCs w:val="18"/>
                <w:lang w:eastAsia="nl-BE"/>
              </w:rPr>
            </w:pPr>
            <w:r w:rsidRPr="00EC5614">
              <w:rPr>
                <w:rFonts w:ascii="Calibri" w:hAnsi="Calibri" w:cs="Calibri"/>
                <w:color w:val="000000"/>
                <w:sz w:val="18"/>
                <w:szCs w:val="18"/>
              </w:rPr>
              <w:t>0,6%</w:t>
            </w:r>
          </w:p>
        </w:tc>
        <w:tc>
          <w:tcPr>
            <w:tcW w:w="367" w:type="pct"/>
            <w:tcBorders>
              <w:top w:val="nil"/>
              <w:left w:val="nil"/>
              <w:bottom w:val="nil"/>
              <w:right w:val="nil"/>
            </w:tcBorders>
            <w:shd w:val="clear" w:color="auto" w:fill="auto"/>
            <w:noWrap/>
            <w:vAlign w:val="center"/>
            <w:hideMark/>
          </w:tcPr>
          <w:p w14:paraId="21D83340" w14:textId="3BAFD6D7" w:rsidR="00EC5614" w:rsidRPr="00EC5614" w:rsidRDefault="00EC5614" w:rsidP="00EC5614">
            <w:pPr>
              <w:jc w:val="right"/>
              <w:rPr>
                <w:rFonts w:ascii="Calibri" w:eastAsia="Times New Roman" w:hAnsi="Calibri" w:cs="Calibri"/>
                <w:color w:val="000000"/>
                <w:sz w:val="18"/>
                <w:szCs w:val="18"/>
                <w:lang w:eastAsia="nl-BE"/>
              </w:rPr>
            </w:pPr>
            <w:r w:rsidRPr="00EC5614">
              <w:rPr>
                <w:rFonts w:ascii="Calibri" w:hAnsi="Calibri" w:cs="Calibri"/>
                <w:color w:val="000000"/>
                <w:sz w:val="18"/>
                <w:szCs w:val="18"/>
              </w:rPr>
              <w:t>204,9</w:t>
            </w:r>
          </w:p>
        </w:tc>
        <w:tc>
          <w:tcPr>
            <w:tcW w:w="466" w:type="pct"/>
            <w:tcBorders>
              <w:top w:val="nil"/>
              <w:left w:val="single" w:sz="4" w:space="0" w:color="auto"/>
              <w:bottom w:val="nil"/>
              <w:right w:val="single" w:sz="4" w:space="0" w:color="auto"/>
            </w:tcBorders>
            <w:shd w:val="clear" w:color="auto" w:fill="auto"/>
            <w:noWrap/>
            <w:vAlign w:val="center"/>
            <w:hideMark/>
          </w:tcPr>
          <w:p w14:paraId="7E32DB63" w14:textId="7FF8AD0D" w:rsidR="00EC5614" w:rsidRPr="00EC5614" w:rsidRDefault="00EC5614" w:rsidP="00EC5614">
            <w:pPr>
              <w:jc w:val="right"/>
              <w:rPr>
                <w:rFonts w:ascii="Calibri" w:eastAsia="Times New Roman" w:hAnsi="Calibri" w:cs="Calibri"/>
                <w:color w:val="000000"/>
                <w:sz w:val="18"/>
                <w:szCs w:val="18"/>
                <w:lang w:eastAsia="nl-BE"/>
              </w:rPr>
            </w:pPr>
            <w:r w:rsidRPr="00EC5614">
              <w:rPr>
                <w:rFonts w:ascii="Calibri" w:hAnsi="Calibri" w:cs="Calibri"/>
                <w:color w:val="000000"/>
                <w:sz w:val="18"/>
                <w:szCs w:val="18"/>
              </w:rPr>
              <w:t>0,5%</w:t>
            </w:r>
          </w:p>
        </w:tc>
      </w:tr>
      <w:tr w:rsidR="00EC5614" w:rsidRPr="00D9796E" w14:paraId="7F89B187" w14:textId="77777777" w:rsidTr="00D9796E">
        <w:trPr>
          <w:trHeight w:val="290"/>
        </w:trPr>
        <w:tc>
          <w:tcPr>
            <w:tcW w:w="1719" w:type="pct"/>
            <w:tcBorders>
              <w:top w:val="nil"/>
              <w:left w:val="single" w:sz="4" w:space="0" w:color="auto"/>
              <w:bottom w:val="nil"/>
              <w:right w:val="nil"/>
            </w:tcBorders>
            <w:shd w:val="clear" w:color="auto" w:fill="auto"/>
            <w:noWrap/>
            <w:vAlign w:val="center"/>
            <w:hideMark/>
          </w:tcPr>
          <w:p w14:paraId="1DD2E5E3" w14:textId="77777777" w:rsidR="00EC5614" w:rsidRPr="00D9796E" w:rsidRDefault="00EC5614" w:rsidP="00EC5614">
            <w:pPr>
              <w:rPr>
                <w:rFonts w:ascii="Calibri" w:eastAsia="Times New Roman" w:hAnsi="Calibri" w:cs="Calibri"/>
                <w:color w:val="000000"/>
                <w:sz w:val="18"/>
                <w:szCs w:val="18"/>
                <w:lang w:eastAsia="nl-BE"/>
              </w:rPr>
            </w:pPr>
            <w:r w:rsidRPr="00D9796E">
              <w:rPr>
                <w:rFonts w:ascii="Calibri" w:eastAsia="Times New Roman" w:hAnsi="Calibri" w:cs="Calibri"/>
                <w:color w:val="000000"/>
                <w:sz w:val="18"/>
                <w:szCs w:val="18"/>
                <w:lang w:eastAsia="nl-BE"/>
              </w:rPr>
              <w:t>ESR Correcties (+)</w:t>
            </w:r>
          </w:p>
        </w:tc>
        <w:tc>
          <w:tcPr>
            <w:tcW w:w="625" w:type="pct"/>
            <w:tcBorders>
              <w:top w:val="nil"/>
              <w:left w:val="single" w:sz="4" w:space="0" w:color="auto"/>
              <w:bottom w:val="nil"/>
              <w:right w:val="single" w:sz="4" w:space="0" w:color="auto"/>
            </w:tcBorders>
            <w:shd w:val="clear" w:color="auto" w:fill="auto"/>
            <w:noWrap/>
            <w:vAlign w:val="center"/>
            <w:hideMark/>
          </w:tcPr>
          <w:p w14:paraId="63C65BAD" w14:textId="4E210239" w:rsidR="00EC5614" w:rsidRPr="00EC5614" w:rsidRDefault="00EC5614" w:rsidP="00EC5614">
            <w:pPr>
              <w:jc w:val="right"/>
              <w:rPr>
                <w:rFonts w:ascii="Calibri" w:eastAsia="Times New Roman" w:hAnsi="Calibri" w:cs="Calibri"/>
                <w:color w:val="000000"/>
                <w:sz w:val="18"/>
                <w:szCs w:val="18"/>
                <w:lang w:eastAsia="nl-BE"/>
              </w:rPr>
            </w:pPr>
            <w:r w:rsidRPr="00EC5614">
              <w:rPr>
                <w:rFonts w:ascii="Calibri" w:hAnsi="Calibri" w:cs="Calibri"/>
                <w:color w:val="000000"/>
                <w:sz w:val="18"/>
                <w:szCs w:val="18"/>
              </w:rPr>
              <w:t>288,9</w:t>
            </w:r>
          </w:p>
        </w:tc>
        <w:tc>
          <w:tcPr>
            <w:tcW w:w="469" w:type="pct"/>
            <w:tcBorders>
              <w:top w:val="nil"/>
              <w:left w:val="single" w:sz="4" w:space="0" w:color="auto"/>
              <w:bottom w:val="nil"/>
              <w:right w:val="single" w:sz="4" w:space="0" w:color="auto"/>
            </w:tcBorders>
            <w:shd w:val="clear" w:color="auto" w:fill="auto"/>
            <w:noWrap/>
            <w:vAlign w:val="center"/>
            <w:hideMark/>
          </w:tcPr>
          <w:p w14:paraId="4BB7E5CC" w14:textId="516BFD52" w:rsidR="00EC5614" w:rsidRPr="00EC5614" w:rsidRDefault="00EC5614" w:rsidP="00EC5614">
            <w:pPr>
              <w:jc w:val="right"/>
              <w:rPr>
                <w:rFonts w:ascii="Calibri" w:eastAsia="Times New Roman" w:hAnsi="Calibri" w:cs="Calibri"/>
                <w:color w:val="000000"/>
                <w:sz w:val="18"/>
                <w:szCs w:val="18"/>
                <w:lang w:eastAsia="nl-BE"/>
              </w:rPr>
            </w:pPr>
            <w:r w:rsidRPr="00EC5614">
              <w:rPr>
                <w:rFonts w:ascii="Calibri" w:hAnsi="Calibri" w:cs="Calibri"/>
                <w:color w:val="000000"/>
                <w:sz w:val="18"/>
                <w:szCs w:val="18"/>
              </w:rPr>
              <w:t>296,5</w:t>
            </w:r>
          </w:p>
        </w:tc>
        <w:tc>
          <w:tcPr>
            <w:tcW w:w="548" w:type="pct"/>
            <w:tcBorders>
              <w:top w:val="nil"/>
              <w:left w:val="nil"/>
              <w:bottom w:val="nil"/>
              <w:right w:val="single" w:sz="4" w:space="0" w:color="auto"/>
            </w:tcBorders>
            <w:shd w:val="clear" w:color="auto" w:fill="auto"/>
            <w:noWrap/>
            <w:vAlign w:val="center"/>
            <w:hideMark/>
          </w:tcPr>
          <w:p w14:paraId="68F796CD" w14:textId="1A1F41BF" w:rsidR="00EC5614" w:rsidRPr="00EC5614" w:rsidRDefault="00EC5614" w:rsidP="00EC5614">
            <w:pPr>
              <w:jc w:val="right"/>
              <w:rPr>
                <w:rFonts w:ascii="Calibri" w:eastAsia="Times New Roman" w:hAnsi="Calibri" w:cs="Calibri"/>
                <w:color w:val="000000"/>
                <w:sz w:val="18"/>
                <w:szCs w:val="18"/>
                <w:lang w:eastAsia="nl-BE"/>
              </w:rPr>
            </w:pPr>
            <w:r w:rsidRPr="00EC5614">
              <w:rPr>
                <w:rFonts w:ascii="Calibri" w:hAnsi="Calibri" w:cs="Calibri"/>
                <w:color w:val="000000"/>
                <w:sz w:val="18"/>
                <w:szCs w:val="18"/>
              </w:rPr>
              <w:t>295,9</w:t>
            </w:r>
          </w:p>
        </w:tc>
        <w:tc>
          <w:tcPr>
            <w:tcW w:w="394" w:type="pct"/>
            <w:tcBorders>
              <w:top w:val="nil"/>
              <w:left w:val="nil"/>
              <w:bottom w:val="single" w:sz="4" w:space="0" w:color="auto"/>
              <w:right w:val="single" w:sz="4" w:space="0" w:color="auto"/>
            </w:tcBorders>
            <w:shd w:val="clear" w:color="auto" w:fill="auto"/>
            <w:noWrap/>
            <w:vAlign w:val="center"/>
            <w:hideMark/>
          </w:tcPr>
          <w:p w14:paraId="7D61328D" w14:textId="33C65636" w:rsidR="00EC5614" w:rsidRPr="00EC5614" w:rsidRDefault="00EC5614" w:rsidP="00EC5614">
            <w:pPr>
              <w:jc w:val="right"/>
              <w:rPr>
                <w:rFonts w:ascii="Calibri" w:eastAsia="Times New Roman" w:hAnsi="Calibri" w:cs="Calibri"/>
                <w:color w:val="000000"/>
                <w:sz w:val="18"/>
                <w:szCs w:val="18"/>
                <w:lang w:eastAsia="nl-BE"/>
              </w:rPr>
            </w:pPr>
            <w:r w:rsidRPr="00EC5614">
              <w:rPr>
                <w:rFonts w:ascii="Calibri" w:hAnsi="Calibri" w:cs="Calibri"/>
                <w:color w:val="000000"/>
                <w:sz w:val="18"/>
                <w:szCs w:val="18"/>
              </w:rPr>
              <w:t>7,0</w:t>
            </w:r>
          </w:p>
        </w:tc>
        <w:tc>
          <w:tcPr>
            <w:tcW w:w="412" w:type="pct"/>
            <w:tcBorders>
              <w:top w:val="nil"/>
              <w:left w:val="nil"/>
              <w:bottom w:val="single" w:sz="4" w:space="0" w:color="auto"/>
              <w:right w:val="single" w:sz="4" w:space="0" w:color="auto"/>
            </w:tcBorders>
            <w:shd w:val="clear" w:color="auto" w:fill="auto"/>
            <w:noWrap/>
            <w:vAlign w:val="center"/>
            <w:hideMark/>
          </w:tcPr>
          <w:p w14:paraId="14DD43A3" w14:textId="4AAEF913" w:rsidR="00EC5614" w:rsidRPr="00EC5614" w:rsidRDefault="00EC5614" w:rsidP="00EC5614">
            <w:pPr>
              <w:jc w:val="right"/>
              <w:rPr>
                <w:rFonts w:ascii="Calibri" w:eastAsia="Times New Roman" w:hAnsi="Calibri" w:cs="Calibri"/>
                <w:color w:val="000000"/>
                <w:sz w:val="18"/>
                <w:szCs w:val="18"/>
                <w:lang w:eastAsia="nl-BE"/>
              </w:rPr>
            </w:pPr>
            <w:r w:rsidRPr="00EC5614">
              <w:rPr>
                <w:rFonts w:ascii="Calibri" w:hAnsi="Calibri" w:cs="Calibri"/>
                <w:color w:val="000000"/>
                <w:sz w:val="18"/>
                <w:szCs w:val="18"/>
              </w:rPr>
              <w:t>2,4%</w:t>
            </w:r>
          </w:p>
        </w:tc>
        <w:tc>
          <w:tcPr>
            <w:tcW w:w="367" w:type="pct"/>
            <w:tcBorders>
              <w:top w:val="nil"/>
              <w:left w:val="nil"/>
              <w:bottom w:val="single" w:sz="4" w:space="0" w:color="auto"/>
              <w:right w:val="nil"/>
            </w:tcBorders>
            <w:shd w:val="clear" w:color="auto" w:fill="auto"/>
            <w:noWrap/>
            <w:vAlign w:val="center"/>
            <w:hideMark/>
          </w:tcPr>
          <w:p w14:paraId="077873CC" w14:textId="5BC1BE3B" w:rsidR="00EC5614" w:rsidRPr="00EC5614" w:rsidRDefault="00EC5614" w:rsidP="00EC5614">
            <w:pPr>
              <w:jc w:val="right"/>
              <w:rPr>
                <w:rFonts w:ascii="Calibri" w:eastAsia="Times New Roman" w:hAnsi="Calibri" w:cs="Calibri"/>
                <w:color w:val="000000"/>
                <w:sz w:val="18"/>
                <w:szCs w:val="18"/>
                <w:lang w:eastAsia="nl-BE"/>
              </w:rPr>
            </w:pPr>
            <w:r w:rsidRPr="00EC5614">
              <w:rPr>
                <w:rFonts w:ascii="Calibri" w:hAnsi="Calibri" w:cs="Calibri"/>
                <w:color w:val="000000"/>
                <w:sz w:val="18"/>
                <w:szCs w:val="18"/>
              </w:rPr>
              <w:t>-0,6</w:t>
            </w:r>
          </w:p>
        </w:tc>
        <w:tc>
          <w:tcPr>
            <w:tcW w:w="466" w:type="pct"/>
            <w:tcBorders>
              <w:top w:val="nil"/>
              <w:left w:val="single" w:sz="4" w:space="0" w:color="auto"/>
              <w:bottom w:val="single" w:sz="4" w:space="0" w:color="auto"/>
              <w:right w:val="single" w:sz="4" w:space="0" w:color="auto"/>
            </w:tcBorders>
            <w:shd w:val="clear" w:color="auto" w:fill="auto"/>
            <w:noWrap/>
            <w:vAlign w:val="center"/>
            <w:hideMark/>
          </w:tcPr>
          <w:p w14:paraId="32FF19B3" w14:textId="0115C4EF" w:rsidR="00EC5614" w:rsidRPr="00EC5614" w:rsidRDefault="00EC5614" w:rsidP="00EC5614">
            <w:pPr>
              <w:jc w:val="right"/>
              <w:rPr>
                <w:rFonts w:ascii="Calibri" w:eastAsia="Times New Roman" w:hAnsi="Calibri" w:cs="Calibri"/>
                <w:color w:val="000000"/>
                <w:sz w:val="18"/>
                <w:szCs w:val="18"/>
                <w:lang w:eastAsia="nl-BE"/>
              </w:rPr>
            </w:pPr>
            <w:r w:rsidRPr="00EC5614">
              <w:rPr>
                <w:rFonts w:ascii="Calibri" w:hAnsi="Calibri" w:cs="Calibri"/>
                <w:color w:val="000000"/>
                <w:sz w:val="18"/>
                <w:szCs w:val="18"/>
              </w:rPr>
              <w:t>-0,2%</w:t>
            </w:r>
          </w:p>
        </w:tc>
      </w:tr>
      <w:tr w:rsidR="00EC5614" w:rsidRPr="00D9796E" w14:paraId="4FC3EBE0" w14:textId="77777777" w:rsidTr="00D9796E">
        <w:trPr>
          <w:trHeight w:val="290"/>
        </w:trPr>
        <w:tc>
          <w:tcPr>
            <w:tcW w:w="1719" w:type="pct"/>
            <w:tcBorders>
              <w:top w:val="single" w:sz="4" w:space="0" w:color="auto"/>
              <w:left w:val="single" w:sz="4" w:space="0" w:color="auto"/>
              <w:bottom w:val="nil"/>
              <w:right w:val="nil"/>
            </w:tcBorders>
            <w:shd w:val="clear" w:color="auto" w:fill="auto"/>
            <w:noWrap/>
            <w:vAlign w:val="center"/>
            <w:hideMark/>
          </w:tcPr>
          <w:p w14:paraId="606C8F83" w14:textId="77777777" w:rsidR="00EC5614" w:rsidRPr="00D9796E" w:rsidRDefault="00EC5614" w:rsidP="00EC5614">
            <w:pPr>
              <w:rPr>
                <w:rFonts w:ascii="Calibri" w:eastAsia="Times New Roman" w:hAnsi="Calibri" w:cs="Calibri"/>
                <w:b/>
                <w:bCs/>
                <w:color w:val="000000"/>
                <w:sz w:val="18"/>
                <w:szCs w:val="18"/>
                <w:lang w:eastAsia="nl-BE"/>
              </w:rPr>
            </w:pPr>
            <w:r w:rsidRPr="00D9796E">
              <w:rPr>
                <w:rFonts w:ascii="Calibri" w:eastAsia="Times New Roman" w:hAnsi="Calibri" w:cs="Calibri"/>
                <w:b/>
                <w:bCs/>
                <w:color w:val="000000"/>
                <w:sz w:val="18"/>
                <w:szCs w:val="18"/>
                <w:lang w:eastAsia="nl-BE"/>
              </w:rPr>
              <w:t>VS</w:t>
            </w:r>
          </w:p>
        </w:tc>
        <w:tc>
          <w:tcPr>
            <w:tcW w:w="625" w:type="pct"/>
            <w:tcBorders>
              <w:top w:val="single" w:sz="4" w:space="0" w:color="auto"/>
              <w:left w:val="single" w:sz="4" w:space="0" w:color="auto"/>
              <w:bottom w:val="nil"/>
              <w:right w:val="single" w:sz="4" w:space="0" w:color="auto"/>
            </w:tcBorders>
            <w:shd w:val="clear" w:color="auto" w:fill="auto"/>
            <w:noWrap/>
            <w:vAlign w:val="center"/>
            <w:hideMark/>
          </w:tcPr>
          <w:p w14:paraId="565128BB" w14:textId="55550814" w:rsidR="00EC5614" w:rsidRPr="00EC5614" w:rsidRDefault="00EC5614" w:rsidP="00EC5614">
            <w:pPr>
              <w:jc w:val="right"/>
              <w:rPr>
                <w:rFonts w:ascii="Calibri" w:eastAsia="Times New Roman" w:hAnsi="Calibri" w:cs="Calibri"/>
                <w:b/>
                <w:bCs/>
                <w:color w:val="000000"/>
                <w:sz w:val="18"/>
                <w:szCs w:val="18"/>
                <w:lang w:eastAsia="nl-BE"/>
              </w:rPr>
            </w:pPr>
            <w:r w:rsidRPr="00EC5614">
              <w:rPr>
                <w:rFonts w:ascii="Calibri" w:hAnsi="Calibri" w:cs="Calibri"/>
                <w:b/>
                <w:bCs/>
                <w:color w:val="000000"/>
                <w:sz w:val="18"/>
                <w:szCs w:val="18"/>
              </w:rPr>
              <w:t>81,3</w:t>
            </w:r>
          </w:p>
        </w:tc>
        <w:tc>
          <w:tcPr>
            <w:tcW w:w="469" w:type="pct"/>
            <w:tcBorders>
              <w:top w:val="single" w:sz="4" w:space="0" w:color="auto"/>
              <w:left w:val="single" w:sz="4" w:space="0" w:color="auto"/>
              <w:bottom w:val="nil"/>
              <w:right w:val="single" w:sz="4" w:space="0" w:color="auto"/>
            </w:tcBorders>
            <w:shd w:val="clear" w:color="auto" w:fill="auto"/>
            <w:noWrap/>
            <w:vAlign w:val="center"/>
            <w:hideMark/>
          </w:tcPr>
          <w:p w14:paraId="02948081" w14:textId="0A324949" w:rsidR="00EC5614" w:rsidRPr="00EC5614" w:rsidRDefault="00EC5614" w:rsidP="00EC5614">
            <w:pPr>
              <w:jc w:val="right"/>
              <w:rPr>
                <w:rFonts w:ascii="Calibri" w:eastAsia="Times New Roman" w:hAnsi="Calibri" w:cs="Calibri"/>
                <w:b/>
                <w:bCs/>
                <w:color w:val="000000"/>
                <w:sz w:val="18"/>
                <w:szCs w:val="18"/>
                <w:lang w:eastAsia="nl-BE"/>
              </w:rPr>
            </w:pPr>
            <w:r w:rsidRPr="00EC5614">
              <w:rPr>
                <w:rFonts w:ascii="Calibri" w:hAnsi="Calibri" w:cs="Calibri"/>
                <w:b/>
                <w:bCs/>
                <w:color w:val="000000"/>
                <w:sz w:val="18"/>
                <w:szCs w:val="18"/>
              </w:rPr>
              <w:t>-7,2</w:t>
            </w:r>
          </w:p>
        </w:tc>
        <w:tc>
          <w:tcPr>
            <w:tcW w:w="548" w:type="pct"/>
            <w:tcBorders>
              <w:top w:val="single" w:sz="4" w:space="0" w:color="auto"/>
              <w:left w:val="nil"/>
              <w:bottom w:val="nil"/>
              <w:right w:val="single" w:sz="4" w:space="0" w:color="auto"/>
            </w:tcBorders>
            <w:shd w:val="clear" w:color="auto" w:fill="auto"/>
            <w:noWrap/>
            <w:vAlign w:val="center"/>
            <w:hideMark/>
          </w:tcPr>
          <w:p w14:paraId="16127DED" w14:textId="0BA3C419" w:rsidR="00EC5614" w:rsidRPr="00EC5614" w:rsidRDefault="00EC5614" w:rsidP="00EC5614">
            <w:pPr>
              <w:jc w:val="right"/>
              <w:rPr>
                <w:rFonts w:ascii="Calibri" w:eastAsia="Times New Roman" w:hAnsi="Calibri" w:cs="Calibri"/>
                <w:b/>
                <w:bCs/>
                <w:color w:val="000000"/>
                <w:sz w:val="18"/>
                <w:szCs w:val="18"/>
                <w:lang w:eastAsia="nl-BE"/>
              </w:rPr>
            </w:pPr>
            <w:r w:rsidRPr="00EC5614">
              <w:rPr>
                <w:rFonts w:ascii="Calibri" w:hAnsi="Calibri" w:cs="Calibri"/>
                <w:b/>
                <w:bCs/>
                <w:color w:val="000000"/>
                <w:sz w:val="18"/>
                <w:szCs w:val="18"/>
              </w:rPr>
              <w:t>213,3</w:t>
            </w:r>
          </w:p>
        </w:tc>
        <w:tc>
          <w:tcPr>
            <w:tcW w:w="394" w:type="pct"/>
            <w:tcBorders>
              <w:top w:val="nil"/>
              <w:left w:val="nil"/>
              <w:bottom w:val="single" w:sz="4" w:space="0" w:color="auto"/>
              <w:right w:val="single" w:sz="4" w:space="0" w:color="auto"/>
            </w:tcBorders>
            <w:shd w:val="clear" w:color="auto" w:fill="auto"/>
            <w:noWrap/>
            <w:vAlign w:val="center"/>
            <w:hideMark/>
          </w:tcPr>
          <w:p w14:paraId="5E75B541" w14:textId="2AC0518F" w:rsidR="00EC5614" w:rsidRPr="00EC5614" w:rsidRDefault="00EC5614" w:rsidP="00EC5614">
            <w:pPr>
              <w:jc w:val="right"/>
              <w:rPr>
                <w:rFonts w:ascii="Calibri" w:eastAsia="Times New Roman" w:hAnsi="Calibri" w:cs="Calibri"/>
                <w:b/>
                <w:bCs/>
                <w:color w:val="000000"/>
                <w:sz w:val="18"/>
                <w:szCs w:val="18"/>
                <w:lang w:eastAsia="nl-BE"/>
              </w:rPr>
            </w:pPr>
            <w:r w:rsidRPr="00EC5614">
              <w:rPr>
                <w:rFonts w:ascii="Calibri" w:hAnsi="Calibri" w:cs="Calibri"/>
                <w:b/>
                <w:bCs/>
                <w:color w:val="000000"/>
                <w:sz w:val="18"/>
                <w:szCs w:val="18"/>
              </w:rPr>
              <w:t>132,0</w:t>
            </w:r>
          </w:p>
        </w:tc>
        <w:tc>
          <w:tcPr>
            <w:tcW w:w="412" w:type="pct"/>
            <w:tcBorders>
              <w:top w:val="nil"/>
              <w:left w:val="nil"/>
              <w:bottom w:val="single" w:sz="4" w:space="0" w:color="auto"/>
              <w:right w:val="single" w:sz="4" w:space="0" w:color="auto"/>
            </w:tcBorders>
            <w:shd w:val="clear" w:color="auto" w:fill="auto"/>
            <w:noWrap/>
            <w:vAlign w:val="center"/>
            <w:hideMark/>
          </w:tcPr>
          <w:p w14:paraId="64B76C62" w14:textId="071B3066" w:rsidR="00EC5614" w:rsidRPr="00EC5614" w:rsidRDefault="00EC5614" w:rsidP="00EC5614">
            <w:pPr>
              <w:jc w:val="right"/>
              <w:rPr>
                <w:rFonts w:ascii="Calibri" w:eastAsia="Times New Roman" w:hAnsi="Calibri" w:cs="Calibri"/>
                <w:b/>
                <w:bCs/>
                <w:color w:val="000000"/>
                <w:sz w:val="18"/>
                <w:szCs w:val="18"/>
                <w:lang w:eastAsia="nl-BE"/>
              </w:rPr>
            </w:pPr>
            <w:r w:rsidRPr="00EC5614">
              <w:rPr>
                <w:rFonts w:ascii="Calibri" w:hAnsi="Calibri" w:cs="Calibri"/>
                <w:b/>
                <w:bCs/>
                <w:color w:val="000000"/>
                <w:sz w:val="18"/>
                <w:szCs w:val="18"/>
              </w:rPr>
              <w:t>162,5%</w:t>
            </w:r>
          </w:p>
        </w:tc>
        <w:tc>
          <w:tcPr>
            <w:tcW w:w="367" w:type="pct"/>
            <w:tcBorders>
              <w:top w:val="nil"/>
              <w:left w:val="nil"/>
              <w:bottom w:val="single" w:sz="4" w:space="0" w:color="auto"/>
              <w:right w:val="nil"/>
            </w:tcBorders>
            <w:shd w:val="clear" w:color="auto" w:fill="auto"/>
            <w:noWrap/>
            <w:vAlign w:val="center"/>
            <w:hideMark/>
          </w:tcPr>
          <w:p w14:paraId="6BC5C969" w14:textId="10D5E218" w:rsidR="00EC5614" w:rsidRPr="00EC5614" w:rsidRDefault="00EC5614" w:rsidP="00EC5614">
            <w:pPr>
              <w:jc w:val="right"/>
              <w:rPr>
                <w:rFonts w:ascii="Calibri" w:eastAsia="Times New Roman" w:hAnsi="Calibri" w:cs="Calibri"/>
                <w:b/>
                <w:bCs/>
                <w:color w:val="000000"/>
                <w:sz w:val="18"/>
                <w:szCs w:val="18"/>
                <w:lang w:eastAsia="nl-BE"/>
              </w:rPr>
            </w:pPr>
            <w:r w:rsidRPr="00EC5614">
              <w:rPr>
                <w:rFonts w:ascii="Calibri" w:hAnsi="Calibri" w:cs="Calibri"/>
                <w:b/>
                <w:bCs/>
                <w:color w:val="000000"/>
                <w:sz w:val="18"/>
                <w:szCs w:val="18"/>
              </w:rPr>
              <w:t>220,5</w:t>
            </w:r>
          </w:p>
        </w:tc>
        <w:tc>
          <w:tcPr>
            <w:tcW w:w="466" w:type="pct"/>
            <w:tcBorders>
              <w:top w:val="nil"/>
              <w:left w:val="single" w:sz="4" w:space="0" w:color="auto"/>
              <w:bottom w:val="single" w:sz="4" w:space="0" w:color="auto"/>
              <w:right w:val="single" w:sz="4" w:space="0" w:color="auto"/>
            </w:tcBorders>
            <w:shd w:val="clear" w:color="auto" w:fill="auto"/>
            <w:noWrap/>
            <w:vAlign w:val="center"/>
            <w:hideMark/>
          </w:tcPr>
          <w:p w14:paraId="1DCCAADF" w14:textId="17CB8C74" w:rsidR="00EC5614" w:rsidRPr="00EC5614" w:rsidRDefault="00EC5614" w:rsidP="00EC5614">
            <w:pPr>
              <w:jc w:val="right"/>
              <w:rPr>
                <w:rFonts w:ascii="Calibri" w:eastAsia="Times New Roman" w:hAnsi="Calibri" w:cs="Calibri"/>
                <w:b/>
                <w:bCs/>
                <w:color w:val="000000"/>
                <w:sz w:val="18"/>
                <w:szCs w:val="18"/>
                <w:lang w:eastAsia="nl-BE"/>
              </w:rPr>
            </w:pPr>
            <w:r w:rsidRPr="00EC5614">
              <w:rPr>
                <w:rFonts w:ascii="Calibri" w:hAnsi="Calibri" w:cs="Calibri"/>
                <w:b/>
                <w:bCs/>
                <w:color w:val="000000"/>
                <w:sz w:val="18"/>
                <w:szCs w:val="18"/>
              </w:rPr>
              <w:t>-3042,0%</w:t>
            </w:r>
          </w:p>
        </w:tc>
      </w:tr>
      <w:tr w:rsidR="00EC5614" w:rsidRPr="00D9796E" w14:paraId="6DC5DE0A" w14:textId="77777777" w:rsidTr="00D9796E">
        <w:trPr>
          <w:trHeight w:val="290"/>
        </w:trPr>
        <w:tc>
          <w:tcPr>
            <w:tcW w:w="17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3CD96D" w14:textId="29430F94" w:rsidR="00EC5614" w:rsidRPr="00D9796E" w:rsidRDefault="00EC5614" w:rsidP="00EC5614">
            <w:pPr>
              <w:rPr>
                <w:rFonts w:ascii="Calibri" w:eastAsia="Times New Roman" w:hAnsi="Calibri" w:cs="Calibri"/>
                <w:color w:val="000000"/>
                <w:sz w:val="18"/>
                <w:szCs w:val="18"/>
                <w:lang w:eastAsia="nl-BE"/>
              </w:rPr>
            </w:pPr>
            <w:r w:rsidRPr="00D9796E">
              <w:rPr>
                <w:rFonts w:ascii="Calibri" w:eastAsia="Times New Roman" w:hAnsi="Calibri" w:cs="Calibri"/>
                <w:color w:val="000000"/>
                <w:sz w:val="18"/>
                <w:szCs w:val="18"/>
                <w:lang w:eastAsia="nl-BE"/>
              </w:rPr>
              <w:t>Correcties voor aftoetsing begrotingdoelstelling</w:t>
            </w:r>
            <w:r>
              <w:rPr>
                <w:rFonts w:ascii="Calibri" w:eastAsia="Times New Roman" w:hAnsi="Calibri" w:cs="Calibri"/>
                <w:color w:val="000000"/>
                <w:sz w:val="18"/>
                <w:szCs w:val="18"/>
                <w:lang w:eastAsia="nl-BE"/>
              </w:rPr>
              <w:t>*</w:t>
            </w:r>
            <w:r w:rsidRPr="00D9796E">
              <w:rPr>
                <w:rFonts w:ascii="Calibri" w:eastAsia="Times New Roman" w:hAnsi="Calibri" w:cs="Calibri"/>
                <w:color w:val="000000"/>
                <w:sz w:val="18"/>
                <w:szCs w:val="18"/>
                <w:lang w:eastAsia="nl-BE"/>
              </w:rPr>
              <w:t xml:space="preserve"> </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B8E4DD" w14:textId="561AC389" w:rsidR="00EC5614" w:rsidRPr="00EC5614" w:rsidRDefault="00EC5614" w:rsidP="00EC5614">
            <w:pPr>
              <w:jc w:val="right"/>
              <w:rPr>
                <w:rFonts w:ascii="Calibri" w:eastAsia="Times New Roman" w:hAnsi="Calibri" w:cs="Calibri"/>
                <w:color w:val="000000"/>
                <w:sz w:val="18"/>
                <w:szCs w:val="18"/>
                <w:lang w:eastAsia="nl-BE"/>
              </w:rPr>
            </w:pPr>
            <w:r w:rsidRPr="00EC5614">
              <w:rPr>
                <w:rFonts w:ascii="Calibri" w:hAnsi="Calibri" w:cs="Calibri"/>
                <w:color w:val="000000"/>
                <w:sz w:val="18"/>
                <w:szCs w:val="18"/>
              </w:rPr>
              <w:t>72,9</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30BFD7" w14:textId="440F1112" w:rsidR="00EC5614" w:rsidRPr="00EC5614" w:rsidRDefault="00EC5614" w:rsidP="00EC5614">
            <w:pPr>
              <w:jc w:val="right"/>
              <w:rPr>
                <w:rFonts w:ascii="Calibri" w:eastAsia="Times New Roman" w:hAnsi="Calibri" w:cs="Calibri"/>
                <w:color w:val="000000"/>
                <w:sz w:val="18"/>
                <w:szCs w:val="18"/>
                <w:lang w:eastAsia="nl-BE"/>
              </w:rPr>
            </w:pPr>
            <w:r w:rsidRPr="00EC5614">
              <w:rPr>
                <w:rFonts w:ascii="Calibri" w:hAnsi="Calibri" w:cs="Calibri"/>
                <w:color w:val="000000"/>
                <w:sz w:val="18"/>
                <w:szCs w:val="18"/>
              </w:rPr>
              <w:t>57,0</w:t>
            </w:r>
          </w:p>
        </w:tc>
        <w:tc>
          <w:tcPr>
            <w:tcW w:w="548" w:type="pct"/>
            <w:tcBorders>
              <w:top w:val="single" w:sz="4" w:space="0" w:color="auto"/>
              <w:left w:val="nil"/>
              <w:bottom w:val="single" w:sz="4" w:space="0" w:color="auto"/>
              <w:right w:val="single" w:sz="4" w:space="0" w:color="auto"/>
            </w:tcBorders>
            <w:shd w:val="clear" w:color="auto" w:fill="auto"/>
            <w:noWrap/>
            <w:vAlign w:val="center"/>
            <w:hideMark/>
          </w:tcPr>
          <w:p w14:paraId="5D3C4E81" w14:textId="7A77EC1A" w:rsidR="00EC5614" w:rsidRPr="00EC5614" w:rsidRDefault="00EC5614" w:rsidP="00EC5614">
            <w:pPr>
              <w:jc w:val="right"/>
              <w:rPr>
                <w:rFonts w:ascii="Calibri" w:eastAsia="Times New Roman" w:hAnsi="Calibri" w:cs="Calibri"/>
                <w:color w:val="000000"/>
                <w:sz w:val="18"/>
                <w:szCs w:val="18"/>
                <w:lang w:eastAsia="nl-BE"/>
              </w:rPr>
            </w:pPr>
            <w:r w:rsidRPr="00EC5614">
              <w:rPr>
                <w:rFonts w:ascii="Calibri" w:hAnsi="Calibri" w:cs="Calibri"/>
                <w:color w:val="000000"/>
                <w:sz w:val="18"/>
                <w:szCs w:val="18"/>
              </w:rPr>
              <w:t>62,6</w:t>
            </w:r>
          </w:p>
        </w:tc>
        <w:tc>
          <w:tcPr>
            <w:tcW w:w="394" w:type="pct"/>
            <w:tcBorders>
              <w:top w:val="nil"/>
              <w:left w:val="nil"/>
              <w:bottom w:val="single" w:sz="4" w:space="0" w:color="auto"/>
              <w:right w:val="single" w:sz="4" w:space="0" w:color="auto"/>
            </w:tcBorders>
            <w:shd w:val="clear" w:color="auto" w:fill="auto"/>
            <w:noWrap/>
            <w:vAlign w:val="center"/>
            <w:hideMark/>
          </w:tcPr>
          <w:p w14:paraId="6D9C9BED" w14:textId="3441565E" w:rsidR="00EC5614" w:rsidRPr="00EC5614" w:rsidRDefault="00EC5614" w:rsidP="00EC5614">
            <w:pPr>
              <w:jc w:val="right"/>
              <w:rPr>
                <w:rFonts w:ascii="Calibri" w:eastAsia="Times New Roman" w:hAnsi="Calibri" w:cs="Calibri"/>
                <w:color w:val="000000"/>
                <w:sz w:val="18"/>
                <w:szCs w:val="18"/>
                <w:lang w:eastAsia="nl-BE"/>
              </w:rPr>
            </w:pPr>
            <w:r w:rsidRPr="00EC5614">
              <w:rPr>
                <w:rFonts w:ascii="Calibri" w:hAnsi="Calibri" w:cs="Calibri"/>
                <w:color w:val="000000"/>
                <w:sz w:val="18"/>
                <w:szCs w:val="18"/>
              </w:rPr>
              <w:t>-10,3</w:t>
            </w:r>
          </w:p>
        </w:tc>
        <w:tc>
          <w:tcPr>
            <w:tcW w:w="412" w:type="pct"/>
            <w:tcBorders>
              <w:top w:val="nil"/>
              <w:left w:val="nil"/>
              <w:bottom w:val="single" w:sz="4" w:space="0" w:color="auto"/>
              <w:right w:val="single" w:sz="4" w:space="0" w:color="auto"/>
            </w:tcBorders>
            <w:shd w:val="clear" w:color="auto" w:fill="auto"/>
            <w:noWrap/>
            <w:vAlign w:val="center"/>
            <w:hideMark/>
          </w:tcPr>
          <w:p w14:paraId="2C16D6F9" w14:textId="60404017" w:rsidR="00EC5614" w:rsidRPr="00EC5614" w:rsidRDefault="00EC5614" w:rsidP="00EC5614">
            <w:pPr>
              <w:jc w:val="right"/>
              <w:rPr>
                <w:rFonts w:ascii="Calibri" w:eastAsia="Times New Roman" w:hAnsi="Calibri" w:cs="Calibri"/>
                <w:color w:val="000000"/>
                <w:sz w:val="18"/>
                <w:szCs w:val="18"/>
                <w:lang w:eastAsia="nl-BE"/>
              </w:rPr>
            </w:pPr>
            <w:r w:rsidRPr="00EC5614">
              <w:rPr>
                <w:rFonts w:ascii="Calibri" w:hAnsi="Calibri" w:cs="Calibri"/>
                <w:color w:val="000000"/>
                <w:sz w:val="18"/>
                <w:szCs w:val="18"/>
              </w:rPr>
              <w:t>-14,1%</w:t>
            </w:r>
          </w:p>
        </w:tc>
        <w:tc>
          <w:tcPr>
            <w:tcW w:w="367" w:type="pct"/>
            <w:tcBorders>
              <w:top w:val="nil"/>
              <w:left w:val="nil"/>
              <w:bottom w:val="single" w:sz="4" w:space="0" w:color="auto"/>
              <w:right w:val="nil"/>
            </w:tcBorders>
            <w:shd w:val="clear" w:color="auto" w:fill="auto"/>
            <w:noWrap/>
            <w:vAlign w:val="center"/>
            <w:hideMark/>
          </w:tcPr>
          <w:p w14:paraId="0341DC50" w14:textId="2021E77F" w:rsidR="00EC5614" w:rsidRPr="00EC5614" w:rsidRDefault="00EC5614" w:rsidP="00EC5614">
            <w:pPr>
              <w:jc w:val="right"/>
              <w:rPr>
                <w:rFonts w:ascii="Calibri" w:eastAsia="Times New Roman" w:hAnsi="Calibri" w:cs="Calibri"/>
                <w:color w:val="000000"/>
                <w:sz w:val="18"/>
                <w:szCs w:val="18"/>
                <w:lang w:eastAsia="nl-BE"/>
              </w:rPr>
            </w:pPr>
            <w:r w:rsidRPr="00EC5614">
              <w:rPr>
                <w:rFonts w:ascii="Calibri" w:hAnsi="Calibri" w:cs="Calibri"/>
                <w:color w:val="000000"/>
                <w:sz w:val="18"/>
                <w:szCs w:val="18"/>
              </w:rPr>
              <w:t>5,6</w:t>
            </w:r>
          </w:p>
        </w:tc>
        <w:tc>
          <w:tcPr>
            <w:tcW w:w="466" w:type="pct"/>
            <w:tcBorders>
              <w:top w:val="nil"/>
              <w:left w:val="single" w:sz="4" w:space="0" w:color="auto"/>
              <w:bottom w:val="single" w:sz="4" w:space="0" w:color="auto"/>
              <w:right w:val="single" w:sz="4" w:space="0" w:color="auto"/>
            </w:tcBorders>
            <w:shd w:val="clear" w:color="auto" w:fill="auto"/>
            <w:noWrap/>
            <w:vAlign w:val="center"/>
            <w:hideMark/>
          </w:tcPr>
          <w:p w14:paraId="10AD91FA" w14:textId="4B34118E" w:rsidR="00EC5614" w:rsidRPr="00EC5614" w:rsidRDefault="00EC5614" w:rsidP="00EC5614">
            <w:pPr>
              <w:jc w:val="right"/>
              <w:rPr>
                <w:rFonts w:ascii="Calibri" w:eastAsia="Times New Roman" w:hAnsi="Calibri" w:cs="Calibri"/>
                <w:color w:val="000000"/>
                <w:sz w:val="18"/>
                <w:szCs w:val="18"/>
                <w:lang w:eastAsia="nl-BE"/>
              </w:rPr>
            </w:pPr>
            <w:r w:rsidRPr="00EC5614">
              <w:rPr>
                <w:rFonts w:ascii="Calibri" w:hAnsi="Calibri" w:cs="Calibri"/>
                <w:color w:val="000000"/>
                <w:sz w:val="18"/>
                <w:szCs w:val="18"/>
              </w:rPr>
              <w:t>9,7%</w:t>
            </w:r>
          </w:p>
        </w:tc>
      </w:tr>
      <w:tr w:rsidR="00EC5614" w:rsidRPr="00D9796E" w14:paraId="76D5E686" w14:textId="77777777" w:rsidTr="00D9796E">
        <w:trPr>
          <w:trHeight w:val="290"/>
        </w:trPr>
        <w:tc>
          <w:tcPr>
            <w:tcW w:w="1719" w:type="pct"/>
            <w:tcBorders>
              <w:top w:val="nil"/>
              <w:left w:val="single" w:sz="4" w:space="0" w:color="auto"/>
              <w:bottom w:val="single" w:sz="4" w:space="0" w:color="auto"/>
              <w:right w:val="single" w:sz="4" w:space="0" w:color="auto"/>
            </w:tcBorders>
            <w:shd w:val="clear" w:color="auto" w:fill="auto"/>
            <w:vAlign w:val="center"/>
            <w:hideMark/>
          </w:tcPr>
          <w:p w14:paraId="5AE41BA5" w14:textId="77777777" w:rsidR="00EC5614" w:rsidRPr="00D9796E" w:rsidRDefault="00EC5614" w:rsidP="00EC5614">
            <w:pPr>
              <w:rPr>
                <w:rFonts w:ascii="Calibri" w:eastAsia="Times New Roman" w:hAnsi="Calibri" w:cs="Calibri"/>
                <w:b/>
                <w:bCs/>
                <w:sz w:val="18"/>
                <w:szCs w:val="18"/>
                <w:lang w:eastAsia="nl-BE"/>
              </w:rPr>
            </w:pPr>
            <w:r w:rsidRPr="00D9796E">
              <w:rPr>
                <w:rFonts w:ascii="Calibri" w:eastAsia="Times New Roman" w:hAnsi="Calibri" w:cs="Calibri"/>
                <w:b/>
                <w:bCs/>
                <w:sz w:val="18"/>
                <w:szCs w:val="18"/>
                <w:lang w:eastAsia="nl-BE"/>
              </w:rPr>
              <w:t>VS NA CORRECTIES aftoetsing begrotingsdoestelling</w:t>
            </w:r>
          </w:p>
        </w:tc>
        <w:tc>
          <w:tcPr>
            <w:tcW w:w="625" w:type="pct"/>
            <w:tcBorders>
              <w:top w:val="nil"/>
              <w:left w:val="single" w:sz="4" w:space="0" w:color="auto"/>
              <w:bottom w:val="single" w:sz="4" w:space="0" w:color="auto"/>
              <w:right w:val="single" w:sz="4" w:space="0" w:color="auto"/>
            </w:tcBorders>
            <w:shd w:val="clear" w:color="auto" w:fill="auto"/>
            <w:noWrap/>
            <w:vAlign w:val="center"/>
            <w:hideMark/>
          </w:tcPr>
          <w:p w14:paraId="7629DEA3" w14:textId="31E8E801" w:rsidR="00EC5614" w:rsidRPr="00EC5614" w:rsidRDefault="00EC5614" w:rsidP="00EC5614">
            <w:pPr>
              <w:jc w:val="right"/>
              <w:rPr>
                <w:rFonts w:ascii="Calibri" w:eastAsia="Times New Roman" w:hAnsi="Calibri" w:cs="Calibri"/>
                <w:b/>
                <w:bCs/>
                <w:color w:val="000000"/>
                <w:sz w:val="18"/>
                <w:szCs w:val="18"/>
                <w:lang w:eastAsia="nl-BE"/>
              </w:rPr>
            </w:pPr>
            <w:r w:rsidRPr="00EC5614">
              <w:rPr>
                <w:rFonts w:ascii="Calibri" w:hAnsi="Calibri" w:cs="Calibri"/>
                <w:b/>
                <w:bCs/>
                <w:color w:val="000000"/>
                <w:sz w:val="18"/>
                <w:szCs w:val="18"/>
              </w:rPr>
              <w:t>154,2</w:t>
            </w:r>
          </w:p>
        </w:tc>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3F4EF73F" w14:textId="1766EAE7" w:rsidR="00EC5614" w:rsidRPr="00EC5614" w:rsidRDefault="00EC5614" w:rsidP="00EC5614">
            <w:pPr>
              <w:jc w:val="right"/>
              <w:rPr>
                <w:rFonts w:ascii="Calibri" w:eastAsia="Times New Roman" w:hAnsi="Calibri" w:cs="Calibri"/>
                <w:b/>
                <w:bCs/>
                <w:color w:val="000000"/>
                <w:sz w:val="18"/>
                <w:szCs w:val="18"/>
                <w:lang w:eastAsia="nl-BE"/>
              </w:rPr>
            </w:pPr>
            <w:r w:rsidRPr="00EC5614">
              <w:rPr>
                <w:rFonts w:ascii="Calibri" w:hAnsi="Calibri" w:cs="Calibri"/>
                <w:b/>
                <w:bCs/>
                <w:color w:val="000000"/>
                <w:sz w:val="18"/>
                <w:szCs w:val="18"/>
              </w:rPr>
              <w:t>49,8</w:t>
            </w:r>
          </w:p>
        </w:tc>
        <w:tc>
          <w:tcPr>
            <w:tcW w:w="548" w:type="pct"/>
            <w:tcBorders>
              <w:top w:val="nil"/>
              <w:left w:val="nil"/>
              <w:bottom w:val="single" w:sz="4" w:space="0" w:color="auto"/>
              <w:right w:val="single" w:sz="4" w:space="0" w:color="auto"/>
            </w:tcBorders>
            <w:shd w:val="clear" w:color="auto" w:fill="auto"/>
            <w:noWrap/>
            <w:vAlign w:val="center"/>
            <w:hideMark/>
          </w:tcPr>
          <w:p w14:paraId="536FF23E" w14:textId="7354EAAD" w:rsidR="00EC5614" w:rsidRPr="00EC5614" w:rsidRDefault="00EC5614" w:rsidP="00EC5614">
            <w:pPr>
              <w:jc w:val="right"/>
              <w:rPr>
                <w:rFonts w:ascii="Calibri" w:eastAsia="Times New Roman" w:hAnsi="Calibri" w:cs="Calibri"/>
                <w:b/>
                <w:bCs/>
                <w:color w:val="000000"/>
                <w:sz w:val="18"/>
                <w:szCs w:val="18"/>
                <w:lang w:eastAsia="nl-BE"/>
              </w:rPr>
            </w:pPr>
            <w:r w:rsidRPr="00EC5614">
              <w:rPr>
                <w:rFonts w:ascii="Calibri" w:hAnsi="Calibri" w:cs="Calibri"/>
                <w:b/>
                <w:bCs/>
                <w:color w:val="000000"/>
                <w:sz w:val="18"/>
                <w:szCs w:val="18"/>
              </w:rPr>
              <w:t>275,9</w:t>
            </w:r>
          </w:p>
        </w:tc>
        <w:tc>
          <w:tcPr>
            <w:tcW w:w="394" w:type="pct"/>
            <w:tcBorders>
              <w:top w:val="nil"/>
              <w:left w:val="nil"/>
              <w:bottom w:val="single" w:sz="4" w:space="0" w:color="auto"/>
              <w:right w:val="single" w:sz="4" w:space="0" w:color="auto"/>
            </w:tcBorders>
            <w:shd w:val="clear" w:color="auto" w:fill="auto"/>
            <w:noWrap/>
            <w:vAlign w:val="center"/>
            <w:hideMark/>
          </w:tcPr>
          <w:p w14:paraId="08AD23DF" w14:textId="148F2EE2" w:rsidR="00EC5614" w:rsidRPr="00EC5614" w:rsidRDefault="00EC5614" w:rsidP="00EC5614">
            <w:pPr>
              <w:jc w:val="right"/>
              <w:rPr>
                <w:rFonts w:ascii="Calibri" w:eastAsia="Times New Roman" w:hAnsi="Calibri" w:cs="Calibri"/>
                <w:b/>
                <w:bCs/>
                <w:color w:val="000000"/>
                <w:sz w:val="18"/>
                <w:szCs w:val="18"/>
                <w:lang w:eastAsia="nl-BE"/>
              </w:rPr>
            </w:pPr>
            <w:r w:rsidRPr="00EC5614">
              <w:rPr>
                <w:rFonts w:ascii="Calibri" w:hAnsi="Calibri" w:cs="Calibri"/>
                <w:b/>
                <w:bCs/>
                <w:color w:val="000000"/>
                <w:sz w:val="18"/>
                <w:szCs w:val="18"/>
              </w:rPr>
              <w:t>121,7</w:t>
            </w:r>
          </w:p>
        </w:tc>
        <w:tc>
          <w:tcPr>
            <w:tcW w:w="412" w:type="pct"/>
            <w:tcBorders>
              <w:top w:val="nil"/>
              <w:left w:val="nil"/>
              <w:bottom w:val="single" w:sz="4" w:space="0" w:color="auto"/>
              <w:right w:val="single" w:sz="4" w:space="0" w:color="auto"/>
            </w:tcBorders>
            <w:shd w:val="clear" w:color="auto" w:fill="auto"/>
            <w:noWrap/>
            <w:vAlign w:val="center"/>
            <w:hideMark/>
          </w:tcPr>
          <w:p w14:paraId="7545D256" w14:textId="10D7E039" w:rsidR="00EC5614" w:rsidRPr="00EC5614" w:rsidRDefault="00EC5614" w:rsidP="00EC5614">
            <w:pPr>
              <w:jc w:val="right"/>
              <w:rPr>
                <w:rFonts w:ascii="Calibri" w:eastAsia="Times New Roman" w:hAnsi="Calibri" w:cs="Calibri"/>
                <w:b/>
                <w:bCs/>
                <w:color w:val="000000"/>
                <w:sz w:val="18"/>
                <w:szCs w:val="18"/>
                <w:lang w:eastAsia="nl-BE"/>
              </w:rPr>
            </w:pPr>
            <w:r w:rsidRPr="00EC5614">
              <w:rPr>
                <w:rFonts w:ascii="Calibri" w:hAnsi="Calibri" w:cs="Calibri"/>
                <w:b/>
                <w:bCs/>
                <w:color w:val="000000"/>
                <w:sz w:val="18"/>
                <w:szCs w:val="18"/>
              </w:rPr>
              <w:t>78,9%</w:t>
            </w:r>
          </w:p>
        </w:tc>
        <w:tc>
          <w:tcPr>
            <w:tcW w:w="367" w:type="pct"/>
            <w:tcBorders>
              <w:top w:val="nil"/>
              <w:left w:val="nil"/>
              <w:bottom w:val="single" w:sz="4" w:space="0" w:color="auto"/>
              <w:right w:val="nil"/>
            </w:tcBorders>
            <w:shd w:val="clear" w:color="auto" w:fill="auto"/>
            <w:noWrap/>
            <w:vAlign w:val="center"/>
            <w:hideMark/>
          </w:tcPr>
          <w:p w14:paraId="12A33384" w14:textId="55C10182" w:rsidR="00EC5614" w:rsidRPr="00EC5614" w:rsidRDefault="00EC5614" w:rsidP="00EC5614">
            <w:pPr>
              <w:jc w:val="right"/>
              <w:rPr>
                <w:rFonts w:ascii="Calibri" w:eastAsia="Times New Roman" w:hAnsi="Calibri" w:cs="Calibri"/>
                <w:b/>
                <w:bCs/>
                <w:color w:val="000000"/>
                <w:sz w:val="18"/>
                <w:szCs w:val="18"/>
                <w:lang w:eastAsia="nl-BE"/>
              </w:rPr>
            </w:pPr>
            <w:r w:rsidRPr="00EC5614">
              <w:rPr>
                <w:rFonts w:ascii="Calibri" w:hAnsi="Calibri" w:cs="Calibri"/>
                <w:b/>
                <w:bCs/>
                <w:color w:val="000000"/>
                <w:sz w:val="18"/>
                <w:szCs w:val="18"/>
              </w:rPr>
              <w:t>226,1</w:t>
            </w:r>
          </w:p>
        </w:tc>
        <w:tc>
          <w:tcPr>
            <w:tcW w:w="466" w:type="pct"/>
            <w:tcBorders>
              <w:top w:val="nil"/>
              <w:left w:val="single" w:sz="4" w:space="0" w:color="auto"/>
              <w:bottom w:val="single" w:sz="4" w:space="0" w:color="auto"/>
              <w:right w:val="single" w:sz="4" w:space="0" w:color="auto"/>
            </w:tcBorders>
            <w:shd w:val="clear" w:color="auto" w:fill="auto"/>
            <w:noWrap/>
            <w:vAlign w:val="center"/>
            <w:hideMark/>
          </w:tcPr>
          <w:p w14:paraId="19FC159D" w14:textId="55E38EA1" w:rsidR="00EC5614" w:rsidRPr="00EC5614" w:rsidRDefault="00EC5614" w:rsidP="00EC5614">
            <w:pPr>
              <w:jc w:val="right"/>
              <w:rPr>
                <w:rFonts w:ascii="Calibri" w:eastAsia="Times New Roman" w:hAnsi="Calibri" w:cs="Calibri"/>
                <w:b/>
                <w:bCs/>
                <w:color w:val="000000"/>
                <w:sz w:val="18"/>
                <w:szCs w:val="18"/>
                <w:lang w:eastAsia="nl-BE"/>
              </w:rPr>
            </w:pPr>
            <w:r w:rsidRPr="00EC5614">
              <w:rPr>
                <w:rFonts w:ascii="Calibri" w:hAnsi="Calibri" w:cs="Calibri"/>
                <w:b/>
                <w:bCs/>
                <w:color w:val="000000"/>
                <w:sz w:val="18"/>
                <w:szCs w:val="18"/>
              </w:rPr>
              <w:t>454,1%</w:t>
            </w:r>
          </w:p>
        </w:tc>
      </w:tr>
    </w:tbl>
    <w:p w14:paraId="1AE5965A" w14:textId="35001F08" w:rsidR="00773543" w:rsidRPr="007022B1" w:rsidRDefault="006865AC" w:rsidP="006865AC">
      <w:pPr>
        <w:spacing w:after="120"/>
        <w:rPr>
          <w:sz w:val="20"/>
          <w:szCs w:val="20"/>
        </w:rPr>
      </w:pPr>
      <w:r w:rsidRPr="007022B1">
        <w:rPr>
          <w:sz w:val="20"/>
          <w:szCs w:val="20"/>
        </w:rPr>
        <w:t xml:space="preserve"> </w:t>
      </w:r>
      <w:r w:rsidR="007022B1" w:rsidRPr="007022B1">
        <w:rPr>
          <w:sz w:val="20"/>
          <w:szCs w:val="20"/>
        </w:rPr>
        <w:t>(*) betreft bouwkost Oosterweel, inclusief rente</w:t>
      </w:r>
    </w:p>
    <w:p w14:paraId="2D132403" w14:textId="77777777" w:rsidR="006F6B93" w:rsidRDefault="006F6B93" w:rsidP="002B3A85">
      <w:pPr>
        <w:jc w:val="both"/>
      </w:pPr>
    </w:p>
    <w:p w14:paraId="7AA4007C" w14:textId="3FEFF383" w:rsidR="00D9796E" w:rsidRPr="000253AE" w:rsidRDefault="00D9796E" w:rsidP="00D9796E">
      <w:pPr>
        <w:jc w:val="both"/>
      </w:pPr>
      <w:r w:rsidRPr="000253AE">
        <w:t>Het voorliggende uitvoeringsrapport is gebaseerd op waarn</w:t>
      </w:r>
      <w:r>
        <w:t>emingen tot en met december 2019</w:t>
      </w:r>
      <w:r w:rsidRPr="000253AE">
        <w:t xml:space="preserve">, aangevuld met de prognoses indien de definitieve uitvoeringscijfers nog niet beschikbaar </w:t>
      </w:r>
      <w:r>
        <w:t>zijn</w:t>
      </w:r>
      <w:r w:rsidRPr="000253AE">
        <w:t>.</w:t>
      </w:r>
    </w:p>
    <w:p w14:paraId="00B3885E" w14:textId="77777777" w:rsidR="00D9796E" w:rsidRDefault="00D9796E" w:rsidP="00D9796E">
      <w:pPr>
        <w:jc w:val="both"/>
      </w:pPr>
    </w:p>
    <w:p w14:paraId="6274ECC1" w14:textId="23CEC97C" w:rsidR="00CE4C7F" w:rsidRPr="00D455AA" w:rsidRDefault="00A6687C" w:rsidP="00CE4C7F">
      <w:pPr>
        <w:jc w:val="both"/>
        <w:rPr>
          <w:strike/>
        </w:rPr>
      </w:pPr>
      <w:r>
        <w:t xml:space="preserve">Het </w:t>
      </w:r>
      <w:r w:rsidR="00BC57AC" w:rsidRPr="006865AC">
        <w:t xml:space="preserve">overschot </w:t>
      </w:r>
      <w:r w:rsidRPr="006865AC">
        <w:t>(</w:t>
      </w:r>
      <w:r w:rsidR="008C6134" w:rsidRPr="006865AC">
        <w:t xml:space="preserve">excl. </w:t>
      </w:r>
      <w:r w:rsidR="00D9796E">
        <w:t>62</w:t>
      </w:r>
      <w:r w:rsidR="002B3A85" w:rsidRPr="006865AC">
        <w:t xml:space="preserve"> miljoen euro voor de bouwkost O</w:t>
      </w:r>
      <w:r w:rsidRPr="006865AC">
        <w:t xml:space="preserve">osterweelverbinding linkeroever) wordt </w:t>
      </w:r>
      <w:r w:rsidR="002B3A85" w:rsidRPr="006865AC">
        <w:t xml:space="preserve">door het </w:t>
      </w:r>
      <w:r w:rsidR="002F4A2E" w:rsidRPr="006865AC">
        <w:t xml:space="preserve">monitoringcomité </w:t>
      </w:r>
      <w:r w:rsidR="006F6B93" w:rsidRPr="006865AC">
        <w:t xml:space="preserve">geraamd </w:t>
      </w:r>
      <w:r w:rsidR="006865AC" w:rsidRPr="006865AC">
        <w:t xml:space="preserve">op </w:t>
      </w:r>
      <w:r w:rsidR="00D9796E">
        <w:t>2</w:t>
      </w:r>
      <w:r w:rsidR="00EC5614">
        <w:t>75</w:t>
      </w:r>
      <w:r w:rsidR="006865AC" w:rsidRPr="006865AC">
        <w:t>,</w:t>
      </w:r>
      <w:r w:rsidR="00EC5614">
        <w:t>9</w:t>
      </w:r>
      <w:r w:rsidR="002B3A85" w:rsidRPr="006865AC">
        <w:t xml:space="preserve"> miljoen euro. </w:t>
      </w:r>
      <w:r w:rsidR="00CE4C7F" w:rsidRPr="006865AC">
        <w:t>Ten</w:t>
      </w:r>
      <w:r w:rsidR="00CE4C7F" w:rsidRPr="006327BA">
        <w:t xml:space="preserve"> opzichte van de begrotings</w:t>
      </w:r>
      <w:r w:rsidR="00CE4C7F">
        <w:t>aanpassing 2019</w:t>
      </w:r>
      <w:r w:rsidR="00CE4C7F" w:rsidRPr="006327BA">
        <w:t xml:space="preserve"> houdt dit resultaat een </w:t>
      </w:r>
      <w:r w:rsidR="00D9796E">
        <w:t xml:space="preserve">positieve </w:t>
      </w:r>
      <w:r w:rsidR="006F6B93">
        <w:t xml:space="preserve">afwijking in van </w:t>
      </w:r>
      <w:r w:rsidR="00D9796E">
        <w:t>1</w:t>
      </w:r>
      <w:r w:rsidR="00EC5614">
        <w:t>21</w:t>
      </w:r>
      <w:r w:rsidR="006865AC">
        <w:t>,</w:t>
      </w:r>
      <w:r w:rsidR="00EC5614">
        <w:t>7</w:t>
      </w:r>
      <w:r w:rsidR="00CE4C7F">
        <w:t xml:space="preserve"> miljoen euro. </w:t>
      </w:r>
      <w:r w:rsidR="007F44BC">
        <w:t xml:space="preserve">De </w:t>
      </w:r>
      <w:r w:rsidR="00D9796E">
        <w:t xml:space="preserve">positieve </w:t>
      </w:r>
      <w:r w:rsidR="007F44BC">
        <w:t xml:space="preserve">afwijking tov BA  is </w:t>
      </w:r>
      <w:r w:rsidR="00D9796E">
        <w:t xml:space="preserve">vooral </w:t>
      </w:r>
      <w:r w:rsidR="007F44BC">
        <w:t xml:space="preserve">het resultaat van </w:t>
      </w:r>
      <w:r w:rsidR="00D9796E">
        <w:t xml:space="preserve">hoger </w:t>
      </w:r>
      <w:r w:rsidR="007F44BC">
        <w:t>ontvangsten</w:t>
      </w:r>
      <w:r w:rsidR="00D9796E">
        <w:t xml:space="preserve"> uit Gewestbelastingen</w:t>
      </w:r>
      <w:r w:rsidR="007F44BC">
        <w:t xml:space="preserve"> </w:t>
      </w:r>
      <w:r w:rsidR="007F44BC" w:rsidRPr="00661838">
        <w:t>(</w:t>
      </w:r>
      <w:r w:rsidR="00EC5614" w:rsidRPr="00661838">
        <w:t>+175</w:t>
      </w:r>
      <w:r w:rsidR="007F44BC" w:rsidRPr="00661838">
        <w:t>,</w:t>
      </w:r>
      <w:r w:rsidR="00EC5614" w:rsidRPr="00661838">
        <w:t>1</w:t>
      </w:r>
      <w:r w:rsidR="007F44BC" w:rsidRPr="00661838">
        <w:t xml:space="preserve"> miljoen)</w:t>
      </w:r>
      <w:r w:rsidR="00661838">
        <w:t>.</w:t>
      </w:r>
    </w:p>
    <w:p w14:paraId="5897A059" w14:textId="3E7D9BCE" w:rsidR="002B3A85" w:rsidRDefault="002B3A85" w:rsidP="00216F82">
      <w:pPr>
        <w:jc w:val="both"/>
      </w:pPr>
    </w:p>
    <w:p w14:paraId="68BF6582" w14:textId="77777777" w:rsidR="00D9796E" w:rsidRPr="004B3B83" w:rsidRDefault="00D9796E" w:rsidP="00D9796E">
      <w:pPr>
        <w:jc w:val="both"/>
      </w:pPr>
      <w:r w:rsidRPr="004B3B83">
        <w:t>Ten opzichte van het rapport van december zijn er belangrijke wijzigingen voor:</w:t>
      </w:r>
    </w:p>
    <w:p w14:paraId="11A61F65" w14:textId="19AB5F16" w:rsidR="00D9796E" w:rsidRPr="004B3B83" w:rsidRDefault="00D9796E" w:rsidP="00D9796E">
      <w:pPr>
        <w:pStyle w:val="Lijstalinea"/>
        <w:numPr>
          <w:ilvl w:val="0"/>
          <w:numId w:val="11"/>
        </w:numPr>
        <w:spacing w:after="200" w:line="276" w:lineRule="auto"/>
        <w:jc w:val="both"/>
      </w:pPr>
      <w:r w:rsidRPr="004B3B83">
        <w:t>Verkooprecht: +</w:t>
      </w:r>
      <w:r w:rsidR="00687650" w:rsidRPr="004B3B83">
        <w:t>16</w:t>
      </w:r>
      <w:r w:rsidRPr="004B3B83">
        <w:t>1 miljoen euro;</w:t>
      </w:r>
    </w:p>
    <w:p w14:paraId="5E6B9B1E" w14:textId="548EE1FB" w:rsidR="00721CEC" w:rsidRPr="004B3B83" w:rsidRDefault="00721CEC" w:rsidP="00D9796E">
      <w:pPr>
        <w:pStyle w:val="Lijstalinea"/>
        <w:numPr>
          <w:ilvl w:val="0"/>
          <w:numId w:val="11"/>
        </w:numPr>
        <w:spacing w:after="200" w:line="276" w:lineRule="auto"/>
        <w:jc w:val="both"/>
      </w:pPr>
      <w:r w:rsidRPr="004B3B83">
        <w:t>Andere ontvangsten : +68,7 miljoen euro;</w:t>
      </w:r>
    </w:p>
    <w:p w14:paraId="2D0F2023" w14:textId="08803EBE" w:rsidR="00D9796E" w:rsidRPr="004B3B83" w:rsidRDefault="00D9796E" w:rsidP="00D9796E">
      <w:pPr>
        <w:pStyle w:val="Lijstalinea"/>
        <w:numPr>
          <w:ilvl w:val="0"/>
          <w:numId w:val="11"/>
        </w:numPr>
        <w:spacing w:after="200" w:line="276" w:lineRule="auto"/>
        <w:jc w:val="both"/>
      </w:pPr>
      <w:r w:rsidRPr="004B3B83">
        <w:t xml:space="preserve">Uitgaven DAB’s </w:t>
      </w:r>
      <w:r w:rsidR="00687650" w:rsidRPr="004B3B83">
        <w:t>(zonder compenserende extra ontvangsten</w:t>
      </w:r>
      <w:r w:rsidR="00721CEC" w:rsidRPr="004B3B83">
        <w:t>)</w:t>
      </w:r>
      <w:r w:rsidRPr="004B3B83">
        <w:t xml:space="preserve">: </w:t>
      </w:r>
      <w:r w:rsidR="00687650" w:rsidRPr="004B3B83">
        <w:t>+40</w:t>
      </w:r>
      <w:r w:rsidRPr="004B3B83">
        <w:t xml:space="preserve"> miljoen euro</w:t>
      </w:r>
      <w:r w:rsidR="00721CEC" w:rsidRPr="004B3B83">
        <w:t>;</w:t>
      </w:r>
    </w:p>
    <w:p w14:paraId="41E47DBB" w14:textId="65FC4336" w:rsidR="00D455AA" w:rsidRPr="004B3B83" w:rsidRDefault="00D9796E" w:rsidP="00D9796E">
      <w:pPr>
        <w:pStyle w:val="Lijstalinea"/>
        <w:numPr>
          <w:ilvl w:val="0"/>
          <w:numId w:val="11"/>
        </w:numPr>
        <w:spacing w:after="200" w:line="276" w:lineRule="auto"/>
        <w:jc w:val="both"/>
      </w:pPr>
      <w:r w:rsidRPr="004B3B83">
        <w:t>Rechtspersonen: +1</w:t>
      </w:r>
      <w:r w:rsidR="00721CEC" w:rsidRPr="004B3B83">
        <w:t>21</w:t>
      </w:r>
      <w:r w:rsidRPr="004B3B83">
        <w:t>,</w:t>
      </w:r>
      <w:r w:rsidR="00721CEC" w:rsidRPr="004B3B83">
        <w:t>8</w:t>
      </w:r>
      <w:r w:rsidRPr="004B3B83">
        <w:t xml:space="preserve"> miljoen euro ontvangsten en +</w:t>
      </w:r>
      <w:r w:rsidR="00721CEC" w:rsidRPr="004B3B83">
        <w:t>168</w:t>
      </w:r>
      <w:r w:rsidRPr="004B3B83">
        <w:t xml:space="preserve">,1 miljoen euro uitgaven of een </w:t>
      </w:r>
      <w:r w:rsidR="00721CEC" w:rsidRPr="004B3B83">
        <w:t xml:space="preserve">negatieve </w:t>
      </w:r>
      <w:r w:rsidRPr="004B3B83">
        <w:t>bijdrage tot het vorderingensaldo van 4</w:t>
      </w:r>
      <w:r w:rsidR="00721CEC" w:rsidRPr="004B3B83">
        <w:t>6</w:t>
      </w:r>
      <w:r w:rsidRPr="004B3B83">
        <w:t>,</w:t>
      </w:r>
      <w:r w:rsidR="00721CEC" w:rsidRPr="004B3B83">
        <w:t>3</w:t>
      </w:r>
      <w:r w:rsidRPr="004B3B83">
        <w:t xml:space="preserve"> miljoen euro.</w:t>
      </w:r>
    </w:p>
    <w:p w14:paraId="73CF09FF" w14:textId="76ED670A" w:rsidR="00D9796E" w:rsidRPr="004B3B83" w:rsidRDefault="00D9796E" w:rsidP="00D9796E">
      <w:pPr>
        <w:pStyle w:val="Lijstalinea"/>
        <w:numPr>
          <w:ilvl w:val="0"/>
          <w:numId w:val="11"/>
        </w:numPr>
        <w:spacing w:after="200" w:line="276" w:lineRule="auto"/>
        <w:jc w:val="both"/>
      </w:pPr>
      <w:r w:rsidRPr="004B3B83">
        <w:t xml:space="preserve">Uitgaven ministeries : - </w:t>
      </w:r>
      <w:r w:rsidR="00721CEC" w:rsidRPr="004B3B83">
        <w:t>63,2</w:t>
      </w:r>
      <w:r w:rsidRPr="004B3B83">
        <w:t xml:space="preserve"> miljoen euro </w:t>
      </w:r>
    </w:p>
    <w:p w14:paraId="295D8660" w14:textId="77777777" w:rsidR="00C41BB9" w:rsidRPr="00C41BB9" w:rsidRDefault="00C41BB9" w:rsidP="00216F82">
      <w:pPr>
        <w:jc w:val="both"/>
      </w:pPr>
    </w:p>
    <w:p w14:paraId="03F8E10D" w14:textId="73FE6C75" w:rsidR="00792136" w:rsidRDefault="00792136" w:rsidP="00216F82">
      <w:pPr>
        <w:jc w:val="both"/>
      </w:pPr>
      <w:r>
        <w:t>Grafiek 1</w:t>
      </w:r>
      <w:r w:rsidR="00A17D46">
        <w:t xml:space="preserve"> visualiseert op hoofdlijnen</w:t>
      </w:r>
      <w:r w:rsidR="00CE4C7F">
        <w:t xml:space="preserve"> de afwijkingen met de begrotingsaanpassing</w:t>
      </w:r>
      <w:r w:rsidR="00773543">
        <w:t xml:space="preserve"> 2019</w:t>
      </w:r>
      <w:r w:rsidR="00A17D46">
        <w:t xml:space="preserve">. </w:t>
      </w:r>
      <w:r w:rsidR="00A17D46" w:rsidRPr="00CD5BC0">
        <w:t xml:space="preserve">Secties 1 tot en met </w:t>
      </w:r>
      <w:r w:rsidR="0001406D">
        <w:t>4</w:t>
      </w:r>
      <w:r w:rsidR="00A17D46" w:rsidRPr="00CD5BC0">
        <w:t xml:space="preserve"> bespreken die afwijkingen in detail.</w:t>
      </w:r>
      <w:r w:rsidR="000E1274">
        <w:t xml:space="preserve"> </w:t>
      </w:r>
    </w:p>
    <w:p w14:paraId="7DDE70D5" w14:textId="1358E8F5" w:rsidR="00792136" w:rsidRDefault="00792136" w:rsidP="00A17D46">
      <w:pPr>
        <w:jc w:val="both"/>
      </w:pPr>
    </w:p>
    <w:p w14:paraId="54EDBB8C" w14:textId="11C1171E" w:rsidR="00CB71B8" w:rsidRDefault="00CB71B8" w:rsidP="00A17D46">
      <w:pPr>
        <w:jc w:val="both"/>
      </w:pPr>
    </w:p>
    <w:p w14:paraId="11807D9D" w14:textId="77777777" w:rsidR="00CB71B8" w:rsidRDefault="00CB71B8">
      <w:r>
        <w:br w:type="page"/>
      </w:r>
    </w:p>
    <w:p w14:paraId="37A09F22" w14:textId="56F85FCF" w:rsidR="00CB71B8" w:rsidRDefault="00CB71B8" w:rsidP="00A17D46">
      <w:pPr>
        <w:jc w:val="both"/>
      </w:pPr>
    </w:p>
    <w:p w14:paraId="599B95A9" w14:textId="0BBCEE55" w:rsidR="00EA53F5" w:rsidRDefault="00792136" w:rsidP="00D82180">
      <w:pPr>
        <w:spacing w:after="120"/>
        <w:jc w:val="both"/>
      </w:pPr>
      <w:r w:rsidRPr="004379CD">
        <w:t>Grafiek 1. Verschillenanalyse op hoofdlijnen tov B</w:t>
      </w:r>
      <w:r w:rsidR="00CE4C7F">
        <w:t>A</w:t>
      </w:r>
      <w:r w:rsidR="00921B44" w:rsidRPr="004379CD">
        <w:t xml:space="preserve"> </w:t>
      </w:r>
      <w:r w:rsidR="00BA152B" w:rsidRPr="004379CD">
        <w:t>201</w:t>
      </w:r>
      <w:r w:rsidR="00773543" w:rsidRPr="004379CD">
        <w:t>9</w:t>
      </w:r>
    </w:p>
    <w:p w14:paraId="40C95F05" w14:textId="5C8CC80D" w:rsidR="00EA53F5" w:rsidRDefault="005A771D" w:rsidP="00D82180">
      <w:pPr>
        <w:spacing w:after="120"/>
        <w:jc w:val="both"/>
      </w:pPr>
      <w:r w:rsidRPr="005A771D">
        <w:rPr>
          <w:noProof/>
        </w:rPr>
        <w:drawing>
          <wp:inline distT="0" distB="0" distL="0" distR="0" wp14:anchorId="0C17EA6D" wp14:editId="7482380E">
            <wp:extent cx="5760720" cy="3637280"/>
            <wp:effectExtent l="0" t="0" r="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3637280"/>
                    </a:xfrm>
                    <a:prstGeom prst="rect">
                      <a:avLst/>
                    </a:prstGeom>
                    <a:noFill/>
                    <a:ln>
                      <a:noFill/>
                    </a:ln>
                  </pic:spPr>
                </pic:pic>
              </a:graphicData>
            </a:graphic>
          </wp:inline>
        </w:drawing>
      </w:r>
    </w:p>
    <w:p w14:paraId="5B05ED7E" w14:textId="77777777" w:rsidR="001A06B4" w:rsidRDefault="001A06B4">
      <w:r>
        <w:br w:type="page"/>
      </w:r>
    </w:p>
    <w:p w14:paraId="0D74D032" w14:textId="77777777" w:rsidR="00B300BD" w:rsidRPr="0045709D" w:rsidRDefault="00B300BD" w:rsidP="00921B44">
      <w:pPr>
        <w:pStyle w:val="Kop3"/>
        <w:numPr>
          <w:ilvl w:val="0"/>
          <w:numId w:val="24"/>
        </w:numPr>
      </w:pPr>
      <w:r w:rsidRPr="0045709D">
        <w:lastRenderedPageBreak/>
        <w:t>Ontvangsten</w:t>
      </w:r>
    </w:p>
    <w:p w14:paraId="5563C456" w14:textId="77777777" w:rsidR="00B300BD" w:rsidRDefault="00B300BD" w:rsidP="00B300BD"/>
    <w:p w14:paraId="6F6FFD97" w14:textId="4AA69F7C" w:rsidR="00792136" w:rsidRDefault="00792136" w:rsidP="00D82180">
      <w:pPr>
        <w:spacing w:after="120"/>
      </w:pPr>
      <w:r w:rsidRPr="0055725D">
        <w:t>Tabel 2. Globaal overzicht ontvangsten</w:t>
      </w:r>
      <w:r w:rsidR="00F617F9">
        <w:t xml:space="preserve"> (HRF</w:t>
      </w:r>
      <w:r w:rsidR="00B032E7" w:rsidRPr="0055725D">
        <w:t>)</w:t>
      </w:r>
    </w:p>
    <w:tbl>
      <w:tblPr>
        <w:tblW w:w="8796" w:type="dxa"/>
        <w:tblCellMar>
          <w:left w:w="70" w:type="dxa"/>
          <w:right w:w="70" w:type="dxa"/>
        </w:tblCellMar>
        <w:tblLook w:val="04A0" w:firstRow="1" w:lastRow="0" w:firstColumn="1" w:lastColumn="0" w:noHBand="0" w:noVBand="1"/>
      </w:tblPr>
      <w:tblGrid>
        <w:gridCol w:w="2340"/>
        <w:gridCol w:w="953"/>
        <w:gridCol w:w="953"/>
        <w:gridCol w:w="953"/>
        <w:gridCol w:w="963"/>
        <w:gridCol w:w="737"/>
        <w:gridCol w:w="1160"/>
        <w:gridCol w:w="737"/>
      </w:tblGrid>
      <w:tr w:rsidR="002B6962" w:rsidRPr="004F53FB" w14:paraId="55511343" w14:textId="77777777" w:rsidTr="004F53FB">
        <w:trPr>
          <w:trHeight w:val="288"/>
          <w:tblHead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59F1ED" w14:textId="77777777" w:rsidR="002B6962" w:rsidRPr="004F53FB" w:rsidRDefault="002B6962" w:rsidP="002B6962">
            <w:pPr>
              <w:rPr>
                <w:rFonts w:eastAsia="Times New Roman" w:cstheme="minorHAnsi"/>
                <w:b/>
                <w:bCs/>
                <w:color w:val="000000"/>
                <w:sz w:val="20"/>
                <w:szCs w:val="20"/>
                <w:lang w:eastAsia="nl-BE"/>
              </w:rPr>
            </w:pPr>
            <w:r w:rsidRPr="004F53FB">
              <w:rPr>
                <w:rFonts w:eastAsia="Times New Roman" w:cstheme="minorHAnsi"/>
                <w:b/>
                <w:bCs/>
                <w:color w:val="000000"/>
                <w:sz w:val="20"/>
                <w:szCs w:val="20"/>
                <w:lang w:eastAsia="nl-BE"/>
              </w:rPr>
              <w:t>In mio euro // HRF</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313D9" w14:textId="77777777" w:rsidR="002B6962" w:rsidRPr="004F53FB" w:rsidRDefault="002B6962" w:rsidP="002B6962">
            <w:pPr>
              <w:jc w:val="center"/>
              <w:rPr>
                <w:rFonts w:eastAsia="Times New Roman" w:cstheme="minorHAnsi"/>
                <w:b/>
                <w:bCs/>
                <w:color w:val="000000"/>
                <w:sz w:val="20"/>
                <w:szCs w:val="20"/>
                <w:lang w:eastAsia="nl-BE"/>
              </w:rPr>
            </w:pPr>
            <w:r w:rsidRPr="004F53FB">
              <w:rPr>
                <w:rFonts w:eastAsia="Times New Roman" w:cstheme="minorHAnsi"/>
                <w:b/>
                <w:bCs/>
                <w:color w:val="000000"/>
                <w:sz w:val="20"/>
                <w:szCs w:val="20"/>
                <w:lang w:eastAsia="nl-BE"/>
              </w:rPr>
              <w:t>BA 2019</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403D4453" w14:textId="77777777" w:rsidR="002B6962" w:rsidRPr="004F53FB" w:rsidRDefault="002B6962" w:rsidP="002B6962">
            <w:pPr>
              <w:jc w:val="center"/>
              <w:rPr>
                <w:rFonts w:eastAsia="Times New Roman" w:cstheme="minorHAnsi"/>
                <w:b/>
                <w:bCs/>
                <w:color w:val="000000"/>
                <w:sz w:val="20"/>
                <w:szCs w:val="20"/>
                <w:lang w:eastAsia="nl-BE"/>
              </w:rPr>
            </w:pPr>
            <w:r w:rsidRPr="004F53FB">
              <w:rPr>
                <w:rFonts w:eastAsia="Times New Roman" w:cstheme="minorHAnsi"/>
                <w:b/>
                <w:bCs/>
                <w:color w:val="000000"/>
                <w:sz w:val="20"/>
                <w:szCs w:val="20"/>
                <w:lang w:eastAsia="nl-BE"/>
              </w:rPr>
              <w:t>Dec</w:t>
            </w:r>
          </w:p>
        </w:tc>
        <w:tc>
          <w:tcPr>
            <w:tcW w:w="953" w:type="dxa"/>
            <w:tcBorders>
              <w:top w:val="single" w:sz="4" w:space="0" w:color="auto"/>
              <w:left w:val="nil"/>
              <w:bottom w:val="single" w:sz="4" w:space="0" w:color="auto"/>
              <w:right w:val="nil"/>
            </w:tcBorders>
            <w:shd w:val="clear" w:color="auto" w:fill="auto"/>
            <w:vAlign w:val="center"/>
            <w:hideMark/>
          </w:tcPr>
          <w:p w14:paraId="0972EB7D" w14:textId="77777777" w:rsidR="002B6962" w:rsidRPr="004F53FB" w:rsidRDefault="002B6962" w:rsidP="002B6962">
            <w:pPr>
              <w:jc w:val="center"/>
              <w:rPr>
                <w:rFonts w:eastAsia="Times New Roman" w:cstheme="minorHAnsi"/>
                <w:b/>
                <w:bCs/>
                <w:color w:val="000000"/>
                <w:sz w:val="20"/>
                <w:szCs w:val="20"/>
                <w:lang w:eastAsia="nl-BE"/>
              </w:rPr>
            </w:pPr>
            <w:r w:rsidRPr="004F53FB">
              <w:rPr>
                <w:rFonts w:eastAsia="Times New Roman" w:cstheme="minorHAnsi"/>
                <w:b/>
                <w:bCs/>
                <w:color w:val="000000"/>
                <w:sz w:val="20"/>
                <w:szCs w:val="20"/>
                <w:lang w:eastAsia="nl-BE"/>
              </w:rPr>
              <w:t>Feb</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C0CAE4" w14:textId="77777777" w:rsidR="002B6962" w:rsidRPr="004F53FB" w:rsidRDefault="002B6962" w:rsidP="002B6962">
            <w:pPr>
              <w:jc w:val="center"/>
              <w:rPr>
                <w:rFonts w:eastAsia="Times New Roman" w:cstheme="minorHAnsi"/>
                <w:b/>
                <w:bCs/>
                <w:color w:val="000000"/>
                <w:sz w:val="20"/>
                <w:szCs w:val="20"/>
                <w:lang w:eastAsia="nl-BE"/>
              </w:rPr>
            </w:pPr>
            <w:r w:rsidRPr="004F53FB">
              <w:rPr>
                <w:rFonts w:eastAsia="Times New Roman" w:cstheme="minorHAnsi"/>
                <w:b/>
                <w:bCs/>
                <w:color w:val="000000"/>
                <w:sz w:val="20"/>
                <w:szCs w:val="20"/>
                <w:lang w:eastAsia="nl-BE"/>
              </w:rPr>
              <w:t>Delta BA</w:t>
            </w:r>
          </w:p>
        </w:tc>
        <w:tc>
          <w:tcPr>
            <w:tcW w:w="737" w:type="dxa"/>
            <w:tcBorders>
              <w:top w:val="single" w:sz="4" w:space="0" w:color="auto"/>
              <w:left w:val="nil"/>
              <w:bottom w:val="single" w:sz="4" w:space="0" w:color="auto"/>
              <w:right w:val="single" w:sz="4" w:space="0" w:color="auto"/>
            </w:tcBorders>
            <w:shd w:val="clear" w:color="auto" w:fill="auto"/>
            <w:vAlign w:val="center"/>
            <w:hideMark/>
          </w:tcPr>
          <w:p w14:paraId="37345450" w14:textId="77777777" w:rsidR="002B6962" w:rsidRPr="004F53FB" w:rsidRDefault="002B6962" w:rsidP="002B6962">
            <w:pPr>
              <w:jc w:val="center"/>
              <w:rPr>
                <w:rFonts w:eastAsia="Times New Roman" w:cstheme="minorHAnsi"/>
                <w:b/>
                <w:bCs/>
                <w:color w:val="000000"/>
                <w:sz w:val="20"/>
                <w:szCs w:val="20"/>
                <w:lang w:eastAsia="nl-BE"/>
              </w:rPr>
            </w:pPr>
            <w:r w:rsidRPr="004F53FB">
              <w:rPr>
                <w:rFonts w:eastAsia="Times New Roman" w:cstheme="minorHAnsi"/>
                <w:b/>
                <w:bCs/>
                <w:color w:val="000000"/>
                <w:sz w:val="20"/>
                <w:szCs w:val="20"/>
                <w:lang w:eastAsia="nl-BE"/>
              </w:rPr>
              <w:t>%</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6D933F7A" w14:textId="77777777" w:rsidR="002B6962" w:rsidRPr="004F53FB" w:rsidRDefault="002B6962" w:rsidP="002B6962">
            <w:pPr>
              <w:jc w:val="center"/>
              <w:rPr>
                <w:rFonts w:eastAsia="Times New Roman" w:cstheme="minorHAnsi"/>
                <w:b/>
                <w:bCs/>
                <w:color w:val="000000"/>
                <w:sz w:val="20"/>
                <w:szCs w:val="20"/>
                <w:lang w:eastAsia="nl-BE"/>
              </w:rPr>
            </w:pPr>
            <w:r w:rsidRPr="004F53FB">
              <w:rPr>
                <w:rFonts w:eastAsia="Times New Roman" w:cstheme="minorHAnsi"/>
                <w:b/>
                <w:bCs/>
                <w:color w:val="000000"/>
                <w:sz w:val="20"/>
                <w:szCs w:val="20"/>
                <w:lang w:eastAsia="nl-BE"/>
              </w:rPr>
              <w:t>Feb vs  Dec</w:t>
            </w:r>
          </w:p>
        </w:tc>
        <w:tc>
          <w:tcPr>
            <w:tcW w:w="737" w:type="dxa"/>
            <w:tcBorders>
              <w:top w:val="single" w:sz="4" w:space="0" w:color="auto"/>
              <w:left w:val="nil"/>
              <w:bottom w:val="single" w:sz="4" w:space="0" w:color="auto"/>
              <w:right w:val="single" w:sz="4" w:space="0" w:color="auto"/>
            </w:tcBorders>
            <w:shd w:val="clear" w:color="auto" w:fill="auto"/>
            <w:vAlign w:val="center"/>
            <w:hideMark/>
          </w:tcPr>
          <w:p w14:paraId="44F710EC" w14:textId="77777777" w:rsidR="002B6962" w:rsidRPr="004F53FB" w:rsidRDefault="002B6962" w:rsidP="002B6962">
            <w:pPr>
              <w:jc w:val="center"/>
              <w:rPr>
                <w:rFonts w:eastAsia="Times New Roman" w:cstheme="minorHAnsi"/>
                <w:b/>
                <w:bCs/>
                <w:color w:val="000000"/>
                <w:sz w:val="20"/>
                <w:szCs w:val="20"/>
                <w:lang w:eastAsia="nl-BE"/>
              </w:rPr>
            </w:pPr>
            <w:r w:rsidRPr="004F53FB">
              <w:rPr>
                <w:rFonts w:eastAsia="Times New Roman" w:cstheme="minorHAnsi"/>
                <w:b/>
                <w:bCs/>
                <w:color w:val="000000"/>
                <w:sz w:val="20"/>
                <w:szCs w:val="20"/>
                <w:lang w:eastAsia="nl-BE"/>
              </w:rPr>
              <w:t>%</w:t>
            </w:r>
          </w:p>
        </w:tc>
      </w:tr>
      <w:tr w:rsidR="002B6962" w:rsidRPr="004F53FB" w14:paraId="01E65AF4" w14:textId="77777777" w:rsidTr="004F53FB">
        <w:trPr>
          <w:trHeight w:val="288"/>
        </w:trPr>
        <w:tc>
          <w:tcPr>
            <w:tcW w:w="2340" w:type="dxa"/>
            <w:tcBorders>
              <w:top w:val="nil"/>
              <w:left w:val="single" w:sz="4" w:space="0" w:color="auto"/>
              <w:bottom w:val="nil"/>
              <w:right w:val="nil"/>
            </w:tcBorders>
            <w:shd w:val="clear" w:color="auto" w:fill="auto"/>
            <w:vAlign w:val="center"/>
            <w:hideMark/>
          </w:tcPr>
          <w:p w14:paraId="225CCFE7" w14:textId="77777777" w:rsidR="002B6962" w:rsidRPr="004F53FB" w:rsidRDefault="002B6962" w:rsidP="002B6962">
            <w:pPr>
              <w:jc w:val="right"/>
              <w:rPr>
                <w:rFonts w:eastAsia="Times New Roman" w:cstheme="minorHAnsi"/>
                <w:i/>
                <w:iCs/>
                <w:color w:val="000000"/>
                <w:sz w:val="20"/>
                <w:szCs w:val="20"/>
                <w:lang w:eastAsia="nl-BE"/>
              </w:rPr>
            </w:pPr>
            <w:r w:rsidRPr="004F53FB">
              <w:rPr>
                <w:rFonts w:eastAsia="Times New Roman" w:cstheme="minorHAnsi"/>
                <w:i/>
                <w:iCs/>
                <w:color w:val="000000"/>
                <w:sz w:val="20"/>
                <w:szCs w:val="20"/>
                <w:lang w:eastAsia="nl-BE"/>
              </w:rPr>
              <w:t>Gewestbelastingen</w:t>
            </w:r>
          </w:p>
        </w:tc>
        <w:tc>
          <w:tcPr>
            <w:tcW w:w="953" w:type="dxa"/>
            <w:tcBorders>
              <w:top w:val="nil"/>
              <w:left w:val="single" w:sz="4" w:space="0" w:color="auto"/>
              <w:bottom w:val="nil"/>
              <w:right w:val="single" w:sz="4" w:space="0" w:color="auto"/>
            </w:tcBorders>
            <w:shd w:val="clear" w:color="auto" w:fill="auto"/>
            <w:noWrap/>
            <w:vAlign w:val="center"/>
            <w:hideMark/>
          </w:tcPr>
          <w:p w14:paraId="5DA08D3C" w14:textId="77777777" w:rsidR="002B6962" w:rsidRPr="004F53FB" w:rsidRDefault="002B6962" w:rsidP="002B6962">
            <w:pPr>
              <w:jc w:val="right"/>
              <w:rPr>
                <w:rFonts w:eastAsia="Times New Roman" w:cstheme="minorHAnsi"/>
                <w:i/>
                <w:iCs/>
                <w:color w:val="000000"/>
                <w:sz w:val="20"/>
                <w:szCs w:val="20"/>
                <w:lang w:eastAsia="nl-BE"/>
              </w:rPr>
            </w:pPr>
            <w:r w:rsidRPr="004F53FB">
              <w:rPr>
                <w:rFonts w:eastAsia="Times New Roman" w:cstheme="minorHAnsi"/>
                <w:i/>
                <w:iCs/>
                <w:color w:val="000000"/>
                <w:sz w:val="20"/>
                <w:szCs w:val="20"/>
                <w:lang w:eastAsia="nl-BE"/>
              </w:rPr>
              <w:t>6.672,5</w:t>
            </w:r>
          </w:p>
        </w:tc>
        <w:tc>
          <w:tcPr>
            <w:tcW w:w="953" w:type="dxa"/>
            <w:tcBorders>
              <w:top w:val="nil"/>
              <w:left w:val="single" w:sz="4" w:space="0" w:color="auto"/>
              <w:bottom w:val="nil"/>
              <w:right w:val="single" w:sz="4" w:space="0" w:color="auto"/>
            </w:tcBorders>
            <w:shd w:val="clear" w:color="auto" w:fill="auto"/>
            <w:noWrap/>
            <w:vAlign w:val="center"/>
            <w:hideMark/>
          </w:tcPr>
          <w:p w14:paraId="7357191A" w14:textId="77777777" w:rsidR="002B6962" w:rsidRPr="004F53FB" w:rsidRDefault="002B6962" w:rsidP="002B6962">
            <w:pPr>
              <w:jc w:val="right"/>
              <w:rPr>
                <w:rFonts w:eastAsia="Times New Roman" w:cstheme="minorHAnsi"/>
                <w:i/>
                <w:iCs/>
                <w:color w:val="000000"/>
                <w:sz w:val="20"/>
                <w:szCs w:val="20"/>
                <w:lang w:eastAsia="nl-BE"/>
              </w:rPr>
            </w:pPr>
            <w:r w:rsidRPr="004F53FB">
              <w:rPr>
                <w:rFonts w:eastAsia="Times New Roman" w:cstheme="minorHAnsi"/>
                <w:i/>
                <w:iCs/>
                <w:color w:val="000000"/>
                <w:sz w:val="20"/>
                <w:szCs w:val="20"/>
                <w:lang w:eastAsia="nl-BE"/>
              </w:rPr>
              <w:t>6.676,6</w:t>
            </w:r>
          </w:p>
        </w:tc>
        <w:tc>
          <w:tcPr>
            <w:tcW w:w="953" w:type="dxa"/>
            <w:tcBorders>
              <w:top w:val="nil"/>
              <w:left w:val="nil"/>
              <w:bottom w:val="nil"/>
              <w:right w:val="single" w:sz="4" w:space="0" w:color="auto"/>
            </w:tcBorders>
            <w:shd w:val="clear" w:color="auto" w:fill="auto"/>
            <w:noWrap/>
            <w:vAlign w:val="center"/>
            <w:hideMark/>
          </w:tcPr>
          <w:p w14:paraId="6F6AE045" w14:textId="77777777" w:rsidR="002B6962" w:rsidRPr="004F53FB" w:rsidRDefault="002B6962" w:rsidP="002B6962">
            <w:pPr>
              <w:jc w:val="right"/>
              <w:rPr>
                <w:rFonts w:eastAsia="Times New Roman" w:cstheme="minorHAnsi"/>
                <w:i/>
                <w:iCs/>
                <w:color w:val="000000"/>
                <w:sz w:val="20"/>
                <w:szCs w:val="20"/>
                <w:lang w:eastAsia="nl-BE"/>
              </w:rPr>
            </w:pPr>
            <w:r w:rsidRPr="004F53FB">
              <w:rPr>
                <w:rFonts w:eastAsia="Times New Roman" w:cstheme="minorHAnsi"/>
                <w:i/>
                <w:iCs/>
                <w:color w:val="000000"/>
                <w:sz w:val="20"/>
                <w:szCs w:val="20"/>
                <w:lang w:eastAsia="nl-BE"/>
              </w:rPr>
              <w:t>6.847,6</w:t>
            </w:r>
          </w:p>
        </w:tc>
        <w:tc>
          <w:tcPr>
            <w:tcW w:w="963" w:type="dxa"/>
            <w:tcBorders>
              <w:top w:val="nil"/>
              <w:left w:val="nil"/>
              <w:bottom w:val="nil"/>
              <w:right w:val="single" w:sz="4" w:space="0" w:color="auto"/>
            </w:tcBorders>
            <w:shd w:val="clear" w:color="auto" w:fill="auto"/>
            <w:noWrap/>
            <w:vAlign w:val="center"/>
            <w:hideMark/>
          </w:tcPr>
          <w:p w14:paraId="722AB192" w14:textId="77777777" w:rsidR="002B6962" w:rsidRPr="004F53FB" w:rsidRDefault="002B6962" w:rsidP="002B6962">
            <w:pPr>
              <w:jc w:val="right"/>
              <w:rPr>
                <w:rFonts w:eastAsia="Times New Roman" w:cstheme="minorHAnsi"/>
                <w:i/>
                <w:iCs/>
                <w:color w:val="000000"/>
                <w:sz w:val="20"/>
                <w:szCs w:val="20"/>
                <w:lang w:eastAsia="nl-BE"/>
              </w:rPr>
            </w:pPr>
            <w:r w:rsidRPr="004F53FB">
              <w:rPr>
                <w:rFonts w:eastAsia="Times New Roman" w:cstheme="minorHAnsi"/>
                <w:i/>
                <w:iCs/>
                <w:color w:val="000000"/>
                <w:sz w:val="20"/>
                <w:szCs w:val="20"/>
                <w:lang w:eastAsia="nl-BE"/>
              </w:rPr>
              <w:t>175,1</w:t>
            </w:r>
          </w:p>
        </w:tc>
        <w:tc>
          <w:tcPr>
            <w:tcW w:w="737" w:type="dxa"/>
            <w:tcBorders>
              <w:top w:val="nil"/>
              <w:left w:val="nil"/>
              <w:bottom w:val="nil"/>
              <w:right w:val="single" w:sz="4" w:space="0" w:color="auto"/>
            </w:tcBorders>
            <w:shd w:val="clear" w:color="auto" w:fill="auto"/>
            <w:noWrap/>
            <w:vAlign w:val="center"/>
            <w:hideMark/>
          </w:tcPr>
          <w:p w14:paraId="6AEB2DA4" w14:textId="77777777" w:rsidR="002B6962" w:rsidRPr="004F53FB" w:rsidRDefault="002B6962" w:rsidP="002B6962">
            <w:pPr>
              <w:jc w:val="right"/>
              <w:rPr>
                <w:rFonts w:eastAsia="Times New Roman" w:cstheme="minorHAnsi"/>
                <w:i/>
                <w:iCs/>
                <w:color w:val="000000"/>
                <w:sz w:val="20"/>
                <w:szCs w:val="20"/>
                <w:lang w:eastAsia="nl-BE"/>
              </w:rPr>
            </w:pPr>
            <w:r w:rsidRPr="004F53FB">
              <w:rPr>
                <w:rFonts w:eastAsia="Times New Roman" w:cstheme="minorHAnsi"/>
                <w:i/>
                <w:iCs/>
                <w:color w:val="000000"/>
                <w:sz w:val="20"/>
                <w:szCs w:val="20"/>
                <w:lang w:eastAsia="nl-BE"/>
              </w:rPr>
              <w:t>2,6%</w:t>
            </w:r>
          </w:p>
        </w:tc>
        <w:tc>
          <w:tcPr>
            <w:tcW w:w="1160" w:type="dxa"/>
            <w:tcBorders>
              <w:top w:val="nil"/>
              <w:left w:val="nil"/>
              <w:bottom w:val="nil"/>
              <w:right w:val="nil"/>
            </w:tcBorders>
            <w:shd w:val="clear" w:color="auto" w:fill="auto"/>
            <w:noWrap/>
            <w:vAlign w:val="center"/>
            <w:hideMark/>
          </w:tcPr>
          <w:p w14:paraId="5B42D34E" w14:textId="77777777" w:rsidR="002B6962" w:rsidRPr="004F53FB" w:rsidRDefault="002B6962" w:rsidP="002B6962">
            <w:pPr>
              <w:jc w:val="right"/>
              <w:rPr>
                <w:rFonts w:eastAsia="Times New Roman" w:cstheme="minorHAnsi"/>
                <w:i/>
                <w:iCs/>
                <w:color w:val="000000"/>
                <w:sz w:val="20"/>
                <w:szCs w:val="20"/>
                <w:lang w:eastAsia="nl-BE"/>
              </w:rPr>
            </w:pPr>
            <w:r w:rsidRPr="004F53FB">
              <w:rPr>
                <w:rFonts w:eastAsia="Times New Roman" w:cstheme="minorHAnsi"/>
                <w:i/>
                <w:iCs/>
                <w:color w:val="000000"/>
                <w:sz w:val="20"/>
                <w:szCs w:val="20"/>
                <w:lang w:eastAsia="nl-BE"/>
              </w:rPr>
              <w:t>170,9</w:t>
            </w:r>
          </w:p>
        </w:tc>
        <w:tc>
          <w:tcPr>
            <w:tcW w:w="737" w:type="dxa"/>
            <w:tcBorders>
              <w:top w:val="nil"/>
              <w:left w:val="single" w:sz="4" w:space="0" w:color="auto"/>
              <w:bottom w:val="nil"/>
              <w:right w:val="single" w:sz="4" w:space="0" w:color="auto"/>
            </w:tcBorders>
            <w:shd w:val="clear" w:color="auto" w:fill="auto"/>
            <w:noWrap/>
            <w:vAlign w:val="center"/>
            <w:hideMark/>
          </w:tcPr>
          <w:p w14:paraId="2DB13260" w14:textId="77777777" w:rsidR="002B6962" w:rsidRPr="004F53FB" w:rsidRDefault="002B6962" w:rsidP="002B6962">
            <w:pPr>
              <w:jc w:val="right"/>
              <w:rPr>
                <w:rFonts w:eastAsia="Times New Roman" w:cstheme="minorHAnsi"/>
                <w:i/>
                <w:iCs/>
                <w:color w:val="000000"/>
                <w:sz w:val="20"/>
                <w:szCs w:val="20"/>
                <w:lang w:eastAsia="nl-BE"/>
              </w:rPr>
            </w:pPr>
            <w:r w:rsidRPr="004F53FB">
              <w:rPr>
                <w:rFonts w:eastAsia="Times New Roman" w:cstheme="minorHAnsi"/>
                <w:i/>
                <w:iCs/>
                <w:color w:val="000000"/>
                <w:sz w:val="20"/>
                <w:szCs w:val="20"/>
                <w:lang w:eastAsia="nl-BE"/>
              </w:rPr>
              <w:t>2,6%</w:t>
            </w:r>
          </w:p>
        </w:tc>
      </w:tr>
      <w:tr w:rsidR="002B6962" w:rsidRPr="004F53FB" w14:paraId="24C53353" w14:textId="77777777" w:rsidTr="004F53FB">
        <w:trPr>
          <w:trHeight w:val="288"/>
        </w:trPr>
        <w:tc>
          <w:tcPr>
            <w:tcW w:w="2340" w:type="dxa"/>
            <w:tcBorders>
              <w:top w:val="nil"/>
              <w:left w:val="single" w:sz="4" w:space="0" w:color="auto"/>
              <w:bottom w:val="nil"/>
              <w:right w:val="nil"/>
            </w:tcBorders>
            <w:shd w:val="clear" w:color="auto" w:fill="auto"/>
            <w:vAlign w:val="center"/>
            <w:hideMark/>
          </w:tcPr>
          <w:p w14:paraId="7D3C0074" w14:textId="77777777" w:rsidR="002B6962" w:rsidRPr="004F53FB" w:rsidRDefault="002B6962" w:rsidP="002B6962">
            <w:pPr>
              <w:jc w:val="right"/>
              <w:rPr>
                <w:rFonts w:eastAsia="Times New Roman" w:cstheme="minorHAnsi"/>
                <w:i/>
                <w:iCs/>
                <w:color w:val="000000"/>
                <w:sz w:val="20"/>
                <w:szCs w:val="20"/>
                <w:lang w:eastAsia="nl-BE"/>
              </w:rPr>
            </w:pPr>
            <w:r w:rsidRPr="004F53FB">
              <w:rPr>
                <w:rFonts w:eastAsia="Times New Roman" w:cstheme="minorHAnsi"/>
                <w:i/>
                <w:iCs/>
                <w:color w:val="000000"/>
                <w:sz w:val="20"/>
                <w:szCs w:val="20"/>
                <w:lang w:eastAsia="nl-BE"/>
              </w:rPr>
              <w:t>Opcentiemen (HRF)</w:t>
            </w:r>
          </w:p>
        </w:tc>
        <w:tc>
          <w:tcPr>
            <w:tcW w:w="953" w:type="dxa"/>
            <w:tcBorders>
              <w:top w:val="nil"/>
              <w:left w:val="single" w:sz="4" w:space="0" w:color="auto"/>
              <w:bottom w:val="nil"/>
              <w:right w:val="single" w:sz="4" w:space="0" w:color="auto"/>
            </w:tcBorders>
            <w:shd w:val="clear" w:color="auto" w:fill="auto"/>
            <w:noWrap/>
            <w:vAlign w:val="center"/>
            <w:hideMark/>
          </w:tcPr>
          <w:p w14:paraId="01EA5CBB" w14:textId="77777777" w:rsidR="002B6962" w:rsidRPr="004F53FB" w:rsidRDefault="002B6962" w:rsidP="002B6962">
            <w:pPr>
              <w:jc w:val="right"/>
              <w:rPr>
                <w:rFonts w:eastAsia="Times New Roman" w:cstheme="minorHAnsi"/>
                <w:i/>
                <w:iCs/>
                <w:color w:val="000000"/>
                <w:sz w:val="20"/>
                <w:szCs w:val="20"/>
                <w:lang w:eastAsia="nl-BE"/>
              </w:rPr>
            </w:pPr>
            <w:r w:rsidRPr="004F53FB">
              <w:rPr>
                <w:rFonts w:eastAsia="Times New Roman" w:cstheme="minorHAnsi"/>
                <w:i/>
                <w:iCs/>
                <w:color w:val="000000"/>
                <w:sz w:val="20"/>
                <w:szCs w:val="20"/>
                <w:lang w:eastAsia="nl-BE"/>
              </w:rPr>
              <w:t>7.920,7</w:t>
            </w:r>
          </w:p>
        </w:tc>
        <w:tc>
          <w:tcPr>
            <w:tcW w:w="953" w:type="dxa"/>
            <w:tcBorders>
              <w:top w:val="nil"/>
              <w:left w:val="single" w:sz="4" w:space="0" w:color="auto"/>
              <w:bottom w:val="nil"/>
              <w:right w:val="single" w:sz="4" w:space="0" w:color="auto"/>
            </w:tcBorders>
            <w:shd w:val="clear" w:color="auto" w:fill="auto"/>
            <w:noWrap/>
            <w:vAlign w:val="center"/>
            <w:hideMark/>
          </w:tcPr>
          <w:p w14:paraId="16F41C6C" w14:textId="77777777" w:rsidR="002B6962" w:rsidRPr="004F53FB" w:rsidRDefault="002B6962" w:rsidP="002B6962">
            <w:pPr>
              <w:jc w:val="right"/>
              <w:rPr>
                <w:rFonts w:eastAsia="Times New Roman" w:cstheme="minorHAnsi"/>
                <w:i/>
                <w:iCs/>
                <w:color w:val="000000"/>
                <w:sz w:val="20"/>
                <w:szCs w:val="20"/>
                <w:lang w:eastAsia="nl-BE"/>
              </w:rPr>
            </w:pPr>
            <w:r w:rsidRPr="004F53FB">
              <w:rPr>
                <w:rFonts w:eastAsia="Times New Roman" w:cstheme="minorHAnsi"/>
                <w:i/>
                <w:iCs/>
                <w:color w:val="000000"/>
                <w:sz w:val="20"/>
                <w:szCs w:val="20"/>
                <w:lang w:eastAsia="nl-BE"/>
              </w:rPr>
              <w:t>7.917,3</w:t>
            </w:r>
          </w:p>
        </w:tc>
        <w:tc>
          <w:tcPr>
            <w:tcW w:w="953" w:type="dxa"/>
            <w:tcBorders>
              <w:top w:val="nil"/>
              <w:left w:val="nil"/>
              <w:bottom w:val="nil"/>
              <w:right w:val="single" w:sz="4" w:space="0" w:color="auto"/>
            </w:tcBorders>
            <w:shd w:val="clear" w:color="auto" w:fill="auto"/>
            <w:noWrap/>
            <w:vAlign w:val="center"/>
            <w:hideMark/>
          </w:tcPr>
          <w:p w14:paraId="2DF30E57" w14:textId="77777777" w:rsidR="002B6962" w:rsidRPr="004F53FB" w:rsidRDefault="002B6962" w:rsidP="002B6962">
            <w:pPr>
              <w:jc w:val="right"/>
              <w:rPr>
                <w:rFonts w:eastAsia="Times New Roman" w:cstheme="minorHAnsi"/>
                <w:i/>
                <w:iCs/>
                <w:color w:val="000000"/>
                <w:sz w:val="20"/>
                <w:szCs w:val="20"/>
                <w:lang w:eastAsia="nl-BE"/>
              </w:rPr>
            </w:pPr>
            <w:r w:rsidRPr="004F53FB">
              <w:rPr>
                <w:rFonts w:eastAsia="Times New Roman" w:cstheme="minorHAnsi"/>
                <w:i/>
                <w:iCs/>
                <w:color w:val="000000"/>
                <w:sz w:val="20"/>
                <w:szCs w:val="20"/>
                <w:lang w:eastAsia="nl-BE"/>
              </w:rPr>
              <w:t>7.922,3</w:t>
            </w:r>
          </w:p>
        </w:tc>
        <w:tc>
          <w:tcPr>
            <w:tcW w:w="963" w:type="dxa"/>
            <w:tcBorders>
              <w:top w:val="nil"/>
              <w:left w:val="nil"/>
              <w:bottom w:val="nil"/>
              <w:right w:val="single" w:sz="4" w:space="0" w:color="auto"/>
            </w:tcBorders>
            <w:shd w:val="clear" w:color="auto" w:fill="auto"/>
            <w:noWrap/>
            <w:vAlign w:val="center"/>
            <w:hideMark/>
          </w:tcPr>
          <w:p w14:paraId="6079E570" w14:textId="77777777" w:rsidR="002B6962" w:rsidRPr="004F53FB" w:rsidRDefault="002B6962" w:rsidP="002B6962">
            <w:pPr>
              <w:jc w:val="right"/>
              <w:rPr>
                <w:rFonts w:eastAsia="Times New Roman" w:cstheme="minorHAnsi"/>
                <w:i/>
                <w:iCs/>
                <w:color w:val="000000"/>
                <w:sz w:val="20"/>
                <w:szCs w:val="20"/>
                <w:lang w:eastAsia="nl-BE"/>
              </w:rPr>
            </w:pPr>
            <w:r w:rsidRPr="004F53FB">
              <w:rPr>
                <w:rFonts w:eastAsia="Times New Roman" w:cstheme="minorHAnsi"/>
                <w:i/>
                <w:iCs/>
                <w:color w:val="000000"/>
                <w:sz w:val="20"/>
                <w:szCs w:val="20"/>
                <w:lang w:eastAsia="nl-BE"/>
              </w:rPr>
              <w:t>1,6</w:t>
            </w:r>
          </w:p>
        </w:tc>
        <w:tc>
          <w:tcPr>
            <w:tcW w:w="737" w:type="dxa"/>
            <w:tcBorders>
              <w:top w:val="nil"/>
              <w:left w:val="nil"/>
              <w:bottom w:val="nil"/>
              <w:right w:val="single" w:sz="4" w:space="0" w:color="auto"/>
            </w:tcBorders>
            <w:shd w:val="clear" w:color="auto" w:fill="auto"/>
            <w:noWrap/>
            <w:vAlign w:val="center"/>
            <w:hideMark/>
          </w:tcPr>
          <w:p w14:paraId="3F63DE9E" w14:textId="77777777" w:rsidR="002B6962" w:rsidRPr="004F53FB" w:rsidRDefault="002B6962" w:rsidP="002B6962">
            <w:pPr>
              <w:jc w:val="right"/>
              <w:rPr>
                <w:rFonts w:eastAsia="Times New Roman" w:cstheme="minorHAnsi"/>
                <w:i/>
                <w:iCs/>
                <w:color w:val="000000"/>
                <w:sz w:val="20"/>
                <w:szCs w:val="20"/>
                <w:lang w:eastAsia="nl-BE"/>
              </w:rPr>
            </w:pPr>
            <w:r w:rsidRPr="004F53FB">
              <w:rPr>
                <w:rFonts w:eastAsia="Times New Roman" w:cstheme="minorHAnsi"/>
                <w:i/>
                <w:iCs/>
                <w:color w:val="000000"/>
                <w:sz w:val="20"/>
                <w:szCs w:val="20"/>
                <w:lang w:eastAsia="nl-BE"/>
              </w:rPr>
              <w:t>0,0%</w:t>
            </w:r>
          </w:p>
        </w:tc>
        <w:tc>
          <w:tcPr>
            <w:tcW w:w="1160" w:type="dxa"/>
            <w:tcBorders>
              <w:top w:val="nil"/>
              <w:left w:val="nil"/>
              <w:bottom w:val="nil"/>
              <w:right w:val="nil"/>
            </w:tcBorders>
            <w:shd w:val="clear" w:color="auto" w:fill="auto"/>
            <w:noWrap/>
            <w:vAlign w:val="center"/>
            <w:hideMark/>
          </w:tcPr>
          <w:p w14:paraId="75602092" w14:textId="77777777" w:rsidR="002B6962" w:rsidRPr="004F53FB" w:rsidRDefault="002B6962" w:rsidP="002B6962">
            <w:pPr>
              <w:jc w:val="right"/>
              <w:rPr>
                <w:rFonts w:eastAsia="Times New Roman" w:cstheme="minorHAnsi"/>
                <w:i/>
                <w:iCs/>
                <w:color w:val="000000"/>
                <w:sz w:val="20"/>
                <w:szCs w:val="20"/>
                <w:lang w:eastAsia="nl-BE"/>
              </w:rPr>
            </w:pPr>
            <w:r w:rsidRPr="004F53FB">
              <w:rPr>
                <w:rFonts w:eastAsia="Times New Roman" w:cstheme="minorHAnsi"/>
                <w:i/>
                <w:iCs/>
                <w:color w:val="000000"/>
                <w:sz w:val="20"/>
                <w:szCs w:val="20"/>
                <w:lang w:eastAsia="nl-BE"/>
              </w:rPr>
              <w:t>5,0</w:t>
            </w:r>
          </w:p>
        </w:tc>
        <w:tc>
          <w:tcPr>
            <w:tcW w:w="737" w:type="dxa"/>
            <w:tcBorders>
              <w:top w:val="nil"/>
              <w:left w:val="single" w:sz="4" w:space="0" w:color="auto"/>
              <w:bottom w:val="nil"/>
              <w:right w:val="single" w:sz="4" w:space="0" w:color="auto"/>
            </w:tcBorders>
            <w:shd w:val="clear" w:color="auto" w:fill="auto"/>
            <w:noWrap/>
            <w:vAlign w:val="center"/>
            <w:hideMark/>
          </w:tcPr>
          <w:p w14:paraId="03CE84B1" w14:textId="77777777" w:rsidR="002B6962" w:rsidRPr="004F53FB" w:rsidRDefault="002B6962" w:rsidP="002B6962">
            <w:pPr>
              <w:jc w:val="right"/>
              <w:rPr>
                <w:rFonts w:eastAsia="Times New Roman" w:cstheme="minorHAnsi"/>
                <w:i/>
                <w:iCs/>
                <w:color w:val="000000"/>
                <w:sz w:val="20"/>
                <w:szCs w:val="20"/>
                <w:lang w:eastAsia="nl-BE"/>
              </w:rPr>
            </w:pPr>
            <w:r w:rsidRPr="004F53FB">
              <w:rPr>
                <w:rFonts w:eastAsia="Times New Roman" w:cstheme="minorHAnsi"/>
                <w:i/>
                <w:iCs/>
                <w:color w:val="000000"/>
                <w:sz w:val="20"/>
                <w:szCs w:val="20"/>
                <w:lang w:eastAsia="nl-BE"/>
              </w:rPr>
              <w:t>0,1%</w:t>
            </w:r>
          </w:p>
        </w:tc>
      </w:tr>
      <w:tr w:rsidR="002B6962" w:rsidRPr="004F53FB" w14:paraId="2EE9F207" w14:textId="77777777" w:rsidTr="004F53FB">
        <w:trPr>
          <w:trHeight w:val="288"/>
        </w:trPr>
        <w:tc>
          <w:tcPr>
            <w:tcW w:w="2340" w:type="dxa"/>
            <w:tcBorders>
              <w:top w:val="nil"/>
              <w:left w:val="single" w:sz="4" w:space="0" w:color="auto"/>
              <w:bottom w:val="nil"/>
              <w:right w:val="nil"/>
            </w:tcBorders>
            <w:shd w:val="clear" w:color="auto" w:fill="auto"/>
            <w:vAlign w:val="center"/>
            <w:hideMark/>
          </w:tcPr>
          <w:p w14:paraId="3C4EB365" w14:textId="77777777" w:rsidR="002B6962" w:rsidRPr="004F53FB" w:rsidRDefault="002B6962" w:rsidP="002B6962">
            <w:pPr>
              <w:jc w:val="right"/>
              <w:rPr>
                <w:rFonts w:eastAsia="Times New Roman" w:cstheme="minorHAnsi"/>
                <w:i/>
                <w:iCs/>
                <w:color w:val="000000"/>
                <w:sz w:val="20"/>
                <w:szCs w:val="20"/>
                <w:lang w:eastAsia="nl-BE"/>
              </w:rPr>
            </w:pPr>
            <w:r w:rsidRPr="004F53FB">
              <w:rPr>
                <w:rFonts w:eastAsia="Times New Roman" w:cstheme="minorHAnsi"/>
                <w:i/>
                <w:iCs/>
                <w:color w:val="000000"/>
                <w:sz w:val="20"/>
                <w:szCs w:val="20"/>
                <w:lang w:eastAsia="nl-BE"/>
              </w:rPr>
              <w:t>Gew&amp;Gem middelen BFW</w:t>
            </w:r>
          </w:p>
        </w:tc>
        <w:tc>
          <w:tcPr>
            <w:tcW w:w="953" w:type="dxa"/>
            <w:tcBorders>
              <w:top w:val="nil"/>
              <w:left w:val="single" w:sz="4" w:space="0" w:color="auto"/>
              <w:bottom w:val="nil"/>
              <w:right w:val="single" w:sz="4" w:space="0" w:color="auto"/>
            </w:tcBorders>
            <w:shd w:val="clear" w:color="auto" w:fill="auto"/>
            <w:noWrap/>
            <w:vAlign w:val="center"/>
            <w:hideMark/>
          </w:tcPr>
          <w:p w14:paraId="32450508" w14:textId="77777777" w:rsidR="002B6962" w:rsidRPr="004F53FB" w:rsidRDefault="002B6962" w:rsidP="002B6962">
            <w:pPr>
              <w:jc w:val="right"/>
              <w:rPr>
                <w:rFonts w:eastAsia="Times New Roman" w:cstheme="minorHAnsi"/>
                <w:i/>
                <w:iCs/>
                <w:color w:val="000000"/>
                <w:sz w:val="20"/>
                <w:szCs w:val="20"/>
                <w:lang w:eastAsia="nl-BE"/>
              </w:rPr>
            </w:pPr>
            <w:r w:rsidRPr="004F53FB">
              <w:rPr>
                <w:rFonts w:eastAsia="Times New Roman" w:cstheme="minorHAnsi"/>
                <w:i/>
                <w:iCs/>
                <w:color w:val="000000"/>
                <w:sz w:val="20"/>
                <w:szCs w:val="20"/>
                <w:lang w:eastAsia="nl-BE"/>
              </w:rPr>
              <w:t>25.601,3</w:t>
            </w:r>
          </w:p>
        </w:tc>
        <w:tc>
          <w:tcPr>
            <w:tcW w:w="953" w:type="dxa"/>
            <w:tcBorders>
              <w:top w:val="nil"/>
              <w:left w:val="single" w:sz="4" w:space="0" w:color="auto"/>
              <w:bottom w:val="nil"/>
              <w:right w:val="single" w:sz="4" w:space="0" w:color="auto"/>
            </w:tcBorders>
            <w:shd w:val="clear" w:color="auto" w:fill="auto"/>
            <w:noWrap/>
            <w:vAlign w:val="center"/>
            <w:hideMark/>
          </w:tcPr>
          <w:p w14:paraId="1CDEC77E" w14:textId="77777777" w:rsidR="002B6962" w:rsidRPr="004F53FB" w:rsidRDefault="002B6962" w:rsidP="002B6962">
            <w:pPr>
              <w:jc w:val="right"/>
              <w:rPr>
                <w:rFonts w:eastAsia="Times New Roman" w:cstheme="minorHAnsi"/>
                <w:i/>
                <w:iCs/>
                <w:color w:val="000000"/>
                <w:sz w:val="20"/>
                <w:szCs w:val="20"/>
                <w:lang w:eastAsia="nl-BE"/>
              </w:rPr>
            </w:pPr>
            <w:r w:rsidRPr="004F53FB">
              <w:rPr>
                <w:rFonts w:eastAsia="Times New Roman" w:cstheme="minorHAnsi"/>
                <w:i/>
                <w:iCs/>
                <w:color w:val="000000"/>
                <w:sz w:val="20"/>
                <w:szCs w:val="20"/>
                <w:lang w:eastAsia="nl-BE"/>
              </w:rPr>
              <w:t>25.601,3</w:t>
            </w:r>
          </w:p>
        </w:tc>
        <w:tc>
          <w:tcPr>
            <w:tcW w:w="953" w:type="dxa"/>
            <w:tcBorders>
              <w:top w:val="nil"/>
              <w:left w:val="nil"/>
              <w:bottom w:val="nil"/>
              <w:right w:val="single" w:sz="4" w:space="0" w:color="auto"/>
            </w:tcBorders>
            <w:shd w:val="clear" w:color="auto" w:fill="auto"/>
            <w:noWrap/>
            <w:vAlign w:val="center"/>
            <w:hideMark/>
          </w:tcPr>
          <w:p w14:paraId="29980078" w14:textId="77777777" w:rsidR="002B6962" w:rsidRPr="004F53FB" w:rsidRDefault="002B6962" w:rsidP="002B6962">
            <w:pPr>
              <w:jc w:val="right"/>
              <w:rPr>
                <w:rFonts w:eastAsia="Times New Roman" w:cstheme="minorHAnsi"/>
                <w:i/>
                <w:iCs/>
                <w:color w:val="000000"/>
                <w:sz w:val="20"/>
                <w:szCs w:val="20"/>
                <w:lang w:eastAsia="nl-BE"/>
              </w:rPr>
            </w:pPr>
            <w:r w:rsidRPr="004F53FB">
              <w:rPr>
                <w:rFonts w:eastAsia="Times New Roman" w:cstheme="minorHAnsi"/>
                <w:i/>
                <w:iCs/>
                <w:color w:val="000000"/>
                <w:sz w:val="20"/>
                <w:szCs w:val="20"/>
                <w:lang w:eastAsia="nl-BE"/>
              </w:rPr>
              <w:t>25.601,3</w:t>
            </w:r>
          </w:p>
        </w:tc>
        <w:tc>
          <w:tcPr>
            <w:tcW w:w="963" w:type="dxa"/>
            <w:tcBorders>
              <w:top w:val="nil"/>
              <w:left w:val="nil"/>
              <w:bottom w:val="nil"/>
              <w:right w:val="single" w:sz="4" w:space="0" w:color="auto"/>
            </w:tcBorders>
            <w:shd w:val="clear" w:color="auto" w:fill="auto"/>
            <w:noWrap/>
            <w:vAlign w:val="center"/>
            <w:hideMark/>
          </w:tcPr>
          <w:p w14:paraId="4756D150" w14:textId="77777777" w:rsidR="002B6962" w:rsidRPr="004F53FB" w:rsidRDefault="002B6962" w:rsidP="002B6962">
            <w:pPr>
              <w:jc w:val="right"/>
              <w:rPr>
                <w:rFonts w:eastAsia="Times New Roman" w:cstheme="minorHAnsi"/>
                <w:i/>
                <w:iCs/>
                <w:color w:val="000000"/>
                <w:sz w:val="20"/>
                <w:szCs w:val="20"/>
                <w:lang w:eastAsia="nl-BE"/>
              </w:rPr>
            </w:pPr>
            <w:r w:rsidRPr="004F53FB">
              <w:rPr>
                <w:rFonts w:eastAsia="Times New Roman" w:cstheme="minorHAnsi"/>
                <w:i/>
                <w:iCs/>
                <w:color w:val="000000"/>
                <w:sz w:val="20"/>
                <w:szCs w:val="20"/>
                <w:lang w:eastAsia="nl-BE"/>
              </w:rPr>
              <w:t>0,0</w:t>
            </w:r>
          </w:p>
        </w:tc>
        <w:tc>
          <w:tcPr>
            <w:tcW w:w="737" w:type="dxa"/>
            <w:tcBorders>
              <w:top w:val="nil"/>
              <w:left w:val="nil"/>
              <w:bottom w:val="nil"/>
              <w:right w:val="single" w:sz="4" w:space="0" w:color="auto"/>
            </w:tcBorders>
            <w:shd w:val="clear" w:color="auto" w:fill="auto"/>
            <w:noWrap/>
            <w:vAlign w:val="center"/>
            <w:hideMark/>
          </w:tcPr>
          <w:p w14:paraId="68A8BC1B" w14:textId="77777777" w:rsidR="002B6962" w:rsidRPr="004F53FB" w:rsidRDefault="002B6962" w:rsidP="002B6962">
            <w:pPr>
              <w:jc w:val="right"/>
              <w:rPr>
                <w:rFonts w:eastAsia="Times New Roman" w:cstheme="minorHAnsi"/>
                <w:i/>
                <w:iCs/>
                <w:color w:val="000000"/>
                <w:sz w:val="20"/>
                <w:szCs w:val="20"/>
                <w:lang w:eastAsia="nl-BE"/>
              </w:rPr>
            </w:pPr>
            <w:r w:rsidRPr="004F53FB">
              <w:rPr>
                <w:rFonts w:eastAsia="Times New Roman" w:cstheme="minorHAnsi"/>
                <w:i/>
                <w:iCs/>
                <w:color w:val="000000"/>
                <w:sz w:val="20"/>
                <w:szCs w:val="20"/>
                <w:lang w:eastAsia="nl-BE"/>
              </w:rPr>
              <w:t>0,0%</w:t>
            </w:r>
          </w:p>
        </w:tc>
        <w:tc>
          <w:tcPr>
            <w:tcW w:w="1160" w:type="dxa"/>
            <w:tcBorders>
              <w:top w:val="nil"/>
              <w:left w:val="nil"/>
              <w:bottom w:val="nil"/>
              <w:right w:val="nil"/>
            </w:tcBorders>
            <w:shd w:val="clear" w:color="auto" w:fill="auto"/>
            <w:noWrap/>
            <w:vAlign w:val="center"/>
            <w:hideMark/>
          </w:tcPr>
          <w:p w14:paraId="2C45540B" w14:textId="77777777" w:rsidR="002B6962" w:rsidRPr="004F53FB" w:rsidRDefault="002B6962" w:rsidP="002B6962">
            <w:pPr>
              <w:jc w:val="right"/>
              <w:rPr>
                <w:rFonts w:eastAsia="Times New Roman" w:cstheme="minorHAnsi"/>
                <w:i/>
                <w:iCs/>
                <w:color w:val="000000"/>
                <w:sz w:val="20"/>
                <w:szCs w:val="20"/>
                <w:lang w:eastAsia="nl-BE"/>
              </w:rPr>
            </w:pPr>
            <w:r w:rsidRPr="004F53FB">
              <w:rPr>
                <w:rFonts w:eastAsia="Times New Roman" w:cstheme="minorHAnsi"/>
                <w:i/>
                <w:iCs/>
                <w:color w:val="000000"/>
                <w:sz w:val="20"/>
                <w:szCs w:val="20"/>
                <w:lang w:eastAsia="nl-BE"/>
              </w:rPr>
              <w:t>0,0</w:t>
            </w:r>
          </w:p>
        </w:tc>
        <w:tc>
          <w:tcPr>
            <w:tcW w:w="737" w:type="dxa"/>
            <w:tcBorders>
              <w:top w:val="nil"/>
              <w:left w:val="single" w:sz="4" w:space="0" w:color="auto"/>
              <w:bottom w:val="nil"/>
              <w:right w:val="single" w:sz="4" w:space="0" w:color="auto"/>
            </w:tcBorders>
            <w:shd w:val="clear" w:color="auto" w:fill="auto"/>
            <w:noWrap/>
            <w:vAlign w:val="center"/>
            <w:hideMark/>
          </w:tcPr>
          <w:p w14:paraId="7AB5E39D" w14:textId="77777777" w:rsidR="002B6962" w:rsidRPr="004F53FB" w:rsidRDefault="002B6962" w:rsidP="002B6962">
            <w:pPr>
              <w:jc w:val="right"/>
              <w:rPr>
                <w:rFonts w:eastAsia="Times New Roman" w:cstheme="minorHAnsi"/>
                <w:i/>
                <w:iCs/>
                <w:color w:val="000000"/>
                <w:sz w:val="20"/>
                <w:szCs w:val="20"/>
                <w:lang w:eastAsia="nl-BE"/>
              </w:rPr>
            </w:pPr>
            <w:r w:rsidRPr="004F53FB">
              <w:rPr>
                <w:rFonts w:eastAsia="Times New Roman" w:cstheme="minorHAnsi"/>
                <w:i/>
                <w:iCs/>
                <w:color w:val="000000"/>
                <w:sz w:val="20"/>
                <w:szCs w:val="20"/>
                <w:lang w:eastAsia="nl-BE"/>
              </w:rPr>
              <w:t>0,0%</w:t>
            </w:r>
          </w:p>
        </w:tc>
      </w:tr>
      <w:tr w:rsidR="002B6962" w:rsidRPr="004F53FB" w14:paraId="630BCF2C" w14:textId="77777777" w:rsidTr="004F53FB">
        <w:trPr>
          <w:trHeight w:val="288"/>
        </w:trPr>
        <w:tc>
          <w:tcPr>
            <w:tcW w:w="2340" w:type="dxa"/>
            <w:tcBorders>
              <w:top w:val="nil"/>
              <w:left w:val="single" w:sz="4" w:space="0" w:color="auto"/>
              <w:bottom w:val="nil"/>
              <w:right w:val="nil"/>
            </w:tcBorders>
            <w:shd w:val="clear" w:color="auto" w:fill="auto"/>
            <w:vAlign w:val="center"/>
            <w:hideMark/>
          </w:tcPr>
          <w:p w14:paraId="5FF6B0E9" w14:textId="77777777" w:rsidR="002B6962" w:rsidRPr="004F53FB" w:rsidRDefault="002B6962" w:rsidP="002B6962">
            <w:pPr>
              <w:jc w:val="right"/>
              <w:rPr>
                <w:rFonts w:eastAsia="Times New Roman" w:cstheme="minorHAnsi"/>
                <w:i/>
                <w:iCs/>
                <w:color w:val="000000"/>
                <w:sz w:val="20"/>
                <w:szCs w:val="20"/>
                <w:lang w:eastAsia="nl-BE"/>
              </w:rPr>
            </w:pPr>
            <w:r w:rsidRPr="004F53FB">
              <w:rPr>
                <w:rFonts w:eastAsia="Times New Roman" w:cstheme="minorHAnsi"/>
                <w:i/>
                <w:iCs/>
                <w:color w:val="000000"/>
                <w:sz w:val="20"/>
                <w:szCs w:val="20"/>
                <w:lang w:eastAsia="nl-BE"/>
              </w:rPr>
              <w:t>Specifieke dotaties</w:t>
            </w:r>
          </w:p>
        </w:tc>
        <w:tc>
          <w:tcPr>
            <w:tcW w:w="953" w:type="dxa"/>
            <w:tcBorders>
              <w:top w:val="nil"/>
              <w:left w:val="single" w:sz="4" w:space="0" w:color="auto"/>
              <w:bottom w:val="nil"/>
              <w:right w:val="single" w:sz="4" w:space="0" w:color="auto"/>
            </w:tcBorders>
            <w:shd w:val="clear" w:color="auto" w:fill="auto"/>
            <w:noWrap/>
            <w:vAlign w:val="center"/>
            <w:hideMark/>
          </w:tcPr>
          <w:p w14:paraId="15EDC798" w14:textId="77777777" w:rsidR="002B6962" w:rsidRPr="004F53FB" w:rsidRDefault="002B6962" w:rsidP="002B6962">
            <w:pPr>
              <w:jc w:val="right"/>
              <w:rPr>
                <w:rFonts w:eastAsia="Times New Roman" w:cstheme="minorHAnsi"/>
                <w:i/>
                <w:iCs/>
                <w:color w:val="000000"/>
                <w:sz w:val="20"/>
                <w:szCs w:val="20"/>
                <w:lang w:eastAsia="nl-BE"/>
              </w:rPr>
            </w:pPr>
            <w:r w:rsidRPr="004F53FB">
              <w:rPr>
                <w:rFonts w:eastAsia="Times New Roman" w:cstheme="minorHAnsi"/>
                <w:i/>
                <w:iCs/>
                <w:color w:val="000000"/>
                <w:sz w:val="20"/>
                <w:szCs w:val="20"/>
                <w:lang w:eastAsia="nl-BE"/>
              </w:rPr>
              <w:t>128,9</w:t>
            </w:r>
          </w:p>
        </w:tc>
        <w:tc>
          <w:tcPr>
            <w:tcW w:w="953" w:type="dxa"/>
            <w:tcBorders>
              <w:top w:val="nil"/>
              <w:left w:val="single" w:sz="4" w:space="0" w:color="auto"/>
              <w:bottom w:val="nil"/>
              <w:right w:val="single" w:sz="4" w:space="0" w:color="auto"/>
            </w:tcBorders>
            <w:shd w:val="clear" w:color="auto" w:fill="auto"/>
            <w:noWrap/>
            <w:vAlign w:val="center"/>
            <w:hideMark/>
          </w:tcPr>
          <w:p w14:paraId="5E0EC9BD" w14:textId="77777777" w:rsidR="002B6962" w:rsidRPr="004F53FB" w:rsidRDefault="002B6962" w:rsidP="002B6962">
            <w:pPr>
              <w:jc w:val="right"/>
              <w:rPr>
                <w:rFonts w:eastAsia="Times New Roman" w:cstheme="minorHAnsi"/>
                <w:i/>
                <w:iCs/>
                <w:color w:val="000000"/>
                <w:sz w:val="20"/>
                <w:szCs w:val="20"/>
                <w:lang w:eastAsia="nl-BE"/>
              </w:rPr>
            </w:pPr>
            <w:r w:rsidRPr="004F53FB">
              <w:rPr>
                <w:rFonts w:eastAsia="Times New Roman" w:cstheme="minorHAnsi"/>
                <w:i/>
                <w:iCs/>
                <w:color w:val="000000"/>
                <w:sz w:val="20"/>
                <w:szCs w:val="20"/>
                <w:lang w:eastAsia="nl-BE"/>
              </w:rPr>
              <w:t>129,0</w:t>
            </w:r>
          </w:p>
        </w:tc>
        <w:tc>
          <w:tcPr>
            <w:tcW w:w="953" w:type="dxa"/>
            <w:tcBorders>
              <w:top w:val="nil"/>
              <w:left w:val="nil"/>
              <w:bottom w:val="nil"/>
              <w:right w:val="single" w:sz="4" w:space="0" w:color="auto"/>
            </w:tcBorders>
            <w:shd w:val="clear" w:color="auto" w:fill="auto"/>
            <w:noWrap/>
            <w:vAlign w:val="center"/>
            <w:hideMark/>
          </w:tcPr>
          <w:p w14:paraId="785E4859" w14:textId="77777777" w:rsidR="002B6962" w:rsidRPr="004F53FB" w:rsidRDefault="002B6962" w:rsidP="002B6962">
            <w:pPr>
              <w:jc w:val="right"/>
              <w:rPr>
                <w:rFonts w:eastAsia="Times New Roman" w:cstheme="minorHAnsi"/>
                <w:i/>
                <w:iCs/>
                <w:color w:val="000000"/>
                <w:sz w:val="20"/>
                <w:szCs w:val="20"/>
                <w:lang w:eastAsia="nl-BE"/>
              </w:rPr>
            </w:pPr>
            <w:r w:rsidRPr="004F53FB">
              <w:rPr>
                <w:rFonts w:eastAsia="Times New Roman" w:cstheme="minorHAnsi"/>
                <w:i/>
                <w:iCs/>
                <w:color w:val="000000"/>
                <w:sz w:val="20"/>
                <w:szCs w:val="20"/>
                <w:lang w:eastAsia="nl-BE"/>
              </w:rPr>
              <w:t>129,0</w:t>
            </w:r>
          </w:p>
        </w:tc>
        <w:tc>
          <w:tcPr>
            <w:tcW w:w="963" w:type="dxa"/>
            <w:tcBorders>
              <w:top w:val="nil"/>
              <w:left w:val="nil"/>
              <w:bottom w:val="nil"/>
              <w:right w:val="single" w:sz="4" w:space="0" w:color="auto"/>
            </w:tcBorders>
            <w:shd w:val="clear" w:color="auto" w:fill="auto"/>
            <w:noWrap/>
            <w:vAlign w:val="center"/>
            <w:hideMark/>
          </w:tcPr>
          <w:p w14:paraId="540A85BA" w14:textId="77777777" w:rsidR="002B6962" w:rsidRPr="004F53FB" w:rsidRDefault="002B6962" w:rsidP="002B6962">
            <w:pPr>
              <w:jc w:val="right"/>
              <w:rPr>
                <w:rFonts w:eastAsia="Times New Roman" w:cstheme="minorHAnsi"/>
                <w:i/>
                <w:iCs/>
                <w:color w:val="000000"/>
                <w:sz w:val="20"/>
                <w:szCs w:val="20"/>
                <w:lang w:eastAsia="nl-BE"/>
              </w:rPr>
            </w:pPr>
            <w:r w:rsidRPr="004F53FB">
              <w:rPr>
                <w:rFonts w:eastAsia="Times New Roman" w:cstheme="minorHAnsi"/>
                <w:i/>
                <w:iCs/>
                <w:color w:val="000000"/>
                <w:sz w:val="20"/>
                <w:szCs w:val="20"/>
                <w:lang w:eastAsia="nl-BE"/>
              </w:rPr>
              <w:t>0,1</w:t>
            </w:r>
          </w:p>
        </w:tc>
        <w:tc>
          <w:tcPr>
            <w:tcW w:w="737" w:type="dxa"/>
            <w:tcBorders>
              <w:top w:val="nil"/>
              <w:left w:val="nil"/>
              <w:bottom w:val="nil"/>
              <w:right w:val="single" w:sz="4" w:space="0" w:color="auto"/>
            </w:tcBorders>
            <w:shd w:val="clear" w:color="auto" w:fill="auto"/>
            <w:noWrap/>
            <w:vAlign w:val="center"/>
            <w:hideMark/>
          </w:tcPr>
          <w:p w14:paraId="32B9131A" w14:textId="77777777" w:rsidR="002B6962" w:rsidRPr="004F53FB" w:rsidRDefault="002B6962" w:rsidP="002B6962">
            <w:pPr>
              <w:jc w:val="right"/>
              <w:rPr>
                <w:rFonts w:eastAsia="Times New Roman" w:cstheme="minorHAnsi"/>
                <w:i/>
                <w:iCs/>
                <w:color w:val="000000"/>
                <w:sz w:val="20"/>
                <w:szCs w:val="20"/>
                <w:lang w:eastAsia="nl-BE"/>
              </w:rPr>
            </w:pPr>
            <w:r w:rsidRPr="004F53FB">
              <w:rPr>
                <w:rFonts w:eastAsia="Times New Roman" w:cstheme="minorHAnsi"/>
                <w:i/>
                <w:iCs/>
                <w:color w:val="000000"/>
                <w:sz w:val="20"/>
                <w:szCs w:val="20"/>
                <w:lang w:eastAsia="nl-BE"/>
              </w:rPr>
              <w:t>0,0%</w:t>
            </w:r>
          </w:p>
        </w:tc>
        <w:tc>
          <w:tcPr>
            <w:tcW w:w="1160" w:type="dxa"/>
            <w:tcBorders>
              <w:top w:val="nil"/>
              <w:left w:val="nil"/>
              <w:bottom w:val="nil"/>
              <w:right w:val="nil"/>
            </w:tcBorders>
            <w:shd w:val="clear" w:color="auto" w:fill="auto"/>
            <w:noWrap/>
            <w:vAlign w:val="center"/>
            <w:hideMark/>
          </w:tcPr>
          <w:p w14:paraId="011EA0D2" w14:textId="77777777" w:rsidR="002B6962" w:rsidRPr="004F53FB" w:rsidRDefault="002B6962" w:rsidP="002B6962">
            <w:pPr>
              <w:jc w:val="right"/>
              <w:rPr>
                <w:rFonts w:eastAsia="Times New Roman" w:cstheme="minorHAnsi"/>
                <w:i/>
                <w:iCs/>
                <w:color w:val="000000"/>
                <w:sz w:val="20"/>
                <w:szCs w:val="20"/>
                <w:lang w:eastAsia="nl-BE"/>
              </w:rPr>
            </w:pPr>
            <w:r w:rsidRPr="004F53FB">
              <w:rPr>
                <w:rFonts w:eastAsia="Times New Roman" w:cstheme="minorHAnsi"/>
                <w:i/>
                <w:iCs/>
                <w:color w:val="000000"/>
                <w:sz w:val="20"/>
                <w:szCs w:val="20"/>
                <w:lang w:eastAsia="nl-BE"/>
              </w:rPr>
              <w:t>0,0</w:t>
            </w:r>
          </w:p>
        </w:tc>
        <w:tc>
          <w:tcPr>
            <w:tcW w:w="737" w:type="dxa"/>
            <w:tcBorders>
              <w:top w:val="nil"/>
              <w:left w:val="single" w:sz="4" w:space="0" w:color="auto"/>
              <w:bottom w:val="nil"/>
              <w:right w:val="single" w:sz="4" w:space="0" w:color="auto"/>
            </w:tcBorders>
            <w:shd w:val="clear" w:color="auto" w:fill="auto"/>
            <w:noWrap/>
            <w:vAlign w:val="center"/>
            <w:hideMark/>
          </w:tcPr>
          <w:p w14:paraId="0F0C39A3" w14:textId="77777777" w:rsidR="002B6962" w:rsidRPr="004F53FB" w:rsidRDefault="002B6962" w:rsidP="002B6962">
            <w:pPr>
              <w:jc w:val="right"/>
              <w:rPr>
                <w:rFonts w:eastAsia="Times New Roman" w:cstheme="minorHAnsi"/>
                <w:i/>
                <w:iCs/>
                <w:color w:val="000000"/>
                <w:sz w:val="20"/>
                <w:szCs w:val="20"/>
                <w:lang w:eastAsia="nl-BE"/>
              </w:rPr>
            </w:pPr>
            <w:r w:rsidRPr="004F53FB">
              <w:rPr>
                <w:rFonts w:eastAsia="Times New Roman" w:cstheme="minorHAnsi"/>
                <w:i/>
                <w:iCs/>
                <w:color w:val="000000"/>
                <w:sz w:val="20"/>
                <w:szCs w:val="20"/>
                <w:lang w:eastAsia="nl-BE"/>
              </w:rPr>
              <w:t>0,0%</w:t>
            </w:r>
          </w:p>
        </w:tc>
      </w:tr>
      <w:tr w:rsidR="002B6962" w:rsidRPr="004F53FB" w14:paraId="3FAAE72B" w14:textId="77777777" w:rsidTr="004F53FB">
        <w:trPr>
          <w:trHeight w:val="288"/>
        </w:trPr>
        <w:tc>
          <w:tcPr>
            <w:tcW w:w="2340" w:type="dxa"/>
            <w:tcBorders>
              <w:top w:val="nil"/>
              <w:left w:val="single" w:sz="4" w:space="0" w:color="auto"/>
              <w:bottom w:val="nil"/>
              <w:right w:val="nil"/>
            </w:tcBorders>
            <w:shd w:val="clear" w:color="auto" w:fill="auto"/>
            <w:vAlign w:val="center"/>
            <w:hideMark/>
          </w:tcPr>
          <w:p w14:paraId="5717AFB9" w14:textId="77777777" w:rsidR="002B6962" w:rsidRPr="004F53FB" w:rsidRDefault="002B6962" w:rsidP="002B6962">
            <w:pPr>
              <w:jc w:val="right"/>
              <w:rPr>
                <w:rFonts w:eastAsia="Times New Roman" w:cstheme="minorHAnsi"/>
                <w:i/>
                <w:iCs/>
                <w:color w:val="000000"/>
                <w:sz w:val="20"/>
                <w:szCs w:val="20"/>
                <w:lang w:eastAsia="nl-BE"/>
              </w:rPr>
            </w:pPr>
            <w:r w:rsidRPr="004F53FB">
              <w:rPr>
                <w:rFonts w:eastAsia="Times New Roman" w:cstheme="minorHAnsi"/>
                <w:i/>
                <w:iCs/>
                <w:color w:val="000000"/>
                <w:sz w:val="20"/>
                <w:szCs w:val="20"/>
                <w:lang w:eastAsia="nl-BE"/>
              </w:rPr>
              <w:t>Andere</w:t>
            </w:r>
          </w:p>
        </w:tc>
        <w:tc>
          <w:tcPr>
            <w:tcW w:w="953" w:type="dxa"/>
            <w:tcBorders>
              <w:top w:val="nil"/>
              <w:left w:val="single" w:sz="4" w:space="0" w:color="auto"/>
              <w:bottom w:val="nil"/>
              <w:right w:val="single" w:sz="4" w:space="0" w:color="auto"/>
            </w:tcBorders>
            <w:shd w:val="clear" w:color="auto" w:fill="auto"/>
            <w:noWrap/>
            <w:vAlign w:val="center"/>
            <w:hideMark/>
          </w:tcPr>
          <w:p w14:paraId="42BD418B" w14:textId="77777777" w:rsidR="002B6962" w:rsidRPr="004F53FB" w:rsidRDefault="002B6962" w:rsidP="002B6962">
            <w:pPr>
              <w:jc w:val="right"/>
              <w:rPr>
                <w:rFonts w:eastAsia="Times New Roman" w:cstheme="minorHAnsi"/>
                <w:i/>
                <w:iCs/>
                <w:color w:val="000000"/>
                <w:sz w:val="20"/>
                <w:szCs w:val="20"/>
                <w:lang w:eastAsia="nl-BE"/>
              </w:rPr>
            </w:pPr>
            <w:r w:rsidRPr="004F53FB">
              <w:rPr>
                <w:rFonts w:eastAsia="Times New Roman" w:cstheme="minorHAnsi"/>
                <w:i/>
                <w:iCs/>
                <w:color w:val="000000"/>
                <w:sz w:val="20"/>
                <w:szCs w:val="20"/>
                <w:lang w:eastAsia="nl-BE"/>
              </w:rPr>
              <w:t>816,1</w:t>
            </w:r>
          </w:p>
        </w:tc>
        <w:tc>
          <w:tcPr>
            <w:tcW w:w="953" w:type="dxa"/>
            <w:tcBorders>
              <w:top w:val="nil"/>
              <w:left w:val="single" w:sz="4" w:space="0" w:color="auto"/>
              <w:bottom w:val="nil"/>
              <w:right w:val="single" w:sz="4" w:space="0" w:color="auto"/>
            </w:tcBorders>
            <w:shd w:val="clear" w:color="auto" w:fill="auto"/>
            <w:noWrap/>
            <w:vAlign w:val="center"/>
            <w:hideMark/>
          </w:tcPr>
          <w:p w14:paraId="71885C91" w14:textId="77777777" w:rsidR="002B6962" w:rsidRPr="004F53FB" w:rsidRDefault="002B6962" w:rsidP="002B6962">
            <w:pPr>
              <w:jc w:val="right"/>
              <w:rPr>
                <w:rFonts w:eastAsia="Times New Roman" w:cstheme="minorHAnsi"/>
                <w:i/>
                <w:iCs/>
                <w:color w:val="000000"/>
                <w:sz w:val="20"/>
                <w:szCs w:val="20"/>
                <w:lang w:eastAsia="nl-BE"/>
              </w:rPr>
            </w:pPr>
            <w:r w:rsidRPr="004F53FB">
              <w:rPr>
                <w:rFonts w:eastAsia="Times New Roman" w:cstheme="minorHAnsi"/>
                <w:i/>
                <w:iCs/>
                <w:color w:val="000000"/>
                <w:sz w:val="20"/>
                <w:szCs w:val="20"/>
                <w:lang w:eastAsia="nl-BE"/>
              </w:rPr>
              <w:t>786,0</w:t>
            </w:r>
          </w:p>
        </w:tc>
        <w:tc>
          <w:tcPr>
            <w:tcW w:w="953" w:type="dxa"/>
            <w:tcBorders>
              <w:top w:val="nil"/>
              <w:left w:val="nil"/>
              <w:bottom w:val="nil"/>
              <w:right w:val="single" w:sz="4" w:space="0" w:color="auto"/>
            </w:tcBorders>
            <w:shd w:val="clear" w:color="auto" w:fill="auto"/>
            <w:noWrap/>
            <w:vAlign w:val="center"/>
            <w:hideMark/>
          </w:tcPr>
          <w:p w14:paraId="1754162C" w14:textId="77777777" w:rsidR="002B6962" w:rsidRPr="004F53FB" w:rsidRDefault="002B6962" w:rsidP="002B6962">
            <w:pPr>
              <w:jc w:val="right"/>
              <w:rPr>
                <w:rFonts w:eastAsia="Times New Roman" w:cstheme="minorHAnsi"/>
                <w:i/>
                <w:iCs/>
                <w:color w:val="000000"/>
                <w:sz w:val="20"/>
                <w:szCs w:val="20"/>
                <w:lang w:eastAsia="nl-BE"/>
              </w:rPr>
            </w:pPr>
            <w:r w:rsidRPr="004F53FB">
              <w:rPr>
                <w:rFonts w:eastAsia="Times New Roman" w:cstheme="minorHAnsi"/>
                <w:i/>
                <w:iCs/>
                <w:color w:val="000000"/>
                <w:sz w:val="20"/>
                <w:szCs w:val="20"/>
                <w:lang w:eastAsia="nl-BE"/>
              </w:rPr>
              <w:t>854,7</w:t>
            </w:r>
          </w:p>
        </w:tc>
        <w:tc>
          <w:tcPr>
            <w:tcW w:w="963" w:type="dxa"/>
            <w:tcBorders>
              <w:top w:val="nil"/>
              <w:left w:val="nil"/>
              <w:bottom w:val="single" w:sz="4" w:space="0" w:color="auto"/>
              <w:right w:val="single" w:sz="4" w:space="0" w:color="auto"/>
            </w:tcBorders>
            <w:shd w:val="clear" w:color="auto" w:fill="auto"/>
            <w:noWrap/>
            <w:vAlign w:val="center"/>
            <w:hideMark/>
          </w:tcPr>
          <w:p w14:paraId="0FE35441" w14:textId="77777777" w:rsidR="002B6962" w:rsidRPr="004F53FB" w:rsidRDefault="002B6962" w:rsidP="002B6962">
            <w:pPr>
              <w:jc w:val="right"/>
              <w:rPr>
                <w:rFonts w:eastAsia="Times New Roman" w:cstheme="minorHAnsi"/>
                <w:i/>
                <w:iCs/>
                <w:color w:val="000000"/>
                <w:sz w:val="20"/>
                <w:szCs w:val="20"/>
                <w:lang w:eastAsia="nl-BE"/>
              </w:rPr>
            </w:pPr>
            <w:r w:rsidRPr="004F53FB">
              <w:rPr>
                <w:rFonts w:eastAsia="Times New Roman" w:cstheme="minorHAnsi"/>
                <w:i/>
                <w:iCs/>
                <w:color w:val="000000"/>
                <w:sz w:val="20"/>
                <w:szCs w:val="20"/>
                <w:lang w:eastAsia="nl-BE"/>
              </w:rPr>
              <w:t>38,7</w:t>
            </w:r>
          </w:p>
        </w:tc>
        <w:tc>
          <w:tcPr>
            <w:tcW w:w="737" w:type="dxa"/>
            <w:tcBorders>
              <w:top w:val="nil"/>
              <w:left w:val="nil"/>
              <w:bottom w:val="single" w:sz="4" w:space="0" w:color="auto"/>
              <w:right w:val="single" w:sz="4" w:space="0" w:color="auto"/>
            </w:tcBorders>
            <w:shd w:val="clear" w:color="auto" w:fill="auto"/>
            <w:noWrap/>
            <w:vAlign w:val="center"/>
            <w:hideMark/>
          </w:tcPr>
          <w:p w14:paraId="1F23F2EB" w14:textId="77777777" w:rsidR="002B6962" w:rsidRPr="004F53FB" w:rsidRDefault="002B6962" w:rsidP="002B6962">
            <w:pPr>
              <w:jc w:val="right"/>
              <w:rPr>
                <w:rFonts w:eastAsia="Times New Roman" w:cstheme="minorHAnsi"/>
                <w:i/>
                <w:iCs/>
                <w:color w:val="000000"/>
                <w:sz w:val="20"/>
                <w:szCs w:val="20"/>
                <w:lang w:eastAsia="nl-BE"/>
              </w:rPr>
            </w:pPr>
            <w:r w:rsidRPr="004F53FB">
              <w:rPr>
                <w:rFonts w:eastAsia="Times New Roman" w:cstheme="minorHAnsi"/>
                <w:i/>
                <w:iCs/>
                <w:color w:val="000000"/>
                <w:sz w:val="20"/>
                <w:szCs w:val="20"/>
                <w:lang w:eastAsia="nl-BE"/>
              </w:rPr>
              <w:t>4,7%</w:t>
            </w:r>
          </w:p>
        </w:tc>
        <w:tc>
          <w:tcPr>
            <w:tcW w:w="1160" w:type="dxa"/>
            <w:tcBorders>
              <w:top w:val="nil"/>
              <w:left w:val="nil"/>
              <w:bottom w:val="single" w:sz="4" w:space="0" w:color="auto"/>
              <w:right w:val="nil"/>
            </w:tcBorders>
            <w:shd w:val="clear" w:color="auto" w:fill="auto"/>
            <w:noWrap/>
            <w:vAlign w:val="center"/>
            <w:hideMark/>
          </w:tcPr>
          <w:p w14:paraId="412AE8C7" w14:textId="77777777" w:rsidR="002B6962" w:rsidRPr="004F53FB" w:rsidRDefault="002B6962" w:rsidP="002B6962">
            <w:pPr>
              <w:jc w:val="right"/>
              <w:rPr>
                <w:rFonts w:eastAsia="Times New Roman" w:cstheme="minorHAnsi"/>
                <w:i/>
                <w:iCs/>
                <w:color w:val="000000"/>
                <w:sz w:val="20"/>
                <w:szCs w:val="20"/>
                <w:lang w:eastAsia="nl-BE"/>
              </w:rPr>
            </w:pPr>
            <w:r w:rsidRPr="004F53FB">
              <w:rPr>
                <w:rFonts w:eastAsia="Times New Roman" w:cstheme="minorHAnsi"/>
                <w:i/>
                <w:iCs/>
                <w:color w:val="000000"/>
                <w:sz w:val="20"/>
                <w:szCs w:val="20"/>
                <w:lang w:eastAsia="nl-BE"/>
              </w:rPr>
              <w:t>68,7</w:t>
            </w:r>
          </w:p>
        </w:tc>
        <w:tc>
          <w:tcPr>
            <w:tcW w:w="737" w:type="dxa"/>
            <w:tcBorders>
              <w:top w:val="nil"/>
              <w:left w:val="single" w:sz="4" w:space="0" w:color="auto"/>
              <w:bottom w:val="single" w:sz="4" w:space="0" w:color="auto"/>
              <w:right w:val="single" w:sz="4" w:space="0" w:color="auto"/>
            </w:tcBorders>
            <w:shd w:val="clear" w:color="auto" w:fill="auto"/>
            <w:noWrap/>
            <w:vAlign w:val="center"/>
            <w:hideMark/>
          </w:tcPr>
          <w:p w14:paraId="2630F81B" w14:textId="77777777" w:rsidR="002B6962" w:rsidRPr="004F53FB" w:rsidRDefault="002B6962" w:rsidP="002B6962">
            <w:pPr>
              <w:jc w:val="right"/>
              <w:rPr>
                <w:rFonts w:eastAsia="Times New Roman" w:cstheme="minorHAnsi"/>
                <w:i/>
                <w:iCs/>
                <w:color w:val="000000"/>
                <w:sz w:val="20"/>
                <w:szCs w:val="20"/>
                <w:lang w:eastAsia="nl-BE"/>
              </w:rPr>
            </w:pPr>
            <w:r w:rsidRPr="004F53FB">
              <w:rPr>
                <w:rFonts w:eastAsia="Times New Roman" w:cstheme="minorHAnsi"/>
                <w:i/>
                <w:iCs/>
                <w:color w:val="000000"/>
                <w:sz w:val="20"/>
                <w:szCs w:val="20"/>
                <w:lang w:eastAsia="nl-BE"/>
              </w:rPr>
              <w:t>8,7%</w:t>
            </w:r>
          </w:p>
        </w:tc>
      </w:tr>
      <w:tr w:rsidR="002B6962" w:rsidRPr="004F53FB" w14:paraId="5E45201B" w14:textId="77777777" w:rsidTr="004F53FB">
        <w:trPr>
          <w:trHeight w:val="288"/>
        </w:trPr>
        <w:tc>
          <w:tcPr>
            <w:tcW w:w="2340" w:type="dxa"/>
            <w:tcBorders>
              <w:top w:val="single" w:sz="4" w:space="0" w:color="auto"/>
              <w:left w:val="single" w:sz="4" w:space="0" w:color="auto"/>
              <w:bottom w:val="single" w:sz="4" w:space="0" w:color="auto"/>
              <w:right w:val="nil"/>
            </w:tcBorders>
            <w:shd w:val="clear" w:color="auto" w:fill="auto"/>
            <w:noWrap/>
            <w:vAlign w:val="center"/>
            <w:hideMark/>
          </w:tcPr>
          <w:p w14:paraId="1A7341C7" w14:textId="77777777" w:rsidR="002B6962" w:rsidRPr="004F53FB" w:rsidRDefault="002B6962" w:rsidP="002B6962">
            <w:pPr>
              <w:rPr>
                <w:rFonts w:eastAsia="Times New Roman" w:cstheme="minorHAnsi"/>
                <w:color w:val="000000"/>
                <w:sz w:val="20"/>
                <w:szCs w:val="20"/>
                <w:lang w:eastAsia="nl-BE"/>
              </w:rPr>
            </w:pPr>
            <w:r w:rsidRPr="004F53FB">
              <w:rPr>
                <w:rFonts w:eastAsia="Times New Roman" w:cstheme="minorHAnsi"/>
                <w:color w:val="000000"/>
                <w:sz w:val="20"/>
                <w:szCs w:val="20"/>
                <w:lang w:eastAsia="nl-BE"/>
              </w:rPr>
              <w:t>Ontv. Alg. Begroting</w:t>
            </w:r>
          </w:p>
        </w:tc>
        <w:tc>
          <w:tcPr>
            <w:tcW w:w="953" w:type="dxa"/>
            <w:tcBorders>
              <w:top w:val="single" w:sz="4" w:space="0" w:color="auto"/>
              <w:left w:val="single" w:sz="4" w:space="0" w:color="auto"/>
              <w:bottom w:val="single" w:sz="4" w:space="0" w:color="auto"/>
              <w:right w:val="nil"/>
            </w:tcBorders>
            <w:shd w:val="clear" w:color="auto" w:fill="auto"/>
            <w:noWrap/>
            <w:vAlign w:val="center"/>
            <w:hideMark/>
          </w:tcPr>
          <w:p w14:paraId="52AF2B03" w14:textId="77777777" w:rsidR="002B6962" w:rsidRPr="004F53FB" w:rsidRDefault="002B6962" w:rsidP="002B6962">
            <w:pPr>
              <w:jc w:val="right"/>
              <w:rPr>
                <w:rFonts w:eastAsia="Times New Roman" w:cstheme="minorHAnsi"/>
                <w:color w:val="000000"/>
                <w:sz w:val="20"/>
                <w:szCs w:val="20"/>
                <w:lang w:eastAsia="nl-BE"/>
              </w:rPr>
            </w:pPr>
            <w:r w:rsidRPr="004F53FB">
              <w:rPr>
                <w:rFonts w:eastAsia="Times New Roman" w:cstheme="minorHAnsi"/>
                <w:color w:val="000000"/>
                <w:sz w:val="20"/>
                <w:szCs w:val="20"/>
                <w:lang w:eastAsia="nl-BE"/>
              </w:rPr>
              <w:t>41.139</w:t>
            </w:r>
          </w:p>
        </w:tc>
        <w:tc>
          <w:tcPr>
            <w:tcW w:w="953" w:type="dxa"/>
            <w:tcBorders>
              <w:top w:val="single" w:sz="4" w:space="0" w:color="auto"/>
              <w:left w:val="single" w:sz="4" w:space="0" w:color="auto"/>
              <w:bottom w:val="single" w:sz="4" w:space="0" w:color="auto"/>
              <w:right w:val="nil"/>
            </w:tcBorders>
            <w:shd w:val="clear" w:color="auto" w:fill="auto"/>
            <w:noWrap/>
            <w:vAlign w:val="center"/>
            <w:hideMark/>
          </w:tcPr>
          <w:p w14:paraId="2511E304" w14:textId="77777777" w:rsidR="002B6962" w:rsidRPr="004F53FB" w:rsidRDefault="002B6962" w:rsidP="002B6962">
            <w:pPr>
              <w:jc w:val="right"/>
              <w:rPr>
                <w:rFonts w:eastAsia="Times New Roman" w:cstheme="minorHAnsi"/>
                <w:color w:val="000000"/>
                <w:sz w:val="20"/>
                <w:szCs w:val="20"/>
                <w:lang w:eastAsia="nl-BE"/>
              </w:rPr>
            </w:pPr>
            <w:r w:rsidRPr="004F53FB">
              <w:rPr>
                <w:rFonts w:eastAsia="Times New Roman" w:cstheme="minorHAnsi"/>
                <w:color w:val="000000"/>
                <w:sz w:val="20"/>
                <w:szCs w:val="20"/>
                <w:lang w:eastAsia="nl-BE"/>
              </w:rPr>
              <w:t>41.110,2</w:t>
            </w:r>
          </w:p>
        </w:tc>
        <w:tc>
          <w:tcPr>
            <w:tcW w:w="953" w:type="dxa"/>
            <w:tcBorders>
              <w:top w:val="single" w:sz="4" w:space="0" w:color="auto"/>
              <w:left w:val="single" w:sz="4" w:space="0" w:color="auto"/>
              <w:bottom w:val="single" w:sz="4" w:space="0" w:color="auto"/>
              <w:right w:val="nil"/>
            </w:tcBorders>
            <w:shd w:val="clear" w:color="auto" w:fill="auto"/>
            <w:noWrap/>
            <w:vAlign w:val="center"/>
            <w:hideMark/>
          </w:tcPr>
          <w:p w14:paraId="3A3ECA86" w14:textId="77777777" w:rsidR="002B6962" w:rsidRPr="004F53FB" w:rsidRDefault="002B6962" w:rsidP="002B6962">
            <w:pPr>
              <w:jc w:val="right"/>
              <w:rPr>
                <w:rFonts w:eastAsia="Times New Roman" w:cstheme="minorHAnsi"/>
                <w:color w:val="000000"/>
                <w:sz w:val="20"/>
                <w:szCs w:val="20"/>
                <w:lang w:eastAsia="nl-BE"/>
              </w:rPr>
            </w:pPr>
            <w:r w:rsidRPr="004F53FB">
              <w:rPr>
                <w:rFonts w:eastAsia="Times New Roman" w:cstheme="minorHAnsi"/>
                <w:color w:val="000000"/>
                <w:sz w:val="20"/>
                <w:szCs w:val="20"/>
                <w:lang w:eastAsia="nl-BE"/>
              </w:rPr>
              <w:t>41.354,9</w:t>
            </w:r>
          </w:p>
        </w:tc>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15EC47C1" w14:textId="77777777" w:rsidR="002B6962" w:rsidRPr="004F53FB" w:rsidRDefault="002B6962" w:rsidP="002B6962">
            <w:pPr>
              <w:jc w:val="right"/>
              <w:rPr>
                <w:rFonts w:eastAsia="Times New Roman" w:cstheme="minorHAnsi"/>
                <w:color w:val="000000"/>
                <w:sz w:val="20"/>
                <w:szCs w:val="20"/>
                <w:lang w:eastAsia="nl-BE"/>
              </w:rPr>
            </w:pPr>
            <w:r w:rsidRPr="004F53FB">
              <w:rPr>
                <w:rFonts w:eastAsia="Times New Roman" w:cstheme="minorHAnsi"/>
                <w:color w:val="000000"/>
                <w:sz w:val="20"/>
                <w:szCs w:val="20"/>
                <w:lang w:eastAsia="nl-BE"/>
              </w:rPr>
              <w:t>215,4</w:t>
            </w:r>
          </w:p>
        </w:tc>
        <w:tc>
          <w:tcPr>
            <w:tcW w:w="737" w:type="dxa"/>
            <w:tcBorders>
              <w:top w:val="nil"/>
              <w:left w:val="nil"/>
              <w:bottom w:val="single" w:sz="4" w:space="0" w:color="auto"/>
              <w:right w:val="single" w:sz="4" w:space="0" w:color="auto"/>
            </w:tcBorders>
            <w:shd w:val="clear" w:color="auto" w:fill="auto"/>
            <w:noWrap/>
            <w:vAlign w:val="center"/>
            <w:hideMark/>
          </w:tcPr>
          <w:p w14:paraId="24897F1F" w14:textId="77777777" w:rsidR="002B6962" w:rsidRPr="004F53FB" w:rsidRDefault="002B6962" w:rsidP="002B6962">
            <w:pPr>
              <w:jc w:val="right"/>
              <w:rPr>
                <w:rFonts w:eastAsia="Times New Roman" w:cstheme="minorHAnsi"/>
                <w:color w:val="000000"/>
                <w:sz w:val="20"/>
                <w:szCs w:val="20"/>
                <w:lang w:eastAsia="nl-BE"/>
              </w:rPr>
            </w:pPr>
            <w:r w:rsidRPr="004F53FB">
              <w:rPr>
                <w:rFonts w:eastAsia="Times New Roman" w:cstheme="minorHAnsi"/>
                <w:color w:val="000000"/>
                <w:sz w:val="20"/>
                <w:szCs w:val="20"/>
                <w:lang w:eastAsia="nl-BE"/>
              </w:rPr>
              <w:t>0,5%</w:t>
            </w:r>
          </w:p>
        </w:tc>
        <w:tc>
          <w:tcPr>
            <w:tcW w:w="1160" w:type="dxa"/>
            <w:tcBorders>
              <w:top w:val="nil"/>
              <w:left w:val="nil"/>
              <w:bottom w:val="single" w:sz="4" w:space="0" w:color="auto"/>
              <w:right w:val="nil"/>
            </w:tcBorders>
            <w:shd w:val="clear" w:color="auto" w:fill="auto"/>
            <w:noWrap/>
            <w:vAlign w:val="center"/>
            <w:hideMark/>
          </w:tcPr>
          <w:p w14:paraId="49DE9117" w14:textId="77777777" w:rsidR="002B6962" w:rsidRPr="004F53FB" w:rsidRDefault="002B6962" w:rsidP="002B6962">
            <w:pPr>
              <w:jc w:val="right"/>
              <w:rPr>
                <w:rFonts w:eastAsia="Times New Roman" w:cstheme="minorHAnsi"/>
                <w:color w:val="000000"/>
                <w:sz w:val="20"/>
                <w:szCs w:val="20"/>
                <w:lang w:eastAsia="nl-BE"/>
              </w:rPr>
            </w:pPr>
            <w:r w:rsidRPr="004F53FB">
              <w:rPr>
                <w:rFonts w:eastAsia="Times New Roman" w:cstheme="minorHAnsi"/>
                <w:color w:val="000000"/>
                <w:sz w:val="20"/>
                <w:szCs w:val="20"/>
                <w:lang w:eastAsia="nl-BE"/>
              </w:rPr>
              <w:t>244,7</w:t>
            </w:r>
          </w:p>
        </w:tc>
        <w:tc>
          <w:tcPr>
            <w:tcW w:w="737" w:type="dxa"/>
            <w:tcBorders>
              <w:top w:val="nil"/>
              <w:left w:val="single" w:sz="4" w:space="0" w:color="auto"/>
              <w:bottom w:val="single" w:sz="4" w:space="0" w:color="auto"/>
              <w:right w:val="single" w:sz="4" w:space="0" w:color="auto"/>
            </w:tcBorders>
            <w:shd w:val="clear" w:color="auto" w:fill="auto"/>
            <w:noWrap/>
            <w:vAlign w:val="center"/>
            <w:hideMark/>
          </w:tcPr>
          <w:p w14:paraId="7A710E79" w14:textId="77777777" w:rsidR="002B6962" w:rsidRPr="004F53FB" w:rsidRDefault="002B6962" w:rsidP="002B6962">
            <w:pPr>
              <w:jc w:val="right"/>
              <w:rPr>
                <w:rFonts w:eastAsia="Times New Roman" w:cstheme="minorHAnsi"/>
                <w:color w:val="000000"/>
                <w:sz w:val="20"/>
                <w:szCs w:val="20"/>
                <w:lang w:eastAsia="nl-BE"/>
              </w:rPr>
            </w:pPr>
            <w:r w:rsidRPr="004F53FB">
              <w:rPr>
                <w:rFonts w:eastAsia="Times New Roman" w:cstheme="minorHAnsi"/>
                <w:color w:val="000000"/>
                <w:sz w:val="20"/>
                <w:szCs w:val="20"/>
                <w:lang w:eastAsia="nl-BE"/>
              </w:rPr>
              <w:t>0,6%</w:t>
            </w:r>
          </w:p>
        </w:tc>
      </w:tr>
      <w:tr w:rsidR="002B6962" w:rsidRPr="004F53FB" w14:paraId="32E47FAF" w14:textId="77777777" w:rsidTr="004F53FB">
        <w:trPr>
          <w:trHeight w:val="288"/>
        </w:trPr>
        <w:tc>
          <w:tcPr>
            <w:tcW w:w="2340" w:type="dxa"/>
            <w:tcBorders>
              <w:top w:val="nil"/>
              <w:left w:val="single" w:sz="4" w:space="0" w:color="auto"/>
              <w:bottom w:val="single" w:sz="4" w:space="0" w:color="auto"/>
              <w:right w:val="nil"/>
            </w:tcBorders>
            <w:shd w:val="clear" w:color="auto" w:fill="auto"/>
            <w:noWrap/>
            <w:vAlign w:val="center"/>
            <w:hideMark/>
          </w:tcPr>
          <w:p w14:paraId="1CED983B" w14:textId="77777777" w:rsidR="002B6962" w:rsidRPr="004F53FB" w:rsidRDefault="002B6962" w:rsidP="002B6962">
            <w:pPr>
              <w:rPr>
                <w:rFonts w:eastAsia="Times New Roman" w:cstheme="minorHAnsi"/>
                <w:color w:val="000000"/>
                <w:sz w:val="20"/>
                <w:szCs w:val="20"/>
                <w:lang w:eastAsia="nl-BE"/>
              </w:rPr>
            </w:pPr>
            <w:r w:rsidRPr="004F53FB">
              <w:rPr>
                <w:rFonts w:eastAsia="Times New Roman" w:cstheme="minorHAnsi"/>
                <w:color w:val="000000"/>
                <w:sz w:val="20"/>
                <w:szCs w:val="20"/>
                <w:lang w:eastAsia="nl-BE"/>
              </w:rPr>
              <w:t>Ontv. DAB</w:t>
            </w:r>
          </w:p>
        </w:tc>
        <w:tc>
          <w:tcPr>
            <w:tcW w:w="953" w:type="dxa"/>
            <w:tcBorders>
              <w:top w:val="nil"/>
              <w:left w:val="single" w:sz="4" w:space="0" w:color="auto"/>
              <w:bottom w:val="single" w:sz="4" w:space="0" w:color="auto"/>
              <w:right w:val="single" w:sz="4" w:space="0" w:color="auto"/>
            </w:tcBorders>
            <w:shd w:val="clear" w:color="auto" w:fill="auto"/>
            <w:noWrap/>
            <w:vAlign w:val="center"/>
            <w:hideMark/>
          </w:tcPr>
          <w:p w14:paraId="61F5E2E7" w14:textId="77777777" w:rsidR="002B6962" w:rsidRPr="004F53FB" w:rsidRDefault="002B6962" w:rsidP="002B6962">
            <w:pPr>
              <w:jc w:val="right"/>
              <w:rPr>
                <w:rFonts w:eastAsia="Times New Roman" w:cstheme="minorHAnsi"/>
                <w:color w:val="000000"/>
                <w:sz w:val="20"/>
                <w:szCs w:val="20"/>
                <w:lang w:eastAsia="nl-BE"/>
              </w:rPr>
            </w:pPr>
            <w:r w:rsidRPr="004F53FB">
              <w:rPr>
                <w:rFonts w:eastAsia="Times New Roman" w:cstheme="minorHAnsi"/>
                <w:color w:val="000000"/>
                <w:sz w:val="20"/>
                <w:szCs w:val="20"/>
                <w:lang w:eastAsia="nl-BE"/>
              </w:rPr>
              <w:t>308,8</w:t>
            </w:r>
          </w:p>
        </w:tc>
        <w:tc>
          <w:tcPr>
            <w:tcW w:w="953" w:type="dxa"/>
            <w:tcBorders>
              <w:top w:val="nil"/>
              <w:left w:val="single" w:sz="4" w:space="0" w:color="auto"/>
              <w:bottom w:val="single" w:sz="4" w:space="0" w:color="auto"/>
              <w:right w:val="single" w:sz="4" w:space="0" w:color="auto"/>
            </w:tcBorders>
            <w:shd w:val="clear" w:color="auto" w:fill="auto"/>
            <w:noWrap/>
            <w:vAlign w:val="center"/>
            <w:hideMark/>
          </w:tcPr>
          <w:p w14:paraId="310E9F18" w14:textId="77777777" w:rsidR="002B6962" w:rsidRPr="004F53FB" w:rsidRDefault="002B6962" w:rsidP="002B6962">
            <w:pPr>
              <w:jc w:val="right"/>
              <w:rPr>
                <w:rFonts w:eastAsia="Times New Roman" w:cstheme="minorHAnsi"/>
                <w:color w:val="000000"/>
                <w:sz w:val="20"/>
                <w:szCs w:val="20"/>
                <w:lang w:eastAsia="nl-BE"/>
              </w:rPr>
            </w:pPr>
            <w:r w:rsidRPr="004F53FB">
              <w:rPr>
                <w:rFonts w:eastAsia="Times New Roman" w:cstheme="minorHAnsi"/>
                <w:color w:val="000000"/>
                <w:sz w:val="20"/>
                <w:szCs w:val="20"/>
                <w:lang w:eastAsia="nl-BE"/>
              </w:rPr>
              <w:t>315,7</w:t>
            </w:r>
          </w:p>
        </w:tc>
        <w:tc>
          <w:tcPr>
            <w:tcW w:w="953" w:type="dxa"/>
            <w:tcBorders>
              <w:top w:val="nil"/>
              <w:left w:val="nil"/>
              <w:bottom w:val="single" w:sz="4" w:space="0" w:color="auto"/>
              <w:right w:val="single" w:sz="4" w:space="0" w:color="auto"/>
            </w:tcBorders>
            <w:shd w:val="clear" w:color="auto" w:fill="auto"/>
            <w:noWrap/>
            <w:vAlign w:val="center"/>
            <w:hideMark/>
          </w:tcPr>
          <w:p w14:paraId="18FA3A22" w14:textId="77777777" w:rsidR="002B6962" w:rsidRPr="004F53FB" w:rsidRDefault="002B6962" w:rsidP="002B6962">
            <w:pPr>
              <w:jc w:val="right"/>
              <w:rPr>
                <w:rFonts w:eastAsia="Times New Roman" w:cstheme="minorHAnsi"/>
                <w:color w:val="000000"/>
                <w:sz w:val="20"/>
                <w:szCs w:val="20"/>
                <w:lang w:eastAsia="nl-BE"/>
              </w:rPr>
            </w:pPr>
            <w:r w:rsidRPr="004F53FB">
              <w:rPr>
                <w:rFonts w:eastAsia="Times New Roman" w:cstheme="minorHAnsi"/>
                <w:color w:val="000000"/>
                <w:sz w:val="20"/>
                <w:szCs w:val="20"/>
                <w:lang w:eastAsia="nl-BE"/>
              </w:rPr>
              <w:t>375,3</w:t>
            </w:r>
          </w:p>
        </w:tc>
        <w:tc>
          <w:tcPr>
            <w:tcW w:w="963" w:type="dxa"/>
            <w:tcBorders>
              <w:top w:val="nil"/>
              <w:left w:val="nil"/>
              <w:bottom w:val="single" w:sz="4" w:space="0" w:color="auto"/>
              <w:right w:val="single" w:sz="4" w:space="0" w:color="auto"/>
            </w:tcBorders>
            <w:shd w:val="clear" w:color="auto" w:fill="auto"/>
            <w:noWrap/>
            <w:vAlign w:val="center"/>
            <w:hideMark/>
          </w:tcPr>
          <w:p w14:paraId="5294D8BB" w14:textId="77777777" w:rsidR="002B6962" w:rsidRPr="004F53FB" w:rsidRDefault="002B6962" w:rsidP="002B6962">
            <w:pPr>
              <w:jc w:val="right"/>
              <w:rPr>
                <w:rFonts w:eastAsia="Times New Roman" w:cstheme="minorHAnsi"/>
                <w:color w:val="000000"/>
                <w:sz w:val="20"/>
                <w:szCs w:val="20"/>
                <w:lang w:eastAsia="nl-BE"/>
              </w:rPr>
            </w:pPr>
            <w:r w:rsidRPr="004F53FB">
              <w:rPr>
                <w:rFonts w:eastAsia="Times New Roman" w:cstheme="minorHAnsi"/>
                <w:color w:val="000000"/>
                <w:sz w:val="20"/>
                <w:szCs w:val="20"/>
                <w:lang w:eastAsia="nl-BE"/>
              </w:rPr>
              <w:t>66,5</w:t>
            </w:r>
          </w:p>
        </w:tc>
        <w:tc>
          <w:tcPr>
            <w:tcW w:w="737" w:type="dxa"/>
            <w:tcBorders>
              <w:top w:val="nil"/>
              <w:left w:val="nil"/>
              <w:bottom w:val="single" w:sz="4" w:space="0" w:color="auto"/>
              <w:right w:val="single" w:sz="4" w:space="0" w:color="auto"/>
            </w:tcBorders>
            <w:shd w:val="clear" w:color="auto" w:fill="auto"/>
            <w:noWrap/>
            <w:vAlign w:val="center"/>
            <w:hideMark/>
          </w:tcPr>
          <w:p w14:paraId="334B687C" w14:textId="77777777" w:rsidR="002B6962" w:rsidRPr="004F53FB" w:rsidRDefault="002B6962" w:rsidP="002B6962">
            <w:pPr>
              <w:jc w:val="right"/>
              <w:rPr>
                <w:rFonts w:eastAsia="Times New Roman" w:cstheme="minorHAnsi"/>
                <w:color w:val="000000"/>
                <w:sz w:val="20"/>
                <w:szCs w:val="20"/>
                <w:lang w:eastAsia="nl-BE"/>
              </w:rPr>
            </w:pPr>
            <w:r w:rsidRPr="004F53FB">
              <w:rPr>
                <w:rFonts w:eastAsia="Times New Roman" w:cstheme="minorHAnsi"/>
                <w:color w:val="000000"/>
                <w:sz w:val="20"/>
                <w:szCs w:val="20"/>
                <w:lang w:eastAsia="nl-BE"/>
              </w:rPr>
              <w:t>21,6%</w:t>
            </w:r>
          </w:p>
        </w:tc>
        <w:tc>
          <w:tcPr>
            <w:tcW w:w="1160" w:type="dxa"/>
            <w:tcBorders>
              <w:top w:val="nil"/>
              <w:left w:val="nil"/>
              <w:bottom w:val="single" w:sz="4" w:space="0" w:color="auto"/>
              <w:right w:val="nil"/>
            </w:tcBorders>
            <w:shd w:val="clear" w:color="auto" w:fill="auto"/>
            <w:noWrap/>
            <w:vAlign w:val="center"/>
            <w:hideMark/>
          </w:tcPr>
          <w:p w14:paraId="6EF41BC2" w14:textId="77777777" w:rsidR="002B6962" w:rsidRPr="004F53FB" w:rsidRDefault="002B6962" w:rsidP="002B6962">
            <w:pPr>
              <w:jc w:val="right"/>
              <w:rPr>
                <w:rFonts w:eastAsia="Times New Roman" w:cstheme="minorHAnsi"/>
                <w:color w:val="000000"/>
                <w:sz w:val="20"/>
                <w:szCs w:val="20"/>
                <w:lang w:eastAsia="nl-BE"/>
              </w:rPr>
            </w:pPr>
            <w:r w:rsidRPr="004F53FB">
              <w:rPr>
                <w:rFonts w:eastAsia="Times New Roman" w:cstheme="minorHAnsi"/>
                <w:color w:val="000000"/>
                <w:sz w:val="20"/>
                <w:szCs w:val="20"/>
                <w:lang w:eastAsia="nl-BE"/>
              </w:rPr>
              <w:t>59,6</w:t>
            </w:r>
          </w:p>
        </w:tc>
        <w:tc>
          <w:tcPr>
            <w:tcW w:w="737" w:type="dxa"/>
            <w:tcBorders>
              <w:top w:val="nil"/>
              <w:left w:val="single" w:sz="4" w:space="0" w:color="auto"/>
              <w:bottom w:val="single" w:sz="4" w:space="0" w:color="auto"/>
              <w:right w:val="single" w:sz="4" w:space="0" w:color="auto"/>
            </w:tcBorders>
            <w:shd w:val="clear" w:color="auto" w:fill="auto"/>
            <w:noWrap/>
            <w:vAlign w:val="center"/>
            <w:hideMark/>
          </w:tcPr>
          <w:p w14:paraId="25D9E2F4" w14:textId="77777777" w:rsidR="002B6962" w:rsidRPr="004F53FB" w:rsidRDefault="002B6962" w:rsidP="002B6962">
            <w:pPr>
              <w:jc w:val="right"/>
              <w:rPr>
                <w:rFonts w:eastAsia="Times New Roman" w:cstheme="minorHAnsi"/>
                <w:color w:val="000000"/>
                <w:sz w:val="20"/>
                <w:szCs w:val="20"/>
                <w:lang w:eastAsia="nl-BE"/>
              </w:rPr>
            </w:pPr>
            <w:r w:rsidRPr="004F53FB">
              <w:rPr>
                <w:rFonts w:eastAsia="Times New Roman" w:cstheme="minorHAnsi"/>
                <w:color w:val="000000"/>
                <w:sz w:val="20"/>
                <w:szCs w:val="20"/>
                <w:lang w:eastAsia="nl-BE"/>
              </w:rPr>
              <w:t>18,9%</w:t>
            </w:r>
          </w:p>
        </w:tc>
      </w:tr>
      <w:tr w:rsidR="002B6962" w:rsidRPr="004F53FB" w14:paraId="6C62AD1A" w14:textId="77777777" w:rsidTr="004F53FB">
        <w:trPr>
          <w:trHeight w:val="288"/>
        </w:trPr>
        <w:tc>
          <w:tcPr>
            <w:tcW w:w="2340" w:type="dxa"/>
            <w:tcBorders>
              <w:top w:val="nil"/>
              <w:left w:val="single" w:sz="4" w:space="0" w:color="auto"/>
              <w:bottom w:val="single" w:sz="4" w:space="0" w:color="auto"/>
              <w:right w:val="nil"/>
            </w:tcBorders>
            <w:shd w:val="clear" w:color="auto" w:fill="auto"/>
            <w:noWrap/>
            <w:vAlign w:val="center"/>
            <w:hideMark/>
          </w:tcPr>
          <w:p w14:paraId="03033CA3" w14:textId="77777777" w:rsidR="002B6962" w:rsidRPr="004F53FB" w:rsidRDefault="002B6962" w:rsidP="002B6962">
            <w:pPr>
              <w:rPr>
                <w:rFonts w:eastAsia="Times New Roman" w:cstheme="minorHAnsi"/>
                <w:color w:val="000000"/>
                <w:sz w:val="20"/>
                <w:szCs w:val="20"/>
                <w:lang w:eastAsia="nl-BE"/>
              </w:rPr>
            </w:pPr>
            <w:r w:rsidRPr="004F53FB">
              <w:rPr>
                <w:rFonts w:eastAsia="Times New Roman" w:cstheme="minorHAnsi"/>
                <w:color w:val="000000"/>
                <w:sz w:val="20"/>
                <w:szCs w:val="20"/>
                <w:lang w:eastAsia="nl-BE"/>
              </w:rPr>
              <w:t>Ontv. RP</w:t>
            </w:r>
          </w:p>
        </w:tc>
        <w:tc>
          <w:tcPr>
            <w:tcW w:w="953" w:type="dxa"/>
            <w:tcBorders>
              <w:top w:val="nil"/>
              <w:left w:val="single" w:sz="4" w:space="0" w:color="auto"/>
              <w:bottom w:val="single" w:sz="4" w:space="0" w:color="auto"/>
              <w:right w:val="single" w:sz="4" w:space="0" w:color="auto"/>
            </w:tcBorders>
            <w:shd w:val="clear" w:color="auto" w:fill="auto"/>
            <w:noWrap/>
            <w:vAlign w:val="center"/>
            <w:hideMark/>
          </w:tcPr>
          <w:p w14:paraId="2E39E772" w14:textId="77777777" w:rsidR="002B6962" w:rsidRPr="004F53FB" w:rsidRDefault="002B6962" w:rsidP="002B6962">
            <w:pPr>
              <w:jc w:val="right"/>
              <w:rPr>
                <w:rFonts w:eastAsia="Times New Roman" w:cstheme="minorHAnsi"/>
                <w:color w:val="000000"/>
                <w:sz w:val="20"/>
                <w:szCs w:val="20"/>
                <w:lang w:eastAsia="nl-BE"/>
              </w:rPr>
            </w:pPr>
            <w:r w:rsidRPr="004F53FB">
              <w:rPr>
                <w:rFonts w:eastAsia="Times New Roman" w:cstheme="minorHAnsi"/>
                <w:color w:val="000000"/>
                <w:sz w:val="20"/>
                <w:szCs w:val="20"/>
                <w:lang w:eastAsia="nl-BE"/>
              </w:rPr>
              <w:t>3.682,2</w:t>
            </w:r>
          </w:p>
        </w:tc>
        <w:tc>
          <w:tcPr>
            <w:tcW w:w="953" w:type="dxa"/>
            <w:tcBorders>
              <w:top w:val="nil"/>
              <w:left w:val="single" w:sz="4" w:space="0" w:color="auto"/>
              <w:bottom w:val="single" w:sz="4" w:space="0" w:color="auto"/>
              <w:right w:val="single" w:sz="4" w:space="0" w:color="auto"/>
            </w:tcBorders>
            <w:shd w:val="clear" w:color="auto" w:fill="auto"/>
            <w:noWrap/>
            <w:vAlign w:val="center"/>
            <w:hideMark/>
          </w:tcPr>
          <w:p w14:paraId="7E70DD06" w14:textId="77777777" w:rsidR="002B6962" w:rsidRPr="004F53FB" w:rsidRDefault="002B6962" w:rsidP="002B6962">
            <w:pPr>
              <w:jc w:val="right"/>
              <w:rPr>
                <w:rFonts w:eastAsia="Times New Roman" w:cstheme="minorHAnsi"/>
                <w:color w:val="000000"/>
                <w:sz w:val="20"/>
                <w:szCs w:val="20"/>
                <w:lang w:eastAsia="nl-BE"/>
              </w:rPr>
            </w:pPr>
            <w:r w:rsidRPr="004F53FB">
              <w:rPr>
                <w:rFonts w:eastAsia="Times New Roman" w:cstheme="minorHAnsi"/>
                <w:color w:val="000000"/>
                <w:sz w:val="20"/>
                <w:szCs w:val="20"/>
                <w:lang w:eastAsia="nl-BE"/>
              </w:rPr>
              <w:t>3.677,9</w:t>
            </w:r>
          </w:p>
        </w:tc>
        <w:tc>
          <w:tcPr>
            <w:tcW w:w="953" w:type="dxa"/>
            <w:tcBorders>
              <w:top w:val="nil"/>
              <w:left w:val="nil"/>
              <w:bottom w:val="single" w:sz="4" w:space="0" w:color="auto"/>
              <w:right w:val="single" w:sz="4" w:space="0" w:color="auto"/>
            </w:tcBorders>
            <w:shd w:val="clear" w:color="auto" w:fill="auto"/>
            <w:noWrap/>
            <w:vAlign w:val="center"/>
            <w:hideMark/>
          </w:tcPr>
          <w:p w14:paraId="4ADC3381" w14:textId="77777777" w:rsidR="002B6962" w:rsidRPr="004F53FB" w:rsidRDefault="002B6962" w:rsidP="002B6962">
            <w:pPr>
              <w:jc w:val="right"/>
              <w:rPr>
                <w:rFonts w:eastAsia="Times New Roman" w:cstheme="minorHAnsi"/>
                <w:color w:val="000000"/>
                <w:sz w:val="20"/>
                <w:szCs w:val="20"/>
                <w:lang w:eastAsia="nl-BE"/>
              </w:rPr>
            </w:pPr>
            <w:r w:rsidRPr="004F53FB">
              <w:rPr>
                <w:rFonts w:eastAsia="Times New Roman" w:cstheme="minorHAnsi"/>
                <w:color w:val="000000"/>
                <w:sz w:val="20"/>
                <w:szCs w:val="20"/>
                <w:lang w:eastAsia="nl-BE"/>
              </w:rPr>
              <w:t>3.799,7</w:t>
            </w:r>
          </w:p>
        </w:tc>
        <w:tc>
          <w:tcPr>
            <w:tcW w:w="963" w:type="dxa"/>
            <w:tcBorders>
              <w:top w:val="nil"/>
              <w:left w:val="nil"/>
              <w:bottom w:val="single" w:sz="4" w:space="0" w:color="auto"/>
              <w:right w:val="single" w:sz="4" w:space="0" w:color="auto"/>
            </w:tcBorders>
            <w:shd w:val="clear" w:color="auto" w:fill="auto"/>
            <w:noWrap/>
            <w:vAlign w:val="center"/>
            <w:hideMark/>
          </w:tcPr>
          <w:p w14:paraId="7CB0AD4F" w14:textId="77777777" w:rsidR="002B6962" w:rsidRPr="004F53FB" w:rsidRDefault="002B6962" w:rsidP="002B6962">
            <w:pPr>
              <w:jc w:val="right"/>
              <w:rPr>
                <w:rFonts w:eastAsia="Times New Roman" w:cstheme="minorHAnsi"/>
                <w:color w:val="000000"/>
                <w:sz w:val="20"/>
                <w:szCs w:val="20"/>
                <w:lang w:eastAsia="nl-BE"/>
              </w:rPr>
            </w:pPr>
            <w:r w:rsidRPr="004F53FB">
              <w:rPr>
                <w:rFonts w:eastAsia="Times New Roman" w:cstheme="minorHAnsi"/>
                <w:color w:val="000000"/>
                <w:sz w:val="20"/>
                <w:szCs w:val="20"/>
                <w:lang w:eastAsia="nl-BE"/>
              </w:rPr>
              <w:t>117,5</w:t>
            </w:r>
          </w:p>
        </w:tc>
        <w:tc>
          <w:tcPr>
            <w:tcW w:w="737" w:type="dxa"/>
            <w:tcBorders>
              <w:top w:val="nil"/>
              <w:left w:val="nil"/>
              <w:bottom w:val="single" w:sz="4" w:space="0" w:color="auto"/>
              <w:right w:val="single" w:sz="4" w:space="0" w:color="auto"/>
            </w:tcBorders>
            <w:shd w:val="clear" w:color="auto" w:fill="auto"/>
            <w:noWrap/>
            <w:vAlign w:val="center"/>
            <w:hideMark/>
          </w:tcPr>
          <w:p w14:paraId="20F59A8D" w14:textId="77777777" w:rsidR="002B6962" w:rsidRPr="004F53FB" w:rsidRDefault="002B6962" w:rsidP="002B6962">
            <w:pPr>
              <w:jc w:val="right"/>
              <w:rPr>
                <w:rFonts w:eastAsia="Times New Roman" w:cstheme="minorHAnsi"/>
                <w:color w:val="000000"/>
                <w:sz w:val="20"/>
                <w:szCs w:val="20"/>
                <w:lang w:eastAsia="nl-BE"/>
              </w:rPr>
            </w:pPr>
            <w:r w:rsidRPr="004F53FB">
              <w:rPr>
                <w:rFonts w:eastAsia="Times New Roman" w:cstheme="minorHAnsi"/>
                <w:color w:val="000000"/>
                <w:sz w:val="20"/>
                <w:szCs w:val="20"/>
                <w:lang w:eastAsia="nl-BE"/>
              </w:rPr>
              <w:t>3,2%</w:t>
            </w:r>
          </w:p>
        </w:tc>
        <w:tc>
          <w:tcPr>
            <w:tcW w:w="1160" w:type="dxa"/>
            <w:tcBorders>
              <w:top w:val="nil"/>
              <w:left w:val="nil"/>
              <w:bottom w:val="single" w:sz="4" w:space="0" w:color="auto"/>
              <w:right w:val="nil"/>
            </w:tcBorders>
            <w:shd w:val="clear" w:color="auto" w:fill="auto"/>
            <w:noWrap/>
            <w:vAlign w:val="center"/>
            <w:hideMark/>
          </w:tcPr>
          <w:p w14:paraId="0936C79A" w14:textId="77777777" w:rsidR="002B6962" w:rsidRPr="004F53FB" w:rsidRDefault="002B6962" w:rsidP="002B6962">
            <w:pPr>
              <w:jc w:val="right"/>
              <w:rPr>
                <w:rFonts w:eastAsia="Times New Roman" w:cstheme="minorHAnsi"/>
                <w:color w:val="000000"/>
                <w:sz w:val="20"/>
                <w:szCs w:val="20"/>
                <w:lang w:eastAsia="nl-BE"/>
              </w:rPr>
            </w:pPr>
            <w:r w:rsidRPr="004F53FB">
              <w:rPr>
                <w:rFonts w:eastAsia="Times New Roman" w:cstheme="minorHAnsi"/>
                <w:color w:val="000000"/>
                <w:sz w:val="20"/>
                <w:szCs w:val="20"/>
                <w:lang w:eastAsia="nl-BE"/>
              </w:rPr>
              <w:t>121,8</w:t>
            </w:r>
          </w:p>
        </w:tc>
        <w:tc>
          <w:tcPr>
            <w:tcW w:w="737" w:type="dxa"/>
            <w:tcBorders>
              <w:top w:val="nil"/>
              <w:left w:val="single" w:sz="4" w:space="0" w:color="auto"/>
              <w:bottom w:val="single" w:sz="4" w:space="0" w:color="auto"/>
              <w:right w:val="single" w:sz="4" w:space="0" w:color="auto"/>
            </w:tcBorders>
            <w:shd w:val="clear" w:color="auto" w:fill="auto"/>
            <w:noWrap/>
            <w:vAlign w:val="center"/>
            <w:hideMark/>
          </w:tcPr>
          <w:p w14:paraId="15941126" w14:textId="77777777" w:rsidR="002B6962" w:rsidRPr="004F53FB" w:rsidRDefault="002B6962" w:rsidP="002B6962">
            <w:pPr>
              <w:jc w:val="right"/>
              <w:rPr>
                <w:rFonts w:eastAsia="Times New Roman" w:cstheme="minorHAnsi"/>
                <w:color w:val="000000"/>
                <w:sz w:val="20"/>
                <w:szCs w:val="20"/>
                <w:lang w:eastAsia="nl-BE"/>
              </w:rPr>
            </w:pPr>
            <w:r w:rsidRPr="004F53FB">
              <w:rPr>
                <w:rFonts w:eastAsia="Times New Roman" w:cstheme="minorHAnsi"/>
                <w:color w:val="000000"/>
                <w:sz w:val="20"/>
                <w:szCs w:val="20"/>
                <w:lang w:eastAsia="nl-BE"/>
              </w:rPr>
              <w:t>3,3%</w:t>
            </w:r>
          </w:p>
        </w:tc>
      </w:tr>
      <w:tr w:rsidR="002B6962" w:rsidRPr="004F53FB" w14:paraId="5E5EF9D7" w14:textId="77777777" w:rsidTr="004F53FB">
        <w:trPr>
          <w:trHeight w:val="288"/>
        </w:trPr>
        <w:tc>
          <w:tcPr>
            <w:tcW w:w="2340" w:type="dxa"/>
            <w:tcBorders>
              <w:top w:val="nil"/>
              <w:left w:val="single" w:sz="4" w:space="0" w:color="auto"/>
              <w:bottom w:val="single" w:sz="4" w:space="0" w:color="auto"/>
              <w:right w:val="nil"/>
            </w:tcBorders>
            <w:shd w:val="clear" w:color="auto" w:fill="auto"/>
            <w:noWrap/>
            <w:vAlign w:val="center"/>
            <w:hideMark/>
          </w:tcPr>
          <w:p w14:paraId="2097B788" w14:textId="77777777" w:rsidR="002B6962" w:rsidRPr="004F53FB" w:rsidRDefault="002B6962" w:rsidP="002B6962">
            <w:pPr>
              <w:rPr>
                <w:rFonts w:eastAsia="Times New Roman" w:cstheme="minorHAnsi"/>
                <w:b/>
                <w:bCs/>
                <w:color w:val="000000"/>
                <w:sz w:val="20"/>
                <w:szCs w:val="20"/>
                <w:lang w:eastAsia="nl-BE"/>
              </w:rPr>
            </w:pPr>
            <w:r w:rsidRPr="004F53FB">
              <w:rPr>
                <w:rFonts w:eastAsia="Times New Roman" w:cstheme="minorHAnsi"/>
                <w:b/>
                <w:bCs/>
                <w:color w:val="000000"/>
                <w:sz w:val="20"/>
                <w:szCs w:val="20"/>
                <w:lang w:eastAsia="nl-BE"/>
              </w:rPr>
              <w:t>Totaal Ontvangsten</w:t>
            </w:r>
          </w:p>
        </w:tc>
        <w:tc>
          <w:tcPr>
            <w:tcW w:w="953" w:type="dxa"/>
            <w:tcBorders>
              <w:top w:val="nil"/>
              <w:left w:val="single" w:sz="4" w:space="0" w:color="auto"/>
              <w:bottom w:val="single" w:sz="4" w:space="0" w:color="auto"/>
              <w:right w:val="nil"/>
            </w:tcBorders>
            <w:shd w:val="clear" w:color="auto" w:fill="auto"/>
            <w:noWrap/>
            <w:vAlign w:val="center"/>
            <w:hideMark/>
          </w:tcPr>
          <w:p w14:paraId="7768A442" w14:textId="77777777" w:rsidR="002B6962" w:rsidRPr="004F53FB" w:rsidRDefault="002B6962" w:rsidP="002B6962">
            <w:pPr>
              <w:jc w:val="right"/>
              <w:rPr>
                <w:rFonts w:eastAsia="Times New Roman" w:cstheme="minorHAnsi"/>
                <w:b/>
                <w:bCs/>
                <w:color w:val="000000"/>
                <w:sz w:val="20"/>
                <w:szCs w:val="20"/>
                <w:lang w:eastAsia="nl-BE"/>
              </w:rPr>
            </w:pPr>
            <w:r w:rsidRPr="004F53FB">
              <w:rPr>
                <w:rFonts w:eastAsia="Times New Roman" w:cstheme="minorHAnsi"/>
                <w:b/>
                <w:bCs/>
                <w:color w:val="000000"/>
                <w:sz w:val="20"/>
                <w:szCs w:val="20"/>
                <w:lang w:eastAsia="nl-BE"/>
              </w:rPr>
              <w:t>45.130,5</w:t>
            </w:r>
          </w:p>
        </w:tc>
        <w:tc>
          <w:tcPr>
            <w:tcW w:w="953" w:type="dxa"/>
            <w:tcBorders>
              <w:top w:val="nil"/>
              <w:left w:val="single" w:sz="4" w:space="0" w:color="auto"/>
              <w:bottom w:val="single" w:sz="4" w:space="0" w:color="auto"/>
              <w:right w:val="nil"/>
            </w:tcBorders>
            <w:shd w:val="clear" w:color="auto" w:fill="auto"/>
            <w:noWrap/>
            <w:vAlign w:val="center"/>
            <w:hideMark/>
          </w:tcPr>
          <w:p w14:paraId="04727F9A" w14:textId="77777777" w:rsidR="002B6962" w:rsidRPr="004F53FB" w:rsidRDefault="002B6962" w:rsidP="002B6962">
            <w:pPr>
              <w:jc w:val="right"/>
              <w:rPr>
                <w:rFonts w:eastAsia="Times New Roman" w:cstheme="minorHAnsi"/>
                <w:b/>
                <w:bCs/>
                <w:color w:val="000000"/>
                <w:sz w:val="20"/>
                <w:szCs w:val="20"/>
                <w:lang w:eastAsia="nl-BE"/>
              </w:rPr>
            </w:pPr>
            <w:r w:rsidRPr="004F53FB">
              <w:rPr>
                <w:rFonts w:eastAsia="Times New Roman" w:cstheme="minorHAnsi"/>
                <w:b/>
                <w:bCs/>
                <w:color w:val="000000"/>
                <w:sz w:val="20"/>
                <w:szCs w:val="20"/>
                <w:lang w:eastAsia="nl-BE"/>
              </w:rPr>
              <w:t>45.103,8</w:t>
            </w:r>
          </w:p>
        </w:tc>
        <w:tc>
          <w:tcPr>
            <w:tcW w:w="953" w:type="dxa"/>
            <w:tcBorders>
              <w:top w:val="nil"/>
              <w:left w:val="single" w:sz="4" w:space="0" w:color="auto"/>
              <w:bottom w:val="single" w:sz="4" w:space="0" w:color="auto"/>
              <w:right w:val="nil"/>
            </w:tcBorders>
            <w:shd w:val="clear" w:color="auto" w:fill="auto"/>
            <w:noWrap/>
            <w:vAlign w:val="center"/>
            <w:hideMark/>
          </w:tcPr>
          <w:p w14:paraId="3795E1BB" w14:textId="77777777" w:rsidR="002B6962" w:rsidRPr="004F53FB" w:rsidRDefault="002B6962" w:rsidP="002B6962">
            <w:pPr>
              <w:jc w:val="right"/>
              <w:rPr>
                <w:rFonts w:eastAsia="Times New Roman" w:cstheme="minorHAnsi"/>
                <w:b/>
                <w:bCs/>
                <w:color w:val="000000"/>
                <w:sz w:val="20"/>
                <w:szCs w:val="20"/>
                <w:lang w:eastAsia="nl-BE"/>
              </w:rPr>
            </w:pPr>
            <w:r w:rsidRPr="004F53FB">
              <w:rPr>
                <w:rFonts w:eastAsia="Times New Roman" w:cstheme="minorHAnsi"/>
                <w:b/>
                <w:bCs/>
                <w:color w:val="000000"/>
                <w:sz w:val="20"/>
                <w:szCs w:val="20"/>
                <w:lang w:eastAsia="nl-BE"/>
              </w:rPr>
              <w:t>45.529,9</w:t>
            </w:r>
          </w:p>
        </w:tc>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0C0191E9" w14:textId="77777777" w:rsidR="002B6962" w:rsidRPr="004F53FB" w:rsidRDefault="002B6962" w:rsidP="002B6962">
            <w:pPr>
              <w:jc w:val="right"/>
              <w:rPr>
                <w:rFonts w:eastAsia="Times New Roman" w:cstheme="minorHAnsi"/>
                <w:b/>
                <w:bCs/>
                <w:color w:val="000000"/>
                <w:sz w:val="20"/>
                <w:szCs w:val="20"/>
                <w:lang w:eastAsia="nl-BE"/>
              </w:rPr>
            </w:pPr>
            <w:r w:rsidRPr="004F53FB">
              <w:rPr>
                <w:rFonts w:eastAsia="Times New Roman" w:cstheme="minorHAnsi"/>
                <w:b/>
                <w:bCs/>
                <w:color w:val="000000"/>
                <w:sz w:val="20"/>
                <w:szCs w:val="20"/>
                <w:lang w:eastAsia="nl-BE"/>
              </w:rPr>
              <w:t>399,4</w:t>
            </w:r>
          </w:p>
        </w:tc>
        <w:tc>
          <w:tcPr>
            <w:tcW w:w="737" w:type="dxa"/>
            <w:tcBorders>
              <w:top w:val="nil"/>
              <w:left w:val="nil"/>
              <w:bottom w:val="single" w:sz="4" w:space="0" w:color="auto"/>
              <w:right w:val="single" w:sz="4" w:space="0" w:color="auto"/>
            </w:tcBorders>
            <w:shd w:val="clear" w:color="auto" w:fill="auto"/>
            <w:noWrap/>
            <w:vAlign w:val="center"/>
            <w:hideMark/>
          </w:tcPr>
          <w:p w14:paraId="33475C5B" w14:textId="77777777" w:rsidR="002B6962" w:rsidRPr="004F53FB" w:rsidRDefault="002B6962" w:rsidP="002B6962">
            <w:pPr>
              <w:jc w:val="right"/>
              <w:rPr>
                <w:rFonts w:eastAsia="Times New Roman" w:cstheme="minorHAnsi"/>
                <w:b/>
                <w:bCs/>
                <w:color w:val="000000"/>
                <w:sz w:val="20"/>
                <w:szCs w:val="20"/>
                <w:lang w:eastAsia="nl-BE"/>
              </w:rPr>
            </w:pPr>
            <w:r w:rsidRPr="004F53FB">
              <w:rPr>
                <w:rFonts w:eastAsia="Times New Roman" w:cstheme="minorHAnsi"/>
                <w:b/>
                <w:bCs/>
                <w:color w:val="000000"/>
                <w:sz w:val="20"/>
                <w:szCs w:val="20"/>
                <w:lang w:eastAsia="nl-BE"/>
              </w:rPr>
              <w:t>0,9%</w:t>
            </w:r>
          </w:p>
        </w:tc>
        <w:tc>
          <w:tcPr>
            <w:tcW w:w="1160" w:type="dxa"/>
            <w:tcBorders>
              <w:top w:val="nil"/>
              <w:left w:val="nil"/>
              <w:bottom w:val="single" w:sz="4" w:space="0" w:color="auto"/>
              <w:right w:val="nil"/>
            </w:tcBorders>
            <w:shd w:val="clear" w:color="auto" w:fill="auto"/>
            <w:noWrap/>
            <w:vAlign w:val="center"/>
            <w:hideMark/>
          </w:tcPr>
          <w:p w14:paraId="53AED830" w14:textId="77777777" w:rsidR="002B6962" w:rsidRPr="004F53FB" w:rsidRDefault="002B6962" w:rsidP="002B6962">
            <w:pPr>
              <w:jc w:val="right"/>
              <w:rPr>
                <w:rFonts w:eastAsia="Times New Roman" w:cstheme="minorHAnsi"/>
                <w:b/>
                <w:bCs/>
                <w:color w:val="000000"/>
                <w:sz w:val="20"/>
                <w:szCs w:val="20"/>
                <w:lang w:eastAsia="nl-BE"/>
              </w:rPr>
            </w:pPr>
            <w:r w:rsidRPr="004F53FB">
              <w:rPr>
                <w:rFonts w:eastAsia="Times New Roman" w:cstheme="minorHAnsi"/>
                <w:b/>
                <w:bCs/>
                <w:color w:val="000000"/>
                <w:sz w:val="20"/>
                <w:szCs w:val="20"/>
                <w:lang w:eastAsia="nl-BE"/>
              </w:rPr>
              <w:t>426,1</w:t>
            </w:r>
          </w:p>
        </w:tc>
        <w:tc>
          <w:tcPr>
            <w:tcW w:w="737" w:type="dxa"/>
            <w:tcBorders>
              <w:top w:val="nil"/>
              <w:left w:val="single" w:sz="4" w:space="0" w:color="auto"/>
              <w:bottom w:val="single" w:sz="4" w:space="0" w:color="auto"/>
              <w:right w:val="single" w:sz="4" w:space="0" w:color="auto"/>
            </w:tcBorders>
            <w:shd w:val="clear" w:color="auto" w:fill="auto"/>
            <w:noWrap/>
            <w:vAlign w:val="center"/>
            <w:hideMark/>
          </w:tcPr>
          <w:p w14:paraId="75A88E10" w14:textId="77777777" w:rsidR="002B6962" w:rsidRPr="004F53FB" w:rsidRDefault="002B6962" w:rsidP="002B6962">
            <w:pPr>
              <w:jc w:val="right"/>
              <w:rPr>
                <w:rFonts w:eastAsia="Times New Roman" w:cstheme="minorHAnsi"/>
                <w:b/>
                <w:bCs/>
                <w:color w:val="000000"/>
                <w:sz w:val="20"/>
                <w:szCs w:val="20"/>
                <w:lang w:eastAsia="nl-BE"/>
              </w:rPr>
            </w:pPr>
            <w:r w:rsidRPr="004F53FB">
              <w:rPr>
                <w:rFonts w:eastAsia="Times New Roman" w:cstheme="minorHAnsi"/>
                <w:b/>
                <w:bCs/>
                <w:color w:val="000000"/>
                <w:sz w:val="20"/>
                <w:szCs w:val="20"/>
                <w:lang w:eastAsia="nl-BE"/>
              </w:rPr>
              <w:t>0,9%</w:t>
            </w:r>
          </w:p>
        </w:tc>
      </w:tr>
    </w:tbl>
    <w:p w14:paraId="44535301" w14:textId="77777777" w:rsidR="0049252B" w:rsidRDefault="0049252B" w:rsidP="00D82180">
      <w:pPr>
        <w:spacing w:after="120"/>
      </w:pPr>
    </w:p>
    <w:p w14:paraId="36E8A8BE" w14:textId="77777777" w:rsidR="00CE26A4" w:rsidRDefault="00CE26A4" w:rsidP="00620825"/>
    <w:p w14:paraId="431D4A98" w14:textId="77D133FD" w:rsidR="00317F92" w:rsidRPr="0045709D" w:rsidRDefault="00317F92" w:rsidP="00921B44">
      <w:pPr>
        <w:pStyle w:val="Kop3"/>
        <w:numPr>
          <w:ilvl w:val="1"/>
          <w:numId w:val="24"/>
        </w:numPr>
      </w:pPr>
      <w:r w:rsidRPr="0045709D">
        <w:t>Gewestbelastingen (</w:t>
      </w:r>
      <w:r w:rsidR="008F42D0" w:rsidRPr="0045709D">
        <w:t>+</w:t>
      </w:r>
      <w:r w:rsidR="004F53FB" w:rsidRPr="0045709D">
        <w:t>175,1</w:t>
      </w:r>
      <w:r w:rsidRPr="0045709D">
        <w:t xml:space="preserve"> miljoen t.o.v. B</w:t>
      </w:r>
      <w:r w:rsidR="004C23D9" w:rsidRPr="0045709D">
        <w:t>A</w:t>
      </w:r>
      <w:r w:rsidRPr="0045709D">
        <w:t xml:space="preserve"> 201</w:t>
      </w:r>
      <w:r w:rsidR="00DD3196" w:rsidRPr="0045709D">
        <w:t>9</w:t>
      </w:r>
      <w:r w:rsidR="006E75BB" w:rsidRPr="0045709D">
        <w:t xml:space="preserve">; </w:t>
      </w:r>
      <w:r w:rsidR="00482B80" w:rsidRPr="0045709D">
        <w:t>+</w:t>
      </w:r>
      <w:r w:rsidR="004F53FB" w:rsidRPr="0045709D">
        <w:t>170,9</w:t>
      </w:r>
      <w:r w:rsidR="004C23D9" w:rsidRPr="0045709D">
        <w:t xml:space="preserve"> </w:t>
      </w:r>
      <w:r w:rsidR="006E75BB" w:rsidRPr="0045709D">
        <w:t xml:space="preserve">miljoen t.o.v. </w:t>
      </w:r>
      <w:r w:rsidR="004F53FB" w:rsidRPr="0045709D">
        <w:t>december</w:t>
      </w:r>
      <w:r w:rsidRPr="0045709D">
        <w:t>)</w:t>
      </w:r>
    </w:p>
    <w:p w14:paraId="27320E02" w14:textId="2B076A2C" w:rsidR="002563F7" w:rsidRDefault="002563F7" w:rsidP="00FB3EC2">
      <w:pPr>
        <w:rPr>
          <w:b/>
        </w:rPr>
      </w:pPr>
    </w:p>
    <w:p w14:paraId="5680DE3E" w14:textId="77777777" w:rsidR="000C6CC6" w:rsidRDefault="000C6CC6" w:rsidP="00FB3EC2">
      <w:pPr>
        <w:rPr>
          <w:b/>
        </w:rPr>
      </w:pPr>
    </w:p>
    <w:tbl>
      <w:tblPr>
        <w:tblW w:w="9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89"/>
        <w:gridCol w:w="924"/>
        <w:gridCol w:w="1040"/>
        <w:gridCol w:w="1040"/>
        <w:gridCol w:w="880"/>
        <w:gridCol w:w="820"/>
        <w:gridCol w:w="880"/>
        <w:gridCol w:w="820"/>
      </w:tblGrid>
      <w:tr w:rsidR="002563F7" w:rsidRPr="002563F7" w14:paraId="2342913D" w14:textId="77777777" w:rsidTr="002563F7">
        <w:trPr>
          <w:trHeight w:val="279"/>
        </w:trPr>
        <w:tc>
          <w:tcPr>
            <w:tcW w:w="2689" w:type="dxa"/>
            <w:vMerge w:val="restart"/>
            <w:shd w:val="clear" w:color="auto" w:fill="auto"/>
            <w:vAlign w:val="center"/>
            <w:hideMark/>
          </w:tcPr>
          <w:p w14:paraId="0C21DA06" w14:textId="77777777" w:rsidR="002563F7" w:rsidRPr="002563F7" w:rsidRDefault="002563F7" w:rsidP="002563F7">
            <w:pPr>
              <w:rPr>
                <w:rFonts w:eastAsia="Times New Roman" w:cstheme="minorHAnsi"/>
                <w:b/>
                <w:bCs/>
                <w:color w:val="000000"/>
                <w:sz w:val="20"/>
                <w:szCs w:val="20"/>
                <w:lang w:eastAsia="nl-BE"/>
              </w:rPr>
            </w:pPr>
            <w:r w:rsidRPr="002563F7">
              <w:rPr>
                <w:rFonts w:eastAsia="Times New Roman" w:cstheme="minorHAnsi"/>
                <w:b/>
                <w:bCs/>
                <w:color w:val="000000"/>
                <w:sz w:val="20"/>
                <w:szCs w:val="20"/>
                <w:lang w:eastAsia="nl-BE"/>
              </w:rPr>
              <w:t>in mio euro</w:t>
            </w:r>
          </w:p>
        </w:tc>
        <w:tc>
          <w:tcPr>
            <w:tcW w:w="924" w:type="dxa"/>
            <w:vMerge w:val="restart"/>
            <w:shd w:val="clear" w:color="auto" w:fill="auto"/>
            <w:vAlign w:val="center"/>
            <w:hideMark/>
          </w:tcPr>
          <w:p w14:paraId="09B5C4B1" w14:textId="77777777" w:rsidR="002563F7" w:rsidRPr="002563F7" w:rsidRDefault="002563F7" w:rsidP="002563F7">
            <w:pPr>
              <w:jc w:val="center"/>
              <w:rPr>
                <w:rFonts w:eastAsia="Times New Roman" w:cstheme="minorHAnsi"/>
                <w:b/>
                <w:bCs/>
                <w:sz w:val="20"/>
                <w:szCs w:val="20"/>
                <w:lang w:eastAsia="nl-BE"/>
              </w:rPr>
            </w:pPr>
            <w:r w:rsidRPr="002563F7">
              <w:rPr>
                <w:rFonts w:eastAsia="Times New Roman" w:cstheme="minorHAnsi"/>
                <w:b/>
                <w:bCs/>
                <w:sz w:val="20"/>
                <w:szCs w:val="20"/>
                <w:lang w:eastAsia="nl-BE"/>
              </w:rPr>
              <w:t>BA 2019</w:t>
            </w:r>
          </w:p>
        </w:tc>
        <w:tc>
          <w:tcPr>
            <w:tcW w:w="1040" w:type="dxa"/>
            <w:vMerge w:val="restart"/>
            <w:shd w:val="clear" w:color="auto" w:fill="auto"/>
            <w:vAlign w:val="center"/>
            <w:hideMark/>
          </w:tcPr>
          <w:p w14:paraId="1D4769BC" w14:textId="77777777" w:rsidR="002563F7" w:rsidRPr="002563F7" w:rsidRDefault="002563F7" w:rsidP="002563F7">
            <w:pPr>
              <w:jc w:val="center"/>
              <w:rPr>
                <w:rFonts w:eastAsia="Times New Roman" w:cstheme="minorHAnsi"/>
                <w:b/>
                <w:bCs/>
                <w:sz w:val="20"/>
                <w:szCs w:val="20"/>
                <w:lang w:eastAsia="nl-BE"/>
              </w:rPr>
            </w:pPr>
            <w:r w:rsidRPr="002563F7">
              <w:rPr>
                <w:rFonts w:eastAsia="Times New Roman" w:cstheme="minorHAnsi"/>
                <w:b/>
                <w:bCs/>
                <w:sz w:val="20"/>
                <w:szCs w:val="20"/>
                <w:lang w:eastAsia="nl-BE"/>
              </w:rPr>
              <w:t>Prognose</w:t>
            </w:r>
            <w:r w:rsidRPr="002563F7">
              <w:rPr>
                <w:rFonts w:eastAsia="Times New Roman" w:cstheme="minorHAnsi"/>
                <w:b/>
                <w:bCs/>
                <w:sz w:val="20"/>
                <w:szCs w:val="20"/>
                <w:lang w:eastAsia="nl-BE"/>
              </w:rPr>
              <w:br/>
              <w:t>december 2019</w:t>
            </w:r>
          </w:p>
        </w:tc>
        <w:tc>
          <w:tcPr>
            <w:tcW w:w="1040" w:type="dxa"/>
            <w:vMerge w:val="restart"/>
            <w:shd w:val="clear" w:color="auto" w:fill="auto"/>
            <w:vAlign w:val="center"/>
            <w:hideMark/>
          </w:tcPr>
          <w:p w14:paraId="57B003F3" w14:textId="77777777" w:rsidR="002563F7" w:rsidRPr="002563F7" w:rsidRDefault="002563F7" w:rsidP="002563F7">
            <w:pPr>
              <w:jc w:val="center"/>
              <w:rPr>
                <w:rFonts w:eastAsia="Times New Roman" w:cstheme="minorHAnsi"/>
                <w:b/>
                <w:bCs/>
                <w:sz w:val="20"/>
                <w:szCs w:val="20"/>
                <w:lang w:eastAsia="nl-BE"/>
              </w:rPr>
            </w:pPr>
            <w:r w:rsidRPr="002563F7">
              <w:rPr>
                <w:rFonts w:eastAsia="Times New Roman" w:cstheme="minorHAnsi"/>
                <w:b/>
                <w:bCs/>
                <w:sz w:val="20"/>
                <w:szCs w:val="20"/>
                <w:lang w:eastAsia="nl-BE"/>
              </w:rPr>
              <w:t>Prognose</w:t>
            </w:r>
            <w:r w:rsidRPr="002563F7">
              <w:rPr>
                <w:rFonts w:eastAsia="Times New Roman" w:cstheme="minorHAnsi"/>
                <w:b/>
                <w:bCs/>
                <w:sz w:val="20"/>
                <w:szCs w:val="20"/>
                <w:lang w:eastAsia="nl-BE"/>
              </w:rPr>
              <w:br/>
              <w:t>februari 2020</w:t>
            </w:r>
          </w:p>
        </w:tc>
        <w:tc>
          <w:tcPr>
            <w:tcW w:w="1700" w:type="dxa"/>
            <w:gridSpan w:val="2"/>
            <w:shd w:val="clear" w:color="auto" w:fill="auto"/>
            <w:vAlign w:val="center"/>
            <w:hideMark/>
          </w:tcPr>
          <w:p w14:paraId="16945307" w14:textId="77777777" w:rsidR="002563F7" w:rsidRPr="002563F7" w:rsidRDefault="002563F7" w:rsidP="002563F7">
            <w:pPr>
              <w:jc w:val="center"/>
              <w:rPr>
                <w:rFonts w:eastAsia="Times New Roman" w:cstheme="minorHAnsi"/>
                <w:b/>
                <w:bCs/>
                <w:sz w:val="20"/>
                <w:szCs w:val="20"/>
                <w:lang w:eastAsia="nl-BE"/>
              </w:rPr>
            </w:pPr>
            <w:r w:rsidRPr="002563F7">
              <w:rPr>
                <w:rFonts w:eastAsia="Times New Roman" w:cstheme="minorHAnsi"/>
                <w:b/>
                <w:bCs/>
                <w:sz w:val="20"/>
                <w:szCs w:val="20"/>
                <w:lang w:eastAsia="nl-BE"/>
              </w:rPr>
              <w:t>Feb vs BA</w:t>
            </w:r>
          </w:p>
        </w:tc>
        <w:tc>
          <w:tcPr>
            <w:tcW w:w="1700" w:type="dxa"/>
            <w:gridSpan w:val="2"/>
            <w:shd w:val="clear" w:color="auto" w:fill="auto"/>
            <w:vAlign w:val="center"/>
            <w:hideMark/>
          </w:tcPr>
          <w:p w14:paraId="5341ED89" w14:textId="77777777" w:rsidR="002563F7" w:rsidRPr="002563F7" w:rsidRDefault="002563F7" w:rsidP="002563F7">
            <w:pPr>
              <w:jc w:val="center"/>
              <w:rPr>
                <w:rFonts w:eastAsia="Times New Roman" w:cstheme="minorHAnsi"/>
                <w:b/>
                <w:bCs/>
                <w:sz w:val="20"/>
                <w:szCs w:val="20"/>
                <w:lang w:eastAsia="nl-BE"/>
              </w:rPr>
            </w:pPr>
            <w:r w:rsidRPr="002563F7">
              <w:rPr>
                <w:rFonts w:eastAsia="Times New Roman" w:cstheme="minorHAnsi"/>
                <w:b/>
                <w:bCs/>
                <w:sz w:val="20"/>
                <w:szCs w:val="20"/>
                <w:lang w:eastAsia="nl-BE"/>
              </w:rPr>
              <w:t>Feb vs Dec</w:t>
            </w:r>
          </w:p>
        </w:tc>
      </w:tr>
      <w:tr w:rsidR="002563F7" w:rsidRPr="002563F7" w14:paraId="21600A6D" w14:textId="77777777" w:rsidTr="002563F7">
        <w:trPr>
          <w:trHeight w:val="552"/>
        </w:trPr>
        <w:tc>
          <w:tcPr>
            <w:tcW w:w="2689" w:type="dxa"/>
            <w:vMerge/>
            <w:vAlign w:val="center"/>
            <w:hideMark/>
          </w:tcPr>
          <w:p w14:paraId="4BCA9D49" w14:textId="77777777" w:rsidR="002563F7" w:rsidRPr="002563F7" w:rsidRDefault="002563F7" w:rsidP="002563F7">
            <w:pPr>
              <w:rPr>
                <w:rFonts w:eastAsia="Times New Roman" w:cstheme="minorHAnsi"/>
                <w:b/>
                <w:bCs/>
                <w:color w:val="000000"/>
                <w:sz w:val="20"/>
                <w:szCs w:val="20"/>
                <w:lang w:eastAsia="nl-BE"/>
              </w:rPr>
            </w:pPr>
          </w:p>
        </w:tc>
        <w:tc>
          <w:tcPr>
            <w:tcW w:w="924" w:type="dxa"/>
            <w:vMerge/>
            <w:vAlign w:val="center"/>
            <w:hideMark/>
          </w:tcPr>
          <w:p w14:paraId="3700E857" w14:textId="77777777" w:rsidR="002563F7" w:rsidRPr="002563F7" w:rsidRDefault="002563F7" w:rsidP="002563F7">
            <w:pPr>
              <w:rPr>
                <w:rFonts w:eastAsia="Times New Roman" w:cstheme="minorHAnsi"/>
                <w:b/>
                <w:bCs/>
                <w:sz w:val="20"/>
                <w:szCs w:val="20"/>
                <w:lang w:eastAsia="nl-BE"/>
              </w:rPr>
            </w:pPr>
          </w:p>
        </w:tc>
        <w:tc>
          <w:tcPr>
            <w:tcW w:w="1040" w:type="dxa"/>
            <w:vMerge/>
            <w:vAlign w:val="center"/>
            <w:hideMark/>
          </w:tcPr>
          <w:p w14:paraId="38DE1DE2" w14:textId="77777777" w:rsidR="002563F7" w:rsidRPr="002563F7" w:rsidRDefault="002563F7" w:rsidP="002563F7">
            <w:pPr>
              <w:rPr>
                <w:rFonts w:eastAsia="Times New Roman" w:cstheme="minorHAnsi"/>
                <w:b/>
                <w:bCs/>
                <w:sz w:val="20"/>
                <w:szCs w:val="20"/>
                <w:lang w:eastAsia="nl-BE"/>
              </w:rPr>
            </w:pPr>
          </w:p>
        </w:tc>
        <w:tc>
          <w:tcPr>
            <w:tcW w:w="1040" w:type="dxa"/>
            <w:vMerge/>
            <w:vAlign w:val="center"/>
            <w:hideMark/>
          </w:tcPr>
          <w:p w14:paraId="3C2D3D7F" w14:textId="77777777" w:rsidR="002563F7" w:rsidRPr="002563F7" w:rsidRDefault="002563F7" w:rsidP="002563F7">
            <w:pPr>
              <w:rPr>
                <w:rFonts w:eastAsia="Times New Roman" w:cstheme="minorHAnsi"/>
                <w:b/>
                <w:bCs/>
                <w:sz w:val="20"/>
                <w:szCs w:val="20"/>
                <w:lang w:eastAsia="nl-BE"/>
              </w:rPr>
            </w:pPr>
          </w:p>
        </w:tc>
        <w:tc>
          <w:tcPr>
            <w:tcW w:w="880" w:type="dxa"/>
            <w:shd w:val="clear" w:color="auto" w:fill="auto"/>
            <w:vAlign w:val="center"/>
            <w:hideMark/>
          </w:tcPr>
          <w:p w14:paraId="2E9CF52C" w14:textId="77777777" w:rsidR="002563F7" w:rsidRPr="002563F7" w:rsidRDefault="002563F7" w:rsidP="002563F7">
            <w:pPr>
              <w:jc w:val="center"/>
              <w:rPr>
                <w:rFonts w:eastAsia="Times New Roman" w:cstheme="minorHAnsi"/>
                <w:b/>
                <w:bCs/>
                <w:sz w:val="20"/>
                <w:szCs w:val="20"/>
                <w:lang w:eastAsia="nl-BE"/>
              </w:rPr>
            </w:pPr>
            <w:r w:rsidRPr="002563F7">
              <w:rPr>
                <w:rFonts w:eastAsia="Times New Roman" w:cstheme="minorHAnsi"/>
                <w:b/>
                <w:bCs/>
                <w:sz w:val="20"/>
                <w:szCs w:val="20"/>
                <w:lang w:eastAsia="nl-BE"/>
              </w:rPr>
              <w:t>Delta</w:t>
            </w:r>
          </w:p>
        </w:tc>
        <w:tc>
          <w:tcPr>
            <w:tcW w:w="820" w:type="dxa"/>
            <w:shd w:val="clear" w:color="auto" w:fill="auto"/>
            <w:vAlign w:val="center"/>
            <w:hideMark/>
          </w:tcPr>
          <w:p w14:paraId="56767020" w14:textId="77777777" w:rsidR="002563F7" w:rsidRPr="002563F7" w:rsidRDefault="002563F7" w:rsidP="002563F7">
            <w:pPr>
              <w:jc w:val="center"/>
              <w:rPr>
                <w:rFonts w:eastAsia="Times New Roman" w:cstheme="minorHAnsi"/>
                <w:color w:val="000000"/>
                <w:sz w:val="20"/>
                <w:szCs w:val="20"/>
                <w:lang w:eastAsia="nl-BE"/>
              </w:rPr>
            </w:pPr>
            <w:r w:rsidRPr="002563F7">
              <w:rPr>
                <w:rFonts w:eastAsia="Times New Roman" w:cstheme="minorHAnsi"/>
                <w:color w:val="000000"/>
                <w:sz w:val="20"/>
                <w:szCs w:val="20"/>
                <w:lang w:eastAsia="nl-BE"/>
              </w:rPr>
              <w:t>%</w:t>
            </w:r>
          </w:p>
        </w:tc>
        <w:tc>
          <w:tcPr>
            <w:tcW w:w="880" w:type="dxa"/>
            <w:shd w:val="clear" w:color="auto" w:fill="auto"/>
            <w:vAlign w:val="center"/>
            <w:hideMark/>
          </w:tcPr>
          <w:p w14:paraId="18B85EFC" w14:textId="77777777" w:rsidR="002563F7" w:rsidRPr="002563F7" w:rsidRDefault="002563F7" w:rsidP="002563F7">
            <w:pPr>
              <w:jc w:val="center"/>
              <w:rPr>
                <w:rFonts w:eastAsia="Times New Roman" w:cstheme="minorHAnsi"/>
                <w:b/>
                <w:bCs/>
                <w:sz w:val="20"/>
                <w:szCs w:val="20"/>
                <w:lang w:eastAsia="nl-BE"/>
              </w:rPr>
            </w:pPr>
            <w:r w:rsidRPr="002563F7">
              <w:rPr>
                <w:rFonts w:eastAsia="Times New Roman" w:cstheme="minorHAnsi"/>
                <w:b/>
                <w:bCs/>
                <w:sz w:val="20"/>
                <w:szCs w:val="20"/>
                <w:lang w:eastAsia="nl-BE"/>
              </w:rPr>
              <w:t>Delta</w:t>
            </w:r>
          </w:p>
        </w:tc>
        <w:tc>
          <w:tcPr>
            <w:tcW w:w="820" w:type="dxa"/>
            <w:shd w:val="clear" w:color="auto" w:fill="auto"/>
            <w:vAlign w:val="center"/>
            <w:hideMark/>
          </w:tcPr>
          <w:p w14:paraId="7420977A" w14:textId="77777777" w:rsidR="002563F7" w:rsidRPr="002563F7" w:rsidRDefault="002563F7" w:rsidP="002563F7">
            <w:pPr>
              <w:jc w:val="center"/>
              <w:rPr>
                <w:rFonts w:eastAsia="Times New Roman" w:cstheme="minorHAnsi"/>
                <w:color w:val="000000"/>
                <w:sz w:val="20"/>
                <w:szCs w:val="20"/>
                <w:lang w:eastAsia="nl-BE"/>
              </w:rPr>
            </w:pPr>
            <w:r w:rsidRPr="002563F7">
              <w:rPr>
                <w:rFonts w:eastAsia="Times New Roman" w:cstheme="minorHAnsi"/>
                <w:color w:val="000000"/>
                <w:sz w:val="20"/>
                <w:szCs w:val="20"/>
                <w:lang w:eastAsia="nl-BE"/>
              </w:rPr>
              <w:t>%</w:t>
            </w:r>
          </w:p>
        </w:tc>
      </w:tr>
      <w:tr w:rsidR="002563F7" w:rsidRPr="002563F7" w14:paraId="19F22A28" w14:textId="77777777" w:rsidTr="002563F7">
        <w:trPr>
          <w:trHeight w:val="276"/>
        </w:trPr>
        <w:tc>
          <w:tcPr>
            <w:tcW w:w="2689" w:type="dxa"/>
            <w:shd w:val="clear" w:color="auto" w:fill="auto"/>
            <w:vAlign w:val="center"/>
            <w:hideMark/>
          </w:tcPr>
          <w:p w14:paraId="7C7CA8AC" w14:textId="77777777" w:rsidR="002563F7" w:rsidRPr="002563F7" w:rsidRDefault="002563F7" w:rsidP="002563F7">
            <w:pPr>
              <w:rPr>
                <w:rFonts w:eastAsia="Times New Roman" w:cstheme="minorHAnsi"/>
                <w:sz w:val="20"/>
                <w:szCs w:val="20"/>
                <w:lang w:eastAsia="nl-BE"/>
              </w:rPr>
            </w:pPr>
            <w:r w:rsidRPr="002563F7">
              <w:rPr>
                <w:rFonts w:eastAsia="Times New Roman" w:cstheme="minorHAnsi"/>
                <w:sz w:val="20"/>
                <w:szCs w:val="20"/>
                <w:lang w:eastAsia="nl-BE"/>
              </w:rPr>
              <w:t>Belasting op de spelen en weddenschappen</w:t>
            </w:r>
          </w:p>
        </w:tc>
        <w:tc>
          <w:tcPr>
            <w:tcW w:w="924" w:type="dxa"/>
            <w:shd w:val="clear" w:color="auto" w:fill="auto"/>
            <w:noWrap/>
            <w:vAlign w:val="center"/>
            <w:hideMark/>
          </w:tcPr>
          <w:p w14:paraId="555FCDB6" w14:textId="77777777" w:rsidR="002563F7" w:rsidRPr="002563F7" w:rsidRDefault="002563F7" w:rsidP="002563F7">
            <w:pPr>
              <w:jc w:val="right"/>
              <w:rPr>
                <w:rFonts w:eastAsia="Times New Roman" w:cstheme="minorHAnsi"/>
                <w:sz w:val="20"/>
                <w:szCs w:val="20"/>
                <w:lang w:eastAsia="nl-BE"/>
              </w:rPr>
            </w:pPr>
            <w:r w:rsidRPr="002563F7">
              <w:rPr>
                <w:rFonts w:eastAsia="Times New Roman" w:cstheme="minorHAnsi"/>
                <w:sz w:val="20"/>
                <w:szCs w:val="20"/>
                <w:lang w:eastAsia="nl-BE"/>
              </w:rPr>
              <w:t>48,3</w:t>
            </w:r>
          </w:p>
        </w:tc>
        <w:tc>
          <w:tcPr>
            <w:tcW w:w="1040" w:type="dxa"/>
            <w:shd w:val="clear" w:color="auto" w:fill="auto"/>
            <w:noWrap/>
            <w:vAlign w:val="center"/>
            <w:hideMark/>
          </w:tcPr>
          <w:p w14:paraId="5763A970" w14:textId="77777777" w:rsidR="002563F7" w:rsidRPr="002563F7" w:rsidRDefault="002563F7" w:rsidP="002563F7">
            <w:pPr>
              <w:jc w:val="right"/>
              <w:rPr>
                <w:rFonts w:eastAsia="Times New Roman" w:cstheme="minorHAnsi"/>
                <w:sz w:val="20"/>
                <w:szCs w:val="20"/>
                <w:lang w:eastAsia="nl-BE"/>
              </w:rPr>
            </w:pPr>
            <w:r w:rsidRPr="002563F7">
              <w:rPr>
                <w:rFonts w:eastAsia="Times New Roman" w:cstheme="minorHAnsi"/>
                <w:sz w:val="20"/>
                <w:szCs w:val="20"/>
                <w:lang w:eastAsia="nl-BE"/>
              </w:rPr>
              <w:t>44,9</w:t>
            </w:r>
          </w:p>
        </w:tc>
        <w:tc>
          <w:tcPr>
            <w:tcW w:w="1040" w:type="dxa"/>
            <w:shd w:val="clear" w:color="auto" w:fill="auto"/>
            <w:noWrap/>
            <w:vAlign w:val="center"/>
            <w:hideMark/>
          </w:tcPr>
          <w:p w14:paraId="2568243A" w14:textId="77777777" w:rsidR="002563F7" w:rsidRPr="002563F7" w:rsidRDefault="002563F7" w:rsidP="002563F7">
            <w:pPr>
              <w:jc w:val="right"/>
              <w:rPr>
                <w:rFonts w:eastAsia="Times New Roman" w:cstheme="minorHAnsi"/>
                <w:sz w:val="20"/>
                <w:szCs w:val="20"/>
                <w:lang w:eastAsia="nl-BE"/>
              </w:rPr>
            </w:pPr>
            <w:r w:rsidRPr="002563F7">
              <w:rPr>
                <w:rFonts w:eastAsia="Times New Roman" w:cstheme="minorHAnsi"/>
                <w:sz w:val="20"/>
                <w:szCs w:val="20"/>
                <w:lang w:eastAsia="nl-BE"/>
              </w:rPr>
              <w:t>44,6</w:t>
            </w:r>
          </w:p>
        </w:tc>
        <w:tc>
          <w:tcPr>
            <w:tcW w:w="880" w:type="dxa"/>
            <w:shd w:val="clear" w:color="auto" w:fill="auto"/>
            <w:noWrap/>
            <w:vAlign w:val="center"/>
            <w:hideMark/>
          </w:tcPr>
          <w:p w14:paraId="2742862F" w14:textId="77777777" w:rsidR="002563F7" w:rsidRPr="002563F7" w:rsidRDefault="002563F7" w:rsidP="002563F7">
            <w:pPr>
              <w:jc w:val="right"/>
              <w:rPr>
                <w:rFonts w:eastAsia="Times New Roman" w:cstheme="minorHAnsi"/>
                <w:sz w:val="20"/>
                <w:szCs w:val="20"/>
                <w:lang w:eastAsia="nl-BE"/>
              </w:rPr>
            </w:pPr>
            <w:r w:rsidRPr="002563F7">
              <w:rPr>
                <w:rFonts w:eastAsia="Times New Roman" w:cstheme="minorHAnsi"/>
                <w:sz w:val="20"/>
                <w:szCs w:val="20"/>
                <w:lang w:eastAsia="nl-BE"/>
              </w:rPr>
              <w:t>-3,7</w:t>
            </w:r>
          </w:p>
        </w:tc>
        <w:tc>
          <w:tcPr>
            <w:tcW w:w="820" w:type="dxa"/>
            <w:shd w:val="clear" w:color="auto" w:fill="auto"/>
            <w:noWrap/>
            <w:vAlign w:val="center"/>
            <w:hideMark/>
          </w:tcPr>
          <w:p w14:paraId="3E228CFF" w14:textId="77777777" w:rsidR="002563F7" w:rsidRPr="002563F7" w:rsidRDefault="002563F7" w:rsidP="002563F7">
            <w:pPr>
              <w:jc w:val="right"/>
              <w:rPr>
                <w:rFonts w:eastAsia="Times New Roman" w:cstheme="minorHAnsi"/>
                <w:sz w:val="20"/>
                <w:szCs w:val="20"/>
                <w:lang w:eastAsia="nl-BE"/>
              </w:rPr>
            </w:pPr>
            <w:r w:rsidRPr="002563F7">
              <w:rPr>
                <w:rFonts w:eastAsia="Times New Roman" w:cstheme="minorHAnsi"/>
                <w:sz w:val="20"/>
                <w:szCs w:val="20"/>
                <w:lang w:eastAsia="nl-BE"/>
              </w:rPr>
              <w:t>-7,7%</w:t>
            </w:r>
          </w:p>
        </w:tc>
        <w:tc>
          <w:tcPr>
            <w:tcW w:w="880" w:type="dxa"/>
            <w:shd w:val="clear" w:color="auto" w:fill="auto"/>
            <w:noWrap/>
            <w:vAlign w:val="center"/>
            <w:hideMark/>
          </w:tcPr>
          <w:p w14:paraId="4E87D6E5" w14:textId="77777777" w:rsidR="002563F7" w:rsidRPr="002563F7" w:rsidRDefault="002563F7" w:rsidP="002563F7">
            <w:pPr>
              <w:jc w:val="right"/>
              <w:rPr>
                <w:rFonts w:eastAsia="Times New Roman" w:cstheme="minorHAnsi"/>
                <w:sz w:val="20"/>
                <w:szCs w:val="20"/>
                <w:lang w:eastAsia="nl-BE"/>
              </w:rPr>
            </w:pPr>
            <w:r w:rsidRPr="002563F7">
              <w:rPr>
                <w:rFonts w:eastAsia="Times New Roman" w:cstheme="minorHAnsi"/>
                <w:sz w:val="20"/>
                <w:szCs w:val="20"/>
                <w:lang w:eastAsia="nl-BE"/>
              </w:rPr>
              <w:t>-0,3</w:t>
            </w:r>
          </w:p>
        </w:tc>
        <w:tc>
          <w:tcPr>
            <w:tcW w:w="820" w:type="dxa"/>
            <w:shd w:val="clear" w:color="auto" w:fill="auto"/>
            <w:noWrap/>
            <w:vAlign w:val="center"/>
            <w:hideMark/>
          </w:tcPr>
          <w:p w14:paraId="4C4BFB3D" w14:textId="77777777" w:rsidR="002563F7" w:rsidRPr="002563F7" w:rsidRDefault="002563F7" w:rsidP="002563F7">
            <w:pPr>
              <w:jc w:val="right"/>
              <w:rPr>
                <w:rFonts w:eastAsia="Times New Roman" w:cstheme="minorHAnsi"/>
                <w:sz w:val="20"/>
                <w:szCs w:val="20"/>
                <w:lang w:eastAsia="nl-BE"/>
              </w:rPr>
            </w:pPr>
            <w:r w:rsidRPr="002563F7">
              <w:rPr>
                <w:rFonts w:eastAsia="Times New Roman" w:cstheme="minorHAnsi"/>
                <w:sz w:val="20"/>
                <w:szCs w:val="20"/>
                <w:lang w:eastAsia="nl-BE"/>
              </w:rPr>
              <w:t>-0,6%</w:t>
            </w:r>
          </w:p>
        </w:tc>
      </w:tr>
      <w:tr w:rsidR="002563F7" w:rsidRPr="002563F7" w14:paraId="7D43EFE9" w14:textId="77777777" w:rsidTr="002563F7">
        <w:trPr>
          <w:trHeight w:val="276"/>
        </w:trPr>
        <w:tc>
          <w:tcPr>
            <w:tcW w:w="2689" w:type="dxa"/>
            <w:shd w:val="clear" w:color="auto" w:fill="auto"/>
            <w:vAlign w:val="center"/>
            <w:hideMark/>
          </w:tcPr>
          <w:p w14:paraId="7A47EF95" w14:textId="77777777" w:rsidR="002563F7" w:rsidRPr="002563F7" w:rsidRDefault="002563F7" w:rsidP="002563F7">
            <w:pPr>
              <w:rPr>
                <w:rFonts w:eastAsia="Times New Roman" w:cstheme="minorHAnsi"/>
                <w:sz w:val="20"/>
                <w:szCs w:val="20"/>
                <w:lang w:eastAsia="nl-BE"/>
              </w:rPr>
            </w:pPr>
            <w:r w:rsidRPr="002563F7">
              <w:rPr>
                <w:rFonts w:eastAsia="Times New Roman" w:cstheme="minorHAnsi"/>
                <w:sz w:val="20"/>
                <w:szCs w:val="20"/>
                <w:lang w:eastAsia="nl-BE"/>
              </w:rPr>
              <w:t>Belasting op de automatische ontspanningstoestellen</w:t>
            </w:r>
          </w:p>
        </w:tc>
        <w:tc>
          <w:tcPr>
            <w:tcW w:w="924" w:type="dxa"/>
            <w:shd w:val="clear" w:color="auto" w:fill="auto"/>
            <w:noWrap/>
            <w:vAlign w:val="center"/>
            <w:hideMark/>
          </w:tcPr>
          <w:p w14:paraId="34BF2A08" w14:textId="77777777" w:rsidR="002563F7" w:rsidRPr="002563F7" w:rsidRDefault="002563F7" w:rsidP="002563F7">
            <w:pPr>
              <w:jc w:val="right"/>
              <w:rPr>
                <w:rFonts w:eastAsia="Times New Roman" w:cstheme="minorHAnsi"/>
                <w:sz w:val="20"/>
                <w:szCs w:val="20"/>
                <w:lang w:eastAsia="nl-BE"/>
              </w:rPr>
            </w:pPr>
            <w:r w:rsidRPr="002563F7">
              <w:rPr>
                <w:rFonts w:eastAsia="Times New Roman" w:cstheme="minorHAnsi"/>
                <w:sz w:val="20"/>
                <w:szCs w:val="20"/>
                <w:lang w:eastAsia="nl-BE"/>
              </w:rPr>
              <w:t>22,9</w:t>
            </w:r>
          </w:p>
        </w:tc>
        <w:tc>
          <w:tcPr>
            <w:tcW w:w="1040" w:type="dxa"/>
            <w:shd w:val="clear" w:color="auto" w:fill="auto"/>
            <w:noWrap/>
            <w:vAlign w:val="center"/>
            <w:hideMark/>
          </w:tcPr>
          <w:p w14:paraId="24BC34F9" w14:textId="77777777" w:rsidR="002563F7" w:rsidRPr="002563F7" w:rsidRDefault="002563F7" w:rsidP="002563F7">
            <w:pPr>
              <w:jc w:val="right"/>
              <w:rPr>
                <w:rFonts w:eastAsia="Times New Roman" w:cstheme="minorHAnsi"/>
                <w:sz w:val="20"/>
                <w:szCs w:val="20"/>
                <w:lang w:eastAsia="nl-BE"/>
              </w:rPr>
            </w:pPr>
            <w:r w:rsidRPr="002563F7">
              <w:rPr>
                <w:rFonts w:eastAsia="Times New Roman" w:cstheme="minorHAnsi"/>
                <w:sz w:val="20"/>
                <w:szCs w:val="20"/>
                <w:lang w:eastAsia="nl-BE"/>
              </w:rPr>
              <w:t>21,8</w:t>
            </w:r>
          </w:p>
        </w:tc>
        <w:tc>
          <w:tcPr>
            <w:tcW w:w="1040" w:type="dxa"/>
            <w:shd w:val="clear" w:color="auto" w:fill="auto"/>
            <w:noWrap/>
            <w:vAlign w:val="center"/>
            <w:hideMark/>
          </w:tcPr>
          <w:p w14:paraId="6348F38B" w14:textId="77777777" w:rsidR="002563F7" w:rsidRPr="002563F7" w:rsidRDefault="002563F7" w:rsidP="002563F7">
            <w:pPr>
              <w:jc w:val="right"/>
              <w:rPr>
                <w:rFonts w:eastAsia="Times New Roman" w:cstheme="minorHAnsi"/>
                <w:sz w:val="20"/>
                <w:szCs w:val="20"/>
                <w:lang w:eastAsia="nl-BE"/>
              </w:rPr>
            </w:pPr>
            <w:r w:rsidRPr="002563F7">
              <w:rPr>
                <w:rFonts w:eastAsia="Times New Roman" w:cstheme="minorHAnsi"/>
                <w:sz w:val="20"/>
                <w:szCs w:val="20"/>
                <w:lang w:eastAsia="nl-BE"/>
              </w:rPr>
              <w:t>22,2</w:t>
            </w:r>
          </w:p>
        </w:tc>
        <w:tc>
          <w:tcPr>
            <w:tcW w:w="880" w:type="dxa"/>
            <w:shd w:val="clear" w:color="auto" w:fill="auto"/>
            <w:noWrap/>
            <w:vAlign w:val="center"/>
            <w:hideMark/>
          </w:tcPr>
          <w:p w14:paraId="00B41974" w14:textId="77777777" w:rsidR="002563F7" w:rsidRPr="002563F7" w:rsidRDefault="002563F7" w:rsidP="002563F7">
            <w:pPr>
              <w:jc w:val="right"/>
              <w:rPr>
                <w:rFonts w:eastAsia="Times New Roman" w:cstheme="minorHAnsi"/>
                <w:sz w:val="20"/>
                <w:szCs w:val="20"/>
                <w:lang w:eastAsia="nl-BE"/>
              </w:rPr>
            </w:pPr>
            <w:r w:rsidRPr="002563F7">
              <w:rPr>
                <w:rFonts w:eastAsia="Times New Roman" w:cstheme="minorHAnsi"/>
                <w:sz w:val="20"/>
                <w:szCs w:val="20"/>
                <w:lang w:eastAsia="nl-BE"/>
              </w:rPr>
              <w:t>-0,7</w:t>
            </w:r>
          </w:p>
        </w:tc>
        <w:tc>
          <w:tcPr>
            <w:tcW w:w="820" w:type="dxa"/>
            <w:shd w:val="clear" w:color="auto" w:fill="auto"/>
            <w:noWrap/>
            <w:vAlign w:val="center"/>
            <w:hideMark/>
          </w:tcPr>
          <w:p w14:paraId="18413795" w14:textId="77777777" w:rsidR="002563F7" w:rsidRPr="002563F7" w:rsidRDefault="002563F7" w:rsidP="002563F7">
            <w:pPr>
              <w:jc w:val="right"/>
              <w:rPr>
                <w:rFonts w:eastAsia="Times New Roman" w:cstheme="minorHAnsi"/>
                <w:sz w:val="20"/>
                <w:szCs w:val="20"/>
                <w:lang w:eastAsia="nl-BE"/>
              </w:rPr>
            </w:pPr>
            <w:r w:rsidRPr="002563F7">
              <w:rPr>
                <w:rFonts w:eastAsia="Times New Roman" w:cstheme="minorHAnsi"/>
                <w:sz w:val="20"/>
                <w:szCs w:val="20"/>
                <w:lang w:eastAsia="nl-BE"/>
              </w:rPr>
              <w:t>-2,9%</w:t>
            </w:r>
          </w:p>
        </w:tc>
        <w:tc>
          <w:tcPr>
            <w:tcW w:w="880" w:type="dxa"/>
            <w:shd w:val="clear" w:color="auto" w:fill="auto"/>
            <w:noWrap/>
            <w:vAlign w:val="center"/>
            <w:hideMark/>
          </w:tcPr>
          <w:p w14:paraId="18FE0AB3" w14:textId="77777777" w:rsidR="002563F7" w:rsidRPr="002563F7" w:rsidRDefault="002563F7" w:rsidP="002563F7">
            <w:pPr>
              <w:jc w:val="right"/>
              <w:rPr>
                <w:rFonts w:eastAsia="Times New Roman" w:cstheme="minorHAnsi"/>
                <w:sz w:val="20"/>
                <w:szCs w:val="20"/>
                <w:lang w:eastAsia="nl-BE"/>
              </w:rPr>
            </w:pPr>
            <w:r w:rsidRPr="002563F7">
              <w:rPr>
                <w:rFonts w:eastAsia="Times New Roman" w:cstheme="minorHAnsi"/>
                <w:sz w:val="20"/>
                <w:szCs w:val="20"/>
                <w:lang w:eastAsia="nl-BE"/>
              </w:rPr>
              <w:t>0,5</w:t>
            </w:r>
          </w:p>
        </w:tc>
        <w:tc>
          <w:tcPr>
            <w:tcW w:w="820" w:type="dxa"/>
            <w:shd w:val="clear" w:color="auto" w:fill="auto"/>
            <w:noWrap/>
            <w:vAlign w:val="center"/>
            <w:hideMark/>
          </w:tcPr>
          <w:p w14:paraId="64ED4383" w14:textId="77777777" w:rsidR="002563F7" w:rsidRPr="002563F7" w:rsidRDefault="002563F7" w:rsidP="002563F7">
            <w:pPr>
              <w:jc w:val="right"/>
              <w:rPr>
                <w:rFonts w:eastAsia="Times New Roman" w:cstheme="minorHAnsi"/>
                <w:sz w:val="20"/>
                <w:szCs w:val="20"/>
                <w:lang w:eastAsia="nl-BE"/>
              </w:rPr>
            </w:pPr>
            <w:r w:rsidRPr="002563F7">
              <w:rPr>
                <w:rFonts w:eastAsia="Times New Roman" w:cstheme="minorHAnsi"/>
                <w:sz w:val="20"/>
                <w:szCs w:val="20"/>
                <w:lang w:eastAsia="nl-BE"/>
              </w:rPr>
              <w:t>2,2%</w:t>
            </w:r>
          </w:p>
        </w:tc>
      </w:tr>
      <w:tr w:rsidR="002563F7" w:rsidRPr="002563F7" w14:paraId="67566818" w14:textId="77777777" w:rsidTr="002563F7">
        <w:trPr>
          <w:trHeight w:val="276"/>
        </w:trPr>
        <w:tc>
          <w:tcPr>
            <w:tcW w:w="2689" w:type="dxa"/>
            <w:shd w:val="clear" w:color="auto" w:fill="auto"/>
            <w:vAlign w:val="center"/>
            <w:hideMark/>
          </w:tcPr>
          <w:p w14:paraId="3257B4C8" w14:textId="77777777" w:rsidR="002563F7" w:rsidRPr="002563F7" w:rsidRDefault="002563F7" w:rsidP="002563F7">
            <w:pPr>
              <w:rPr>
                <w:rFonts w:eastAsia="Times New Roman" w:cstheme="minorHAnsi"/>
                <w:sz w:val="20"/>
                <w:szCs w:val="20"/>
                <w:lang w:eastAsia="nl-BE"/>
              </w:rPr>
            </w:pPr>
            <w:r w:rsidRPr="002563F7">
              <w:rPr>
                <w:rFonts w:eastAsia="Times New Roman" w:cstheme="minorHAnsi"/>
                <w:sz w:val="20"/>
                <w:szCs w:val="20"/>
                <w:lang w:eastAsia="nl-BE"/>
              </w:rPr>
              <w:t>Openingsbelasting</w:t>
            </w:r>
          </w:p>
        </w:tc>
        <w:tc>
          <w:tcPr>
            <w:tcW w:w="924" w:type="dxa"/>
            <w:shd w:val="clear" w:color="auto" w:fill="auto"/>
            <w:noWrap/>
            <w:vAlign w:val="center"/>
            <w:hideMark/>
          </w:tcPr>
          <w:p w14:paraId="69BF2F4D" w14:textId="77777777" w:rsidR="002563F7" w:rsidRPr="002563F7" w:rsidRDefault="002563F7" w:rsidP="002563F7">
            <w:pPr>
              <w:jc w:val="right"/>
              <w:rPr>
                <w:rFonts w:eastAsia="Times New Roman" w:cstheme="minorHAnsi"/>
                <w:sz w:val="20"/>
                <w:szCs w:val="20"/>
                <w:lang w:eastAsia="nl-BE"/>
              </w:rPr>
            </w:pPr>
            <w:r w:rsidRPr="002563F7">
              <w:rPr>
                <w:rFonts w:eastAsia="Times New Roman" w:cstheme="minorHAnsi"/>
                <w:sz w:val="20"/>
                <w:szCs w:val="20"/>
                <w:lang w:eastAsia="nl-BE"/>
              </w:rPr>
              <w:t>0,0</w:t>
            </w:r>
          </w:p>
        </w:tc>
        <w:tc>
          <w:tcPr>
            <w:tcW w:w="1040" w:type="dxa"/>
            <w:shd w:val="clear" w:color="auto" w:fill="auto"/>
            <w:noWrap/>
            <w:vAlign w:val="center"/>
            <w:hideMark/>
          </w:tcPr>
          <w:p w14:paraId="66868439" w14:textId="77777777" w:rsidR="002563F7" w:rsidRPr="002563F7" w:rsidRDefault="002563F7" w:rsidP="002563F7">
            <w:pPr>
              <w:jc w:val="right"/>
              <w:rPr>
                <w:rFonts w:eastAsia="Times New Roman" w:cstheme="minorHAnsi"/>
                <w:sz w:val="20"/>
                <w:szCs w:val="20"/>
                <w:lang w:eastAsia="nl-BE"/>
              </w:rPr>
            </w:pPr>
            <w:r w:rsidRPr="002563F7">
              <w:rPr>
                <w:rFonts w:eastAsia="Times New Roman" w:cstheme="minorHAnsi"/>
                <w:sz w:val="20"/>
                <w:szCs w:val="20"/>
                <w:lang w:eastAsia="nl-BE"/>
              </w:rPr>
              <w:t>0,0</w:t>
            </w:r>
          </w:p>
        </w:tc>
        <w:tc>
          <w:tcPr>
            <w:tcW w:w="1040" w:type="dxa"/>
            <w:shd w:val="clear" w:color="auto" w:fill="auto"/>
            <w:noWrap/>
            <w:vAlign w:val="center"/>
            <w:hideMark/>
          </w:tcPr>
          <w:p w14:paraId="518B6416" w14:textId="77777777" w:rsidR="002563F7" w:rsidRPr="002563F7" w:rsidRDefault="002563F7" w:rsidP="002563F7">
            <w:pPr>
              <w:jc w:val="right"/>
              <w:rPr>
                <w:rFonts w:eastAsia="Times New Roman" w:cstheme="minorHAnsi"/>
                <w:sz w:val="20"/>
                <w:szCs w:val="20"/>
                <w:lang w:eastAsia="nl-BE"/>
              </w:rPr>
            </w:pPr>
            <w:r w:rsidRPr="002563F7">
              <w:rPr>
                <w:rFonts w:eastAsia="Times New Roman" w:cstheme="minorHAnsi"/>
                <w:sz w:val="20"/>
                <w:szCs w:val="20"/>
                <w:lang w:eastAsia="nl-BE"/>
              </w:rPr>
              <w:t>0,0</w:t>
            </w:r>
          </w:p>
        </w:tc>
        <w:tc>
          <w:tcPr>
            <w:tcW w:w="880" w:type="dxa"/>
            <w:shd w:val="clear" w:color="auto" w:fill="auto"/>
            <w:noWrap/>
            <w:vAlign w:val="center"/>
            <w:hideMark/>
          </w:tcPr>
          <w:p w14:paraId="6B8B709D" w14:textId="77777777" w:rsidR="002563F7" w:rsidRPr="002563F7" w:rsidRDefault="002563F7" w:rsidP="002563F7">
            <w:pPr>
              <w:rPr>
                <w:rFonts w:eastAsia="Times New Roman" w:cstheme="minorHAnsi"/>
                <w:sz w:val="20"/>
                <w:szCs w:val="20"/>
                <w:lang w:eastAsia="nl-BE"/>
              </w:rPr>
            </w:pPr>
            <w:r w:rsidRPr="002563F7">
              <w:rPr>
                <w:rFonts w:eastAsia="Times New Roman" w:cstheme="minorHAnsi"/>
                <w:sz w:val="20"/>
                <w:szCs w:val="20"/>
                <w:lang w:eastAsia="nl-BE"/>
              </w:rPr>
              <w:t> </w:t>
            </w:r>
          </w:p>
        </w:tc>
        <w:tc>
          <w:tcPr>
            <w:tcW w:w="820" w:type="dxa"/>
            <w:shd w:val="clear" w:color="auto" w:fill="auto"/>
            <w:noWrap/>
            <w:vAlign w:val="center"/>
            <w:hideMark/>
          </w:tcPr>
          <w:p w14:paraId="5F6C21F5" w14:textId="77777777" w:rsidR="002563F7" w:rsidRPr="002563F7" w:rsidRDefault="002563F7" w:rsidP="002563F7">
            <w:pPr>
              <w:rPr>
                <w:rFonts w:eastAsia="Times New Roman" w:cstheme="minorHAnsi"/>
                <w:sz w:val="20"/>
                <w:szCs w:val="20"/>
                <w:lang w:eastAsia="nl-BE"/>
              </w:rPr>
            </w:pPr>
            <w:r w:rsidRPr="002563F7">
              <w:rPr>
                <w:rFonts w:eastAsia="Times New Roman" w:cstheme="minorHAnsi"/>
                <w:sz w:val="20"/>
                <w:szCs w:val="20"/>
                <w:lang w:eastAsia="nl-BE"/>
              </w:rPr>
              <w:t> </w:t>
            </w:r>
          </w:p>
        </w:tc>
        <w:tc>
          <w:tcPr>
            <w:tcW w:w="880" w:type="dxa"/>
            <w:shd w:val="clear" w:color="auto" w:fill="auto"/>
            <w:noWrap/>
            <w:vAlign w:val="center"/>
            <w:hideMark/>
          </w:tcPr>
          <w:p w14:paraId="525F95A2" w14:textId="77777777" w:rsidR="002563F7" w:rsidRPr="002563F7" w:rsidRDefault="002563F7" w:rsidP="002563F7">
            <w:pPr>
              <w:rPr>
                <w:rFonts w:eastAsia="Times New Roman" w:cstheme="minorHAnsi"/>
                <w:sz w:val="20"/>
                <w:szCs w:val="20"/>
                <w:lang w:eastAsia="nl-BE"/>
              </w:rPr>
            </w:pPr>
            <w:r w:rsidRPr="002563F7">
              <w:rPr>
                <w:rFonts w:eastAsia="Times New Roman" w:cstheme="minorHAnsi"/>
                <w:sz w:val="20"/>
                <w:szCs w:val="20"/>
                <w:lang w:eastAsia="nl-BE"/>
              </w:rPr>
              <w:t> </w:t>
            </w:r>
          </w:p>
        </w:tc>
        <w:tc>
          <w:tcPr>
            <w:tcW w:w="820" w:type="dxa"/>
            <w:shd w:val="clear" w:color="auto" w:fill="auto"/>
            <w:noWrap/>
            <w:vAlign w:val="center"/>
            <w:hideMark/>
          </w:tcPr>
          <w:p w14:paraId="37FC5BB1" w14:textId="77777777" w:rsidR="002563F7" w:rsidRPr="002563F7" w:rsidRDefault="002563F7" w:rsidP="002563F7">
            <w:pPr>
              <w:rPr>
                <w:rFonts w:eastAsia="Times New Roman" w:cstheme="minorHAnsi"/>
                <w:sz w:val="20"/>
                <w:szCs w:val="20"/>
                <w:lang w:eastAsia="nl-BE"/>
              </w:rPr>
            </w:pPr>
            <w:r w:rsidRPr="002563F7">
              <w:rPr>
                <w:rFonts w:eastAsia="Times New Roman" w:cstheme="minorHAnsi"/>
                <w:sz w:val="20"/>
                <w:szCs w:val="20"/>
                <w:lang w:eastAsia="nl-BE"/>
              </w:rPr>
              <w:t> </w:t>
            </w:r>
          </w:p>
        </w:tc>
      </w:tr>
      <w:tr w:rsidR="002563F7" w:rsidRPr="002563F7" w14:paraId="11950B7F" w14:textId="77777777" w:rsidTr="002563F7">
        <w:trPr>
          <w:trHeight w:val="276"/>
        </w:trPr>
        <w:tc>
          <w:tcPr>
            <w:tcW w:w="2689" w:type="dxa"/>
            <w:shd w:val="clear" w:color="auto" w:fill="auto"/>
            <w:vAlign w:val="center"/>
            <w:hideMark/>
          </w:tcPr>
          <w:p w14:paraId="7AF790C2" w14:textId="77777777" w:rsidR="002563F7" w:rsidRPr="002563F7" w:rsidRDefault="002563F7" w:rsidP="002563F7">
            <w:pPr>
              <w:rPr>
                <w:rFonts w:eastAsia="Times New Roman" w:cstheme="minorHAnsi"/>
                <w:iCs/>
                <w:sz w:val="20"/>
                <w:szCs w:val="20"/>
                <w:lang w:eastAsia="nl-BE"/>
              </w:rPr>
            </w:pPr>
            <w:r w:rsidRPr="002563F7">
              <w:rPr>
                <w:rFonts w:eastAsia="Times New Roman" w:cstheme="minorHAnsi"/>
                <w:iCs/>
                <w:sz w:val="20"/>
                <w:szCs w:val="20"/>
                <w:lang w:eastAsia="nl-BE"/>
              </w:rPr>
              <w:t>Verkooprecht</w:t>
            </w:r>
          </w:p>
        </w:tc>
        <w:tc>
          <w:tcPr>
            <w:tcW w:w="924" w:type="dxa"/>
            <w:shd w:val="clear" w:color="auto" w:fill="auto"/>
            <w:noWrap/>
            <w:vAlign w:val="center"/>
            <w:hideMark/>
          </w:tcPr>
          <w:p w14:paraId="067959FE" w14:textId="77777777" w:rsidR="002563F7" w:rsidRPr="002563F7" w:rsidRDefault="002563F7" w:rsidP="002563F7">
            <w:pPr>
              <w:jc w:val="right"/>
              <w:rPr>
                <w:rFonts w:eastAsia="Times New Roman" w:cstheme="minorHAnsi"/>
                <w:iCs/>
                <w:sz w:val="20"/>
                <w:szCs w:val="20"/>
                <w:lang w:eastAsia="nl-BE"/>
              </w:rPr>
            </w:pPr>
            <w:r w:rsidRPr="002563F7">
              <w:rPr>
                <w:rFonts w:eastAsia="Times New Roman" w:cstheme="minorHAnsi"/>
                <w:iCs/>
                <w:sz w:val="20"/>
                <w:szCs w:val="20"/>
                <w:lang w:eastAsia="nl-BE"/>
              </w:rPr>
              <w:t>2.455,3</w:t>
            </w:r>
          </w:p>
        </w:tc>
        <w:tc>
          <w:tcPr>
            <w:tcW w:w="1040" w:type="dxa"/>
            <w:shd w:val="clear" w:color="auto" w:fill="auto"/>
            <w:noWrap/>
            <w:vAlign w:val="center"/>
            <w:hideMark/>
          </w:tcPr>
          <w:p w14:paraId="787E0DF5" w14:textId="77777777" w:rsidR="002563F7" w:rsidRPr="002563F7" w:rsidRDefault="002563F7" w:rsidP="002563F7">
            <w:pPr>
              <w:jc w:val="right"/>
              <w:rPr>
                <w:rFonts w:eastAsia="Times New Roman" w:cstheme="minorHAnsi"/>
                <w:iCs/>
                <w:sz w:val="20"/>
                <w:szCs w:val="20"/>
                <w:lang w:eastAsia="nl-BE"/>
              </w:rPr>
            </w:pPr>
            <w:r w:rsidRPr="002563F7">
              <w:rPr>
                <w:rFonts w:eastAsia="Times New Roman" w:cstheme="minorHAnsi"/>
                <w:iCs/>
                <w:sz w:val="20"/>
                <w:szCs w:val="20"/>
                <w:lang w:eastAsia="nl-BE"/>
              </w:rPr>
              <w:t>2.559,8</w:t>
            </w:r>
          </w:p>
        </w:tc>
        <w:tc>
          <w:tcPr>
            <w:tcW w:w="1040" w:type="dxa"/>
            <w:shd w:val="clear" w:color="auto" w:fill="auto"/>
            <w:noWrap/>
            <w:vAlign w:val="center"/>
            <w:hideMark/>
          </w:tcPr>
          <w:p w14:paraId="16EA620C" w14:textId="77777777" w:rsidR="002563F7" w:rsidRPr="002563F7" w:rsidRDefault="002563F7" w:rsidP="002563F7">
            <w:pPr>
              <w:jc w:val="right"/>
              <w:rPr>
                <w:rFonts w:eastAsia="Times New Roman" w:cstheme="minorHAnsi"/>
                <w:iCs/>
                <w:sz w:val="20"/>
                <w:szCs w:val="20"/>
                <w:lang w:eastAsia="nl-BE"/>
              </w:rPr>
            </w:pPr>
            <w:r w:rsidRPr="002563F7">
              <w:rPr>
                <w:rFonts w:eastAsia="Times New Roman" w:cstheme="minorHAnsi"/>
                <w:iCs/>
                <w:sz w:val="20"/>
                <w:szCs w:val="20"/>
                <w:lang w:eastAsia="nl-BE"/>
              </w:rPr>
              <w:t>2.720,8</w:t>
            </w:r>
          </w:p>
        </w:tc>
        <w:tc>
          <w:tcPr>
            <w:tcW w:w="880" w:type="dxa"/>
            <w:shd w:val="clear" w:color="auto" w:fill="auto"/>
            <w:noWrap/>
            <w:vAlign w:val="center"/>
            <w:hideMark/>
          </w:tcPr>
          <w:p w14:paraId="38C02B85" w14:textId="77777777" w:rsidR="002563F7" w:rsidRPr="002563F7" w:rsidRDefault="002563F7" w:rsidP="002563F7">
            <w:pPr>
              <w:jc w:val="right"/>
              <w:rPr>
                <w:rFonts w:eastAsia="Times New Roman" w:cstheme="minorHAnsi"/>
                <w:iCs/>
                <w:sz w:val="20"/>
                <w:szCs w:val="20"/>
                <w:lang w:eastAsia="nl-BE"/>
              </w:rPr>
            </w:pPr>
            <w:r w:rsidRPr="002563F7">
              <w:rPr>
                <w:rFonts w:eastAsia="Times New Roman" w:cstheme="minorHAnsi"/>
                <w:iCs/>
                <w:sz w:val="20"/>
                <w:szCs w:val="20"/>
                <w:lang w:eastAsia="nl-BE"/>
              </w:rPr>
              <w:t>265,4</w:t>
            </w:r>
          </w:p>
        </w:tc>
        <w:tc>
          <w:tcPr>
            <w:tcW w:w="820" w:type="dxa"/>
            <w:shd w:val="clear" w:color="auto" w:fill="auto"/>
            <w:noWrap/>
            <w:vAlign w:val="center"/>
            <w:hideMark/>
          </w:tcPr>
          <w:p w14:paraId="3F5259E5" w14:textId="77777777" w:rsidR="002563F7" w:rsidRPr="002563F7" w:rsidRDefault="002563F7" w:rsidP="002563F7">
            <w:pPr>
              <w:jc w:val="right"/>
              <w:rPr>
                <w:rFonts w:eastAsia="Times New Roman" w:cstheme="minorHAnsi"/>
                <w:iCs/>
                <w:sz w:val="20"/>
                <w:szCs w:val="20"/>
                <w:lang w:eastAsia="nl-BE"/>
              </w:rPr>
            </w:pPr>
            <w:r w:rsidRPr="002563F7">
              <w:rPr>
                <w:rFonts w:eastAsia="Times New Roman" w:cstheme="minorHAnsi"/>
                <w:iCs/>
                <w:sz w:val="20"/>
                <w:szCs w:val="20"/>
                <w:lang w:eastAsia="nl-BE"/>
              </w:rPr>
              <w:t>10,8%</w:t>
            </w:r>
          </w:p>
        </w:tc>
        <w:tc>
          <w:tcPr>
            <w:tcW w:w="880" w:type="dxa"/>
            <w:shd w:val="clear" w:color="auto" w:fill="auto"/>
            <w:noWrap/>
            <w:vAlign w:val="center"/>
            <w:hideMark/>
          </w:tcPr>
          <w:p w14:paraId="554F7218" w14:textId="77777777" w:rsidR="002563F7" w:rsidRPr="002563F7" w:rsidRDefault="002563F7" w:rsidP="002563F7">
            <w:pPr>
              <w:jc w:val="right"/>
              <w:rPr>
                <w:rFonts w:eastAsia="Times New Roman" w:cstheme="minorHAnsi"/>
                <w:iCs/>
                <w:sz w:val="20"/>
                <w:szCs w:val="20"/>
                <w:lang w:eastAsia="nl-BE"/>
              </w:rPr>
            </w:pPr>
            <w:r w:rsidRPr="002563F7">
              <w:rPr>
                <w:rFonts w:eastAsia="Times New Roman" w:cstheme="minorHAnsi"/>
                <w:iCs/>
                <w:sz w:val="20"/>
                <w:szCs w:val="20"/>
                <w:lang w:eastAsia="nl-BE"/>
              </w:rPr>
              <w:t>161,0</w:t>
            </w:r>
          </w:p>
        </w:tc>
        <w:tc>
          <w:tcPr>
            <w:tcW w:w="820" w:type="dxa"/>
            <w:shd w:val="clear" w:color="auto" w:fill="auto"/>
            <w:noWrap/>
            <w:vAlign w:val="center"/>
            <w:hideMark/>
          </w:tcPr>
          <w:p w14:paraId="63D8DCA1" w14:textId="77777777" w:rsidR="002563F7" w:rsidRPr="002563F7" w:rsidRDefault="002563F7" w:rsidP="002563F7">
            <w:pPr>
              <w:jc w:val="right"/>
              <w:rPr>
                <w:rFonts w:eastAsia="Times New Roman" w:cstheme="minorHAnsi"/>
                <w:iCs/>
                <w:sz w:val="20"/>
                <w:szCs w:val="20"/>
                <w:lang w:eastAsia="nl-BE"/>
              </w:rPr>
            </w:pPr>
            <w:r w:rsidRPr="002563F7">
              <w:rPr>
                <w:rFonts w:eastAsia="Times New Roman" w:cstheme="minorHAnsi"/>
                <w:iCs/>
                <w:sz w:val="20"/>
                <w:szCs w:val="20"/>
                <w:lang w:eastAsia="nl-BE"/>
              </w:rPr>
              <w:t>6,3%</w:t>
            </w:r>
          </w:p>
        </w:tc>
      </w:tr>
      <w:tr w:rsidR="002563F7" w:rsidRPr="002563F7" w14:paraId="7F0CD77E" w14:textId="77777777" w:rsidTr="002563F7">
        <w:trPr>
          <w:trHeight w:val="276"/>
        </w:trPr>
        <w:tc>
          <w:tcPr>
            <w:tcW w:w="2689" w:type="dxa"/>
            <w:shd w:val="clear" w:color="auto" w:fill="auto"/>
            <w:vAlign w:val="center"/>
            <w:hideMark/>
          </w:tcPr>
          <w:p w14:paraId="1DE6B60B" w14:textId="77777777" w:rsidR="002563F7" w:rsidRPr="002563F7" w:rsidRDefault="002563F7" w:rsidP="002563F7">
            <w:pPr>
              <w:rPr>
                <w:rFonts w:eastAsia="Times New Roman" w:cstheme="minorHAnsi"/>
                <w:iCs/>
                <w:sz w:val="20"/>
                <w:szCs w:val="20"/>
                <w:lang w:eastAsia="nl-BE"/>
              </w:rPr>
            </w:pPr>
            <w:r w:rsidRPr="002563F7">
              <w:rPr>
                <w:rFonts w:eastAsia="Times New Roman" w:cstheme="minorHAnsi"/>
                <w:iCs/>
                <w:sz w:val="20"/>
                <w:szCs w:val="20"/>
                <w:lang w:eastAsia="nl-BE"/>
              </w:rPr>
              <w:t>Verdeelrecht</w:t>
            </w:r>
          </w:p>
        </w:tc>
        <w:tc>
          <w:tcPr>
            <w:tcW w:w="924" w:type="dxa"/>
            <w:shd w:val="clear" w:color="auto" w:fill="auto"/>
            <w:noWrap/>
            <w:vAlign w:val="center"/>
            <w:hideMark/>
          </w:tcPr>
          <w:p w14:paraId="36E29299" w14:textId="77777777" w:rsidR="002563F7" w:rsidRPr="002563F7" w:rsidRDefault="002563F7" w:rsidP="002563F7">
            <w:pPr>
              <w:jc w:val="right"/>
              <w:rPr>
                <w:rFonts w:eastAsia="Times New Roman" w:cstheme="minorHAnsi"/>
                <w:iCs/>
                <w:sz w:val="20"/>
                <w:szCs w:val="20"/>
                <w:lang w:eastAsia="nl-BE"/>
              </w:rPr>
            </w:pPr>
            <w:r w:rsidRPr="002563F7">
              <w:rPr>
                <w:rFonts w:eastAsia="Times New Roman" w:cstheme="minorHAnsi"/>
                <w:iCs/>
                <w:sz w:val="20"/>
                <w:szCs w:val="20"/>
                <w:lang w:eastAsia="nl-BE"/>
              </w:rPr>
              <w:t>75,4</w:t>
            </w:r>
          </w:p>
        </w:tc>
        <w:tc>
          <w:tcPr>
            <w:tcW w:w="1040" w:type="dxa"/>
            <w:shd w:val="clear" w:color="auto" w:fill="auto"/>
            <w:noWrap/>
            <w:vAlign w:val="center"/>
            <w:hideMark/>
          </w:tcPr>
          <w:p w14:paraId="2D1EBFD0" w14:textId="77777777" w:rsidR="002563F7" w:rsidRPr="002563F7" w:rsidRDefault="002563F7" w:rsidP="002563F7">
            <w:pPr>
              <w:jc w:val="right"/>
              <w:rPr>
                <w:rFonts w:eastAsia="Times New Roman" w:cstheme="minorHAnsi"/>
                <w:iCs/>
                <w:sz w:val="20"/>
                <w:szCs w:val="20"/>
                <w:lang w:eastAsia="nl-BE"/>
              </w:rPr>
            </w:pPr>
            <w:r w:rsidRPr="002563F7">
              <w:rPr>
                <w:rFonts w:eastAsia="Times New Roman" w:cstheme="minorHAnsi"/>
                <w:iCs/>
                <w:sz w:val="20"/>
                <w:szCs w:val="20"/>
                <w:lang w:eastAsia="nl-BE"/>
              </w:rPr>
              <w:t>73,6</w:t>
            </w:r>
          </w:p>
        </w:tc>
        <w:tc>
          <w:tcPr>
            <w:tcW w:w="1040" w:type="dxa"/>
            <w:shd w:val="clear" w:color="auto" w:fill="auto"/>
            <w:noWrap/>
            <w:vAlign w:val="center"/>
            <w:hideMark/>
          </w:tcPr>
          <w:p w14:paraId="0FB16C4D" w14:textId="77777777" w:rsidR="002563F7" w:rsidRPr="002563F7" w:rsidRDefault="002563F7" w:rsidP="002563F7">
            <w:pPr>
              <w:jc w:val="right"/>
              <w:rPr>
                <w:rFonts w:eastAsia="Times New Roman" w:cstheme="minorHAnsi"/>
                <w:iCs/>
                <w:sz w:val="20"/>
                <w:szCs w:val="20"/>
                <w:lang w:eastAsia="nl-BE"/>
              </w:rPr>
            </w:pPr>
            <w:r w:rsidRPr="002563F7">
              <w:rPr>
                <w:rFonts w:eastAsia="Times New Roman" w:cstheme="minorHAnsi"/>
                <w:iCs/>
                <w:sz w:val="20"/>
                <w:szCs w:val="20"/>
                <w:lang w:eastAsia="nl-BE"/>
              </w:rPr>
              <w:t>78,2</w:t>
            </w:r>
          </w:p>
        </w:tc>
        <w:tc>
          <w:tcPr>
            <w:tcW w:w="880" w:type="dxa"/>
            <w:shd w:val="clear" w:color="auto" w:fill="auto"/>
            <w:noWrap/>
            <w:vAlign w:val="center"/>
            <w:hideMark/>
          </w:tcPr>
          <w:p w14:paraId="2494825E" w14:textId="77777777" w:rsidR="002563F7" w:rsidRPr="002563F7" w:rsidRDefault="002563F7" w:rsidP="002563F7">
            <w:pPr>
              <w:jc w:val="right"/>
              <w:rPr>
                <w:rFonts w:eastAsia="Times New Roman" w:cstheme="minorHAnsi"/>
                <w:iCs/>
                <w:sz w:val="20"/>
                <w:szCs w:val="20"/>
                <w:lang w:eastAsia="nl-BE"/>
              </w:rPr>
            </w:pPr>
            <w:r w:rsidRPr="002563F7">
              <w:rPr>
                <w:rFonts w:eastAsia="Times New Roman" w:cstheme="minorHAnsi"/>
                <w:iCs/>
                <w:sz w:val="20"/>
                <w:szCs w:val="20"/>
                <w:lang w:eastAsia="nl-BE"/>
              </w:rPr>
              <w:t>2,9</w:t>
            </w:r>
          </w:p>
        </w:tc>
        <w:tc>
          <w:tcPr>
            <w:tcW w:w="820" w:type="dxa"/>
            <w:shd w:val="clear" w:color="auto" w:fill="auto"/>
            <w:noWrap/>
            <w:vAlign w:val="center"/>
            <w:hideMark/>
          </w:tcPr>
          <w:p w14:paraId="705A130F" w14:textId="77777777" w:rsidR="002563F7" w:rsidRPr="002563F7" w:rsidRDefault="002563F7" w:rsidP="002563F7">
            <w:pPr>
              <w:jc w:val="right"/>
              <w:rPr>
                <w:rFonts w:eastAsia="Times New Roman" w:cstheme="minorHAnsi"/>
                <w:iCs/>
                <w:sz w:val="20"/>
                <w:szCs w:val="20"/>
                <w:lang w:eastAsia="nl-BE"/>
              </w:rPr>
            </w:pPr>
            <w:r w:rsidRPr="002563F7">
              <w:rPr>
                <w:rFonts w:eastAsia="Times New Roman" w:cstheme="minorHAnsi"/>
                <w:iCs/>
                <w:sz w:val="20"/>
                <w:szCs w:val="20"/>
                <w:lang w:eastAsia="nl-BE"/>
              </w:rPr>
              <w:t>3,8%</w:t>
            </w:r>
          </w:p>
        </w:tc>
        <w:tc>
          <w:tcPr>
            <w:tcW w:w="880" w:type="dxa"/>
            <w:shd w:val="clear" w:color="auto" w:fill="auto"/>
            <w:noWrap/>
            <w:vAlign w:val="center"/>
            <w:hideMark/>
          </w:tcPr>
          <w:p w14:paraId="4A9A0828" w14:textId="77777777" w:rsidR="002563F7" w:rsidRPr="002563F7" w:rsidRDefault="002563F7" w:rsidP="002563F7">
            <w:pPr>
              <w:jc w:val="right"/>
              <w:rPr>
                <w:rFonts w:eastAsia="Times New Roman" w:cstheme="minorHAnsi"/>
                <w:iCs/>
                <w:sz w:val="20"/>
                <w:szCs w:val="20"/>
                <w:lang w:eastAsia="nl-BE"/>
              </w:rPr>
            </w:pPr>
            <w:r w:rsidRPr="002563F7">
              <w:rPr>
                <w:rFonts w:eastAsia="Times New Roman" w:cstheme="minorHAnsi"/>
                <w:iCs/>
                <w:sz w:val="20"/>
                <w:szCs w:val="20"/>
                <w:lang w:eastAsia="nl-BE"/>
              </w:rPr>
              <w:t>4,6</w:t>
            </w:r>
          </w:p>
        </w:tc>
        <w:tc>
          <w:tcPr>
            <w:tcW w:w="820" w:type="dxa"/>
            <w:shd w:val="clear" w:color="auto" w:fill="auto"/>
            <w:noWrap/>
            <w:vAlign w:val="center"/>
            <w:hideMark/>
          </w:tcPr>
          <w:p w14:paraId="1237BAFB" w14:textId="77777777" w:rsidR="002563F7" w:rsidRPr="002563F7" w:rsidRDefault="002563F7" w:rsidP="002563F7">
            <w:pPr>
              <w:jc w:val="right"/>
              <w:rPr>
                <w:rFonts w:eastAsia="Times New Roman" w:cstheme="minorHAnsi"/>
                <w:iCs/>
                <w:sz w:val="20"/>
                <w:szCs w:val="20"/>
                <w:lang w:eastAsia="nl-BE"/>
              </w:rPr>
            </w:pPr>
            <w:r w:rsidRPr="002563F7">
              <w:rPr>
                <w:rFonts w:eastAsia="Times New Roman" w:cstheme="minorHAnsi"/>
                <w:iCs/>
                <w:sz w:val="20"/>
                <w:szCs w:val="20"/>
                <w:lang w:eastAsia="nl-BE"/>
              </w:rPr>
              <w:t>6,2%</w:t>
            </w:r>
          </w:p>
        </w:tc>
      </w:tr>
      <w:tr w:rsidR="002563F7" w:rsidRPr="002563F7" w14:paraId="27220349" w14:textId="77777777" w:rsidTr="002563F7">
        <w:trPr>
          <w:trHeight w:val="276"/>
        </w:trPr>
        <w:tc>
          <w:tcPr>
            <w:tcW w:w="2689" w:type="dxa"/>
            <w:shd w:val="clear" w:color="auto" w:fill="auto"/>
            <w:vAlign w:val="center"/>
            <w:hideMark/>
          </w:tcPr>
          <w:p w14:paraId="2AB3F256" w14:textId="77777777" w:rsidR="002563F7" w:rsidRPr="002563F7" w:rsidRDefault="002563F7" w:rsidP="002563F7">
            <w:pPr>
              <w:rPr>
                <w:rFonts w:eastAsia="Times New Roman" w:cstheme="minorHAnsi"/>
                <w:iCs/>
                <w:sz w:val="20"/>
                <w:szCs w:val="20"/>
                <w:lang w:eastAsia="nl-BE"/>
              </w:rPr>
            </w:pPr>
            <w:r w:rsidRPr="002563F7">
              <w:rPr>
                <w:rFonts w:eastAsia="Times New Roman" w:cstheme="minorHAnsi"/>
                <w:iCs/>
                <w:sz w:val="20"/>
                <w:szCs w:val="20"/>
                <w:lang w:eastAsia="nl-BE"/>
              </w:rPr>
              <w:t>Hypotheekbelastingen</w:t>
            </w:r>
          </w:p>
        </w:tc>
        <w:tc>
          <w:tcPr>
            <w:tcW w:w="924" w:type="dxa"/>
            <w:shd w:val="clear" w:color="auto" w:fill="auto"/>
            <w:noWrap/>
            <w:vAlign w:val="center"/>
            <w:hideMark/>
          </w:tcPr>
          <w:p w14:paraId="5464A6EE" w14:textId="77777777" w:rsidR="002563F7" w:rsidRPr="002563F7" w:rsidRDefault="002563F7" w:rsidP="002563F7">
            <w:pPr>
              <w:jc w:val="right"/>
              <w:rPr>
                <w:rFonts w:eastAsia="Times New Roman" w:cstheme="minorHAnsi"/>
                <w:iCs/>
                <w:sz w:val="20"/>
                <w:szCs w:val="20"/>
                <w:lang w:eastAsia="nl-BE"/>
              </w:rPr>
            </w:pPr>
            <w:r w:rsidRPr="002563F7">
              <w:rPr>
                <w:rFonts w:eastAsia="Times New Roman" w:cstheme="minorHAnsi"/>
                <w:iCs/>
                <w:sz w:val="20"/>
                <w:szCs w:val="20"/>
                <w:lang w:eastAsia="nl-BE"/>
              </w:rPr>
              <w:t>163,6</w:t>
            </w:r>
          </w:p>
        </w:tc>
        <w:tc>
          <w:tcPr>
            <w:tcW w:w="1040" w:type="dxa"/>
            <w:shd w:val="clear" w:color="auto" w:fill="auto"/>
            <w:noWrap/>
            <w:vAlign w:val="center"/>
            <w:hideMark/>
          </w:tcPr>
          <w:p w14:paraId="3464E28F" w14:textId="77777777" w:rsidR="002563F7" w:rsidRPr="002563F7" w:rsidRDefault="002563F7" w:rsidP="002563F7">
            <w:pPr>
              <w:jc w:val="right"/>
              <w:rPr>
                <w:rFonts w:eastAsia="Times New Roman" w:cstheme="minorHAnsi"/>
                <w:iCs/>
                <w:sz w:val="20"/>
                <w:szCs w:val="20"/>
                <w:lang w:eastAsia="nl-BE"/>
              </w:rPr>
            </w:pPr>
            <w:r w:rsidRPr="002563F7">
              <w:rPr>
                <w:rFonts w:eastAsia="Times New Roman" w:cstheme="minorHAnsi"/>
                <w:iCs/>
                <w:sz w:val="20"/>
                <w:szCs w:val="20"/>
                <w:lang w:eastAsia="nl-BE"/>
              </w:rPr>
              <w:t>175,7</w:t>
            </w:r>
          </w:p>
        </w:tc>
        <w:tc>
          <w:tcPr>
            <w:tcW w:w="1040" w:type="dxa"/>
            <w:shd w:val="clear" w:color="auto" w:fill="auto"/>
            <w:noWrap/>
            <w:vAlign w:val="center"/>
            <w:hideMark/>
          </w:tcPr>
          <w:p w14:paraId="1D546995" w14:textId="77777777" w:rsidR="002563F7" w:rsidRPr="002563F7" w:rsidRDefault="002563F7" w:rsidP="002563F7">
            <w:pPr>
              <w:jc w:val="right"/>
              <w:rPr>
                <w:rFonts w:eastAsia="Times New Roman" w:cstheme="minorHAnsi"/>
                <w:iCs/>
                <w:sz w:val="20"/>
                <w:szCs w:val="20"/>
                <w:lang w:eastAsia="nl-BE"/>
              </w:rPr>
            </w:pPr>
            <w:r w:rsidRPr="002563F7">
              <w:rPr>
                <w:rFonts w:eastAsia="Times New Roman" w:cstheme="minorHAnsi"/>
                <w:iCs/>
                <w:sz w:val="20"/>
                <w:szCs w:val="20"/>
                <w:lang w:eastAsia="nl-BE"/>
              </w:rPr>
              <w:t>204,1</w:t>
            </w:r>
          </w:p>
        </w:tc>
        <w:tc>
          <w:tcPr>
            <w:tcW w:w="880" w:type="dxa"/>
            <w:shd w:val="clear" w:color="auto" w:fill="auto"/>
            <w:noWrap/>
            <w:vAlign w:val="center"/>
            <w:hideMark/>
          </w:tcPr>
          <w:p w14:paraId="4A63469B" w14:textId="77777777" w:rsidR="002563F7" w:rsidRPr="002563F7" w:rsidRDefault="002563F7" w:rsidP="002563F7">
            <w:pPr>
              <w:jc w:val="right"/>
              <w:rPr>
                <w:rFonts w:eastAsia="Times New Roman" w:cstheme="minorHAnsi"/>
                <w:iCs/>
                <w:sz w:val="20"/>
                <w:szCs w:val="20"/>
                <w:lang w:eastAsia="nl-BE"/>
              </w:rPr>
            </w:pPr>
            <w:r w:rsidRPr="002563F7">
              <w:rPr>
                <w:rFonts w:eastAsia="Times New Roman" w:cstheme="minorHAnsi"/>
                <w:iCs/>
                <w:sz w:val="20"/>
                <w:szCs w:val="20"/>
                <w:lang w:eastAsia="nl-BE"/>
              </w:rPr>
              <w:t>40,5</w:t>
            </w:r>
          </w:p>
        </w:tc>
        <w:tc>
          <w:tcPr>
            <w:tcW w:w="820" w:type="dxa"/>
            <w:shd w:val="clear" w:color="auto" w:fill="auto"/>
            <w:noWrap/>
            <w:vAlign w:val="center"/>
            <w:hideMark/>
          </w:tcPr>
          <w:p w14:paraId="5D987B1A" w14:textId="77777777" w:rsidR="002563F7" w:rsidRPr="002563F7" w:rsidRDefault="002563F7" w:rsidP="002563F7">
            <w:pPr>
              <w:jc w:val="right"/>
              <w:rPr>
                <w:rFonts w:eastAsia="Times New Roman" w:cstheme="minorHAnsi"/>
                <w:iCs/>
                <w:sz w:val="20"/>
                <w:szCs w:val="20"/>
                <w:lang w:eastAsia="nl-BE"/>
              </w:rPr>
            </w:pPr>
            <w:r w:rsidRPr="002563F7">
              <w:rPr>
                <w:rFonts w:eastAsia="Times New Roman" w:cstheme="minorHAnsi"/>
                <w:iCs/>
                <w:sz w:val="20"/>
                <w:szCs w:val="20"/>
                <w:lang w:eastAsia="nl-BE"/>
              </w:rPr>
              <w:t>24,7%</w:t>
            </w:r>
          </w:p>
        </w:tc>
        <w:tc>
          <w:tcPr>
            <w:tcW w:w="880" w:type="dxa"/>
            <w:shd w:val="clear" w:color="auto" w:fill="auto"/>
            <w:noWrap/>
            <w:vAlign w:val="center"/>
            <w:hideMark/>
          </w:tcPr>
          <w:p w14:paraId="3DB789A2" w14:textId="77777777" w:rsidR="002563F7" w:rsidRPr="002563F7" w:rsidRDefault="002563F7" w:rsidP="002563F7">
            <w:pPr>
              <w:jc w:val="right"/>
              <w:rPr>
                <w:rFonts w:eastAsia="Times New Roman" w:cstheme="minorHAnsi"/>
                <w:iCs/>
                <w:sz w:val="20"/>
                <w:szCs w:val="20"/>
                <w:lang w:eastAsia="nl-BE"/>
              </w:rPr>
            </w:pPr>
            <w:r w:rsidRPr="002563F7">
              <w:rPr>
                <w:rFonts w:eastAsia="Times New Roman" w:cstheme="minorHAnsi"/>
                <w:iCs/>
                <w:sz w:val="20"/>
                <w:szCs w:val="20"/>
                <w:lang w:eastAsia="nl-BE"/>
              </w:rPr>
              <w:t>28,4</w:t>
            </w:r>
          </w:p>
        </w:tc>
        <w:tc>
          <w:tcPr>
            <w:tcW w:w="820" w:type="dxa"/>
            <w:shd w:val="clear" w:color="auto" w:fill="auto"/>
            <w:noWrap/>
            <w:vAlign w:val="center"/>
            <w:hideMark/>
          </w:tcPr>
          <w:p w14:paraId="4527E8FD" w14:textId="77777777" w:rsidR="002563F7" w:rsidRPr="002563F7" w:rsidRDefault="002563F7" w:rsidP="002563F7">
            <w:pPr>
              <w:jc w:val="right"/>
              <w:rPr>
                <w:rFonts w:eastAsia="Times New Roman" w:cstheme="minorHAnsi"/>
                <w:iCs/>
                <w:sz w:val="20"/>
                <w:szCs w:val="20"/>
                <w:lang w:eastAsia="nl-BE"/>
              </w:rPr>
            </w:pPr>
            <w:r w:rsidRPr="002563F7">
              <w:rPr>
                <w:rFonts w:eastAsia="Times New Roman" w:cstheme="minorHAnsi"/>
                <w:iCs/>
                <w:sz w:val="20"/>
                <w:szCs w:val="20"/>
                <w:lang w:eastAsia="nl-BE"/>
              </w:rPr>
              <w:t>16,2%</w:t>
            </w:r>
          </w:p>
        </w:tc>
      </w:tr>
      <w:tr w:rsidR="002563F7" w:rsidRPr="002563F7" w14:paraId="4B375E63" w14:textId="77777777" w:rsidTr="002563F7">
        <w:trPr>
          <w:trHeight w:val="276"/>
        </w:trPr>
        <w:tc>
          <w:tcPr>
            <w:tcW w:w="2689" w:type="dxa"/>
            <w:shd w:val="clear" w:color="auto" w:fill="auto"/>
            <w:vAlign w:val="center"/>
            <w:hideMark/>
          </w:tcPr>
          <w:p w14:paraId="5EE4C509" w14:textId="77777777" w:rsidR="002563F7" w:rsidRPr="002563F7" w:rsidRDefault="002563F7" w:rsidP="002563F7">
            <w:pPr>
              <w:rPr>
                <w:rFonts w:eastAsia="Times New Roman" w:cstheme="minorHAnsi"/>
                <w:iCs/>
                <w:sz w:val="20"/>
                <w:szCs w:val="20"/>
                <w:lang w:eastAsia="nl-BE"/>
              </w:rPr>
            </w:pPr>
            <w:r w:rsidRPr="002563F7">
              <w:rPr>
                <w:rFonts w:eastAsia="Times New Roman" w:cstheme="minorHAnsi"/>
                <w:iCs/>
                <w:sz w:val="20"/>
                <w:szCs w:val="20"/>
                <w:lang w:eastAsia="nl-BE"/>
              </w:rPr>
              <w:t>Schenkbelastingen</w:t>
            </w:r>
          </w:p>
        </w:tc>
        <w:tc>
          <w:tcPr>
            <w:tcW w:w="924" w:type="dxa"/>
            <w:shd w:val="clear" w:color="auto" w:fill="auto"/>
            <w:noWrap/>
            <w:vAlign w:val="center"/>
            <w:hideMark/>
          </w:tcPr>
          <w:p w14:paraId="0967C8FC" w14:textId="77777777" w:rsidR="002563F7" w:rsidRPr="002563F7" w:rsidRDefault="002563F7" w:rsidP="002563F7">
            <w:pPr>
              <w:jc w:val="right"/>
              <w:rPr>
                <w:rFonts w:eastAsia="Times New Roman" w:cstheme="minorHAnsi"/>
                <w:iCs/>
                <w:sz w:val="20"/>
                <w:szCs w:val="20"/>
                <w:lang w:eastAsia="nl-BE"/>
              </w:rPr>
            </w:pPr>
            <w:r w:rsidRPr="002563F7">
              <w:rPr>
                <w:rFonts w:eastAsia="Times New Roman" w:cstheme="minorHAnsi"/>
                <w:iCs/>
                <w:sz w:val="20"/>
                <w:szCs w:val="20"/>
                <w:lang w:eastAsia="nl-BE"/>
              </w:rPr>
              <w:t>357,8</w:t>
            </w:r>
          </w:p>
        </w:tc>
        <w:tc>
          <w:tcPr>
            <w:tcW w:w="1040" w:type="dxa"/>
            <w:shd w:val="clear" w:color="auto" w:fill="auto"/>
            <w:noWrap/>
            <w:vAlign w:val="center"/>
            <w:hideMark/>
          </w:tcPr>
          <w:p w14:paraId="6D960F6F" w14:textId="77777777" w:rsidR="002563F7" w:rsidRPr="002563F7" w:rsidRDefault="002563F7" w:rsidP="002563F7">
            <w:pPr>
              <w:jc w:val="right"/>
              <w:rPr>
                <w:rFonts w:eastAsia="Times New Roman" w:cstheme="minorHAnsi"/>
                <w:iCs/>
                <w:sz w:val="20"/>
                <w:szCs w:val="20"/>
                <w:lang w:eastAsia="nl-BE"/>
              </w:rPr>
            </w:pPr>
            <w:r w:rsidRPr="002563F7">
              <w:rPr>
                <w:rFonts w:eastAsia="Times New Roman" w:cstheme="minorHAnsi"/>
                <w:iCs/>
                <w:sz w:val="20"/>
                <w:szCs w:val="20"/>
                <w:lang w:eastAsia="nl-BE"/>
              </w:rPr>
              <w:t>341,1</w:t>
            </w:r>
          </w:p>
        </w:tc>
        <w:tc>
          <w:tcPr>
            <w:tcW w:w="1040" w:type="dxa"/>
            <w:shd w:val="clear" w:color="auto" w:fill="auto"/>
            <w:noWrap/>
            <w:vAlign w:val="center"/>
            <w:hideMark/>
          </w:tcPr>
          <w:p w14:paraId="30DB15C1" w14:textId="77777777" w:rsidR="002563F7" w:rsidRPr="002563F7" w:rsidRDefault="002563F7" w:rsidP="002563F7">
            <w:pPr>
              <w:jc w:val="right"/>
              <w:rPr>
                <w:rFonts w:eastAsia="Times New Roman" w:cstheme="minorHAnsi"/>
                <w:iCs/>
                <w:sz w:val="20"/>
                <w:szCs w:val="20"/>
                <w:lang w:eastAsia="nl-BE"/>
              </w:rPr>
            </w:pPr>
            <w:r w:rsidRPr="002563F7">
              <w:rPr>
                <w:rFonts w:eastAsia="Times New Roman" w:cstheme="minorHAnsi"/>
                <w:iCs/>
                <w:sz w:val="20"/>
                <w:szCs w:val="20"/>
                <w:lang w:eastAsia="nl-BE"/>
              </w:rPr>
              <w:t>342,8</w:t>
            </w:r>
          </w:p>
        </w:tc>
        <w:tc>
          <w:tcPr>
            <w:tcW w:w="880" w:type="dxa"/>
            <w:shd w:val="clear" w:color="auto" w:fill="auto"/>
            <w:noWrap/>
            <w:vAlign w:val="center"/>
            <w:hideMark/>
          </w:tcPr>
          <w:p w14:paraId="5FDE4D7A" w14:textId="77777777" w:rsidR="002563F7" w:rsidRPr="002563F7" w:rsidRDefault="002563F7" w:rsidP="002563F7">
            <w:pPr>
              <w:jc w:val="right"/>
              <w:rPr>
                <w:rFonts w:eastAsia="Times New Roman" w:cstheme="minorHAnsi"/>
                <w:iCs/>
                <w:sz w:val="20"/>
                <w:szCs w:val="20"/>
                <w:lang w:eastAsia="nl-BE"/>
              </w:rPr>
            </w:pPr>
            <w:r w:rsidRPr="002563F7">
              <w:rPr>
                <w:rFonts w:eastAsia="Times New Roman" w:cstheme="minorHAnsi"/>
                <w:iCs/>
                <w:sz w:val="20"/>
                <w:szCs w:val="20"/>
                <w:lang w:eastAsia="nl-BE"/>
              </w:rPr>
              <w:t>-15,0</w:t>
            </w:r>
          </w:p>
        </w:tc>
        <w:tc>
          <w:tcPr>
            <w:tcW w:w="820" w:type="dxa"/>
            <w:shd w:val="clear" w:color="auto" w:fill="auto"/>
            <w:noWrap/>
            <w:vAlign w:val="center"/>
            <w:hideMark/>
          </w:tcPr>
          <w:p w14:paraId="6E4F1C48" w14:textId="77777777" w:rsidR="002563F7" w:rsidRPr="002563F7" w:rsidRDefault="002563F7" w:rsidP="002563F7">
            <w:pPr>
              <w:jc w:val="right"/>
              <w:rPr>
                <w:rFonts w:eastAsia="Times New Roman" w:cstheme="minorHAnsi"/>
                <w:iCs/>
                <w:sz w:val="20"/>
                <w:szCs w:val="20"/>
                <w:lang w:eastAsia="nl-BE"/>
              </w:rPr>
            </w:pPr>
            <w:r w:rsidRPr="002563F7">
              <w:rPr>
                <w:rFonts w:eastAsia="Times New Roman" w:cstheme="minorHAnsi"/>
                <w:iCs/>
                <w:sz w:val="20"/>
                <w:szCs w:val="20"/>
                <w:lang w:eastAsia="nl-BE"/>
              </w:rPr>
              <w:t>-4,2%</w:t>
            </w:r>
          </w:p>
        </w:tc>
        <w:tc>
          <w:tcPr>
            <w:tcW w:w="880" w:type="dxa"/>
            <w:shd w:val="clear" w:color="auto" w:fill="auto"/>
            <w:noWrap/>
            <w:vAlign w:val="center"/>
            <w:hideMark/>
          </w:tcPr>
          <w:p w14:paraId="6BFCE3A0" w14:textId="77777777" w:rsidR="002563F7" w:rsidRPr="002563F7" w:rsidRDefault="002563F7" w:rsidP="002563F7">
            <w:pPr>
              <w:jc w:val="right"/>
              <w:rPr>
                <w:rFonts w:eastAsia="Times New Roman" w:cstheme="minorHAnsi"/>
                <w:iCs/>
                <w:sz w:val="20"/>
                <w:szCs w:val="20"/>
                <w:lang w:eastAsia="nl-BE"/>
              </w:rPr>
            </w:pPr>
            <w:r w:rsidRPr="002563F7">
              <w:rPr>
                <w:rFonts w:eastAsia="Times New Roman" w:cstheme="minorHAnsi"/>
                <w:iCs/>
                <w:sz w:val="20"/>
                <w:szCs w:val="20"/>
                <w:lang w:eastAsia="nl-BE"/>
              </w:rPr>
              <w:t>1,7</w:t>
            </w:r>
          </w:p>
        </w:tc>
        <w:tc>
          <w:tcPr>
            <w:tcW w:w="820" w:type="dxa"/>
            <w:shd w:val="clear" w:color="auto" w:fill="auto"/>
            <w:noWrap/>
            <w:vAlign w:val="center"/>
            <w:hideMark/>
          </w:tcPr>
          <w:p w14:paraId="5FB55980" w14:textId="77777777" w:rsidR="002563F7" w:rsidRPr="002563F7" w:rsidRDefault="002563F7" w:rsidP="002563F7">
            <w:pPr>
              <w:jc w:val="right"/>
              <w:rPr>
                <w:rFonts w:eastAsia="Times New Roman" w:cstheme="minorHAnsi"/>
                <w:iCs/>
                <w:sz w:val="20"/>
                <w:szCs w:val="20"/>
                <w:lang w:eastAsia="nl-BE"/>
              </w:rPr>
            </w:pPr>
            <w:r w:rsidRPr="002563F7">
              <w:rPr>
                <w:rFonts w:eastAsia="Times New Roman" w:cstheme="minorHAnsi"/>
                <w:iCs/>
                <w:sz w:val="20"/>
                <w:szCs w:val="20"/>
                <w:lang w:eastAsia="nl-BE"/>
              </w:rPr>
              <w:t>0,5%</w:t>
            </w:r>
          </w:p>
        </w:tc>
      </w:tr>
      <w:tr w:rsidR="002563F7" w:rsidRPr="002563F7" w14:paraId="2BDC38EC" w14:textId="77777777" w:rsidTr="002563F7">
        <w:trPr>
          <w:trHeight w:val="276"/>
        </w:trPr>
        <w:tc>
          <w:tcPr>
            <w:tcW w:w="2689" w:type="dxa"/>
            <w:shd w:val="clear" w:color="auto" w:fill="auto"/>
            <w:vAlign w:val="center"/>
            <w:hideMark/>
          </w:tcPr>
          <w:p w14:paraId="0569069C" w14:textId="77777777" w:rsidR="002563F7" w:rsidRPr="002563F7" w:rsidRDefault="002563F7" w:rsidP="002563F7">
            <w:pPr>
              <w:rPr>
                <w:rFonts w:eastAsia="Times New Roman" w:cstheme="minorHAnsi"/>
                <w:sz w:val="20"/>
                <w:szCs w:val="20"/>
                <w:lang w:eastAsia="nl-BE"/>
              </w:rPr>
            </w:pPr>
            <w:r w:rsidRPr="002563F7">
              <w:rPr>
                <w:rFonts w:eastAsia="Times New Roman" w:cstheme="minorHAnsi"/>
                <w:sz w:val="20"/>
                <w:szCs w:val="20"/>
                <w:lang w:eastAsia="nl-BE"/>
              </w:rPr>
              <w:t>Erfbelastingen (excl. Fisc regul)</w:t>
            </w:r>
          </w:p>
        </w:tc>
        <w:tc>
          <w:tcPr>
            <w:tcW w:w="924" w:type="dxa"/>
            <w:shd w:val="clear" w:color="auto" w:fill="auto"/>
            <w:noWrap/>
            <w:vAlign w:val="center"/>
            <w:hideMark/>
          </w:tcPr>
          <w:p w14:paraId="292F485E" w14:textId="77777777" w:rsidR="002563F7" w:rsidRPr="002563F7" w:rsidRDefault="002563F7" w:rsidP="002563F7">
            <w:pPr>
              <w:jc w:val="right"/>
              <w:rPr>
                <w:rFonts w:eastAsia="Times New Roman" w:cstheme="minorHAnsi"/>
                <w:sz w:val="20"/>
                <w:szCs w:val="20"/>
                <w:lang w:eastAsia="nl-BE"/>
              </w:rPr>
            </w:pPr>
            <w:r w:rsidRPr="002563F7">
              <w:rPr>
                <w:rFonts w:eastAsia="Times New Roman" w:cstheme="minorHAnsi"/>
                <w:sz w:val="20"/>
                <w:szCs w:val="20"/>
                <w:lang w:eastAsia="nl-BE"/>
              </w:rPr>
              <w:t>1.447,9</w:t>
            </w:r>
          </w:p>
        </w:tc>
        <w:tc>
          <w:tcPr>
            <w:tcW w:w="1040" w:type="dxa"/>
            <w:shd w:val="clear" w:color="auto" w:fill="auto"/>
            <w:noWrap/>
            <w:vAlign w:val="center"/>
            <w:hideMark/>
          </w:tcPr>
          <w:p w14:paraId="15F812BF" w14:textId="77777777" w:rsidR="002563F7" w:rsidRPr="002563F7" w:rsidRDefault="002563F7" w:rsidP="002563F7">
            <w:pPr>
              <w:jc w:val="right"/>
              <w:rPr>
                <w:rFonts w:eastAsia="Times New Roman" w:cstheme="minorHAnsi"/>
                <w:sz w:val="20"/>
                <w:szCs w:val="20"/>
                <w:lang w:eastAsia="nl-BE"/>
              </w:rPr>
            </w:pPr>
            <w:r w:rsidRPr="002563F7">
              <w:rPr>
                <w:rFonts w:eastAsia="Times New Roman" w:cstheme="minorHAnsi"/>
                <w:sz w:val="20"/>
                <w:szCs w:val="20"/>
                <w:lang w:eastAsia="nl-BE"/>
              </w:rPr>
              <w:t>1.354,9</w:t>
            </w:r>
          </w:p>
        </w:tc>
        <w:tc>
          <w:tcPr>
            <w:tcW w:w="1040" w:type="dxa"/>
            <w:shd w:val="clear" w:color="auto" w:fill="auto"/>
            <w:noWrap/>
            <w:vAlign w:val="center"/>
            <w:hideMark/>
          </w:tcPr>
          <w:p w14:paraId="68F3DFA2" w14:textId="77777777" w:rsidR="002563F7" w:rsidRPr="002563F7" w:rsidRDefault="002563F7" w:rsidP="002563F7">
            <w:pPr>
              <w:jc w:val="right"/>
              <w:rPr>
                <w:rFonts w:eastAsia="Times New Roman" w:cstheme="minorHAnsi"/>
                <w:sz w:val="20"/>
                <w:szCs w:val="20"/>
                <w:lang w:eastAsia="nl-BE"/>
              </w:rPr>
            </w:pPr>
            <w:r w:rsidRPr="002563F7">
              <w:rPr>
                <w:rFonts w:eastAsia="Times New Roman" w:cstheme="minorHAnsi"/>
                <w:sz w:val="20"/>
                <w:szCs w:val="20"/>
                <w:lang w:eastAsia="nl-BE"/>
              </w:rPr>
              <w:t>1.336,6</w:t>
            </w:r>
          </w:p>
        </w:tc>
        <w:tc>
          <w:tcPr>
            <w:tcW w:w="880" w:type="dxa"/>
            <w:shd w:val="clear" w:color="auto" w:fill="auto"/>
            <w:noWrap/>
            <w:vAlign w:val="center"/>
            <w:hideMark/>
          </w:tcPr>
          <w:p w14:paraId="6ED7372B" w14:textId="77777777" w:rsidR="002563F7" w:rsidRPr="002563F7" w:rsidRDefault="002563F7" w:rsidP="002563F7">
            <w:pPr>
              <w:jc w:val="right"/>
              <w:rPr>
                <w:rFonts w:eastAsia="Times New Roman" w:cstheme="minorHAnsi"/>
                <w:sz w:val="20"/>
                <w:szCs w:val="20"/>
                <w:lang w:eastAsia="nl-BE"/>
              </w:rPr>
            </w:pPr>
            <w:r w:rsidRPr="002563F7">
              <w:rPr>
                <w:rFonts w:eastAsia="Times New Roman" w:cstheme="minorHAnsi"/>
                <w:sz w:val="20"/>
                <w:szCs w:val="20"/>
                <w:lang w:eastAsia="nl-BE"/>
              </w:rPr>
              <w:t>-111,3</w:t>
            </w:r>
          </w:p>
        </w:tc>
        <w:tc>
          <w:tcPr>
            <w:tcW w:w="820" w:type="dxa"/>
            <w:shd w:val="clear" w:color="auto" w:fill="auto"/>
            <w:noWrap/>
            <w:vAlign w:val="center"/>
            <w:hideMark/>
          </w:tcPr>
          <w:p w14:paraId="516C6D59" w14:textId="77777777" w:rsidR="002563F7" w:rsidRPr="002563F7" w:rsidRDefault="002563F7" w:rsidP="002563F7">
            <w:pPr>
              <w:jc w:val="right"/>
              <w:rPr>
                <w:rFonts w:eastAsia="Times New Roman" w:cstheme="minorHAnsi"/>
                <w:sz w:val="20"/>
                <w:szCs w:val="20"/>
                <w:lang w:eastAsia="nl-BE"/>
              </w:rPr>
            </w:pPr>
            <w:r w:rsidRPr="002563F7">
              <w:rPr>
                <w:rFonts w:eastAsia="Times New Roman" w:cstheme="minorHAnsi"/>
                <w:sz w:val="20"/>
                <w:szCs w:val="20"/>
                <w:lang w:eastAsia="nl-BE"/>
              </w:rPr>
              <w:t>-7,7%</w:t>
            </w:r>
          </w:p>
        </w:tc>
        <w:tc>
          <w:tcPr>
            <w:tcW w:w="880" w:type="dxa"/>
            <w:shd w:val="clear" w:color="auto" w:fill="auto"/>
            <w:noWrap/>
            <w:vAlign w:val="center"/>
            <w:hideMark/>
          </w:tcPr>
          <w:p w14:paraId="47ABCB92" w14:textId="77777777" w:rsidR="002563F7" w:rsidRPr="002563F7" w:rsidRDefault="002563F7" w:rsidP="002563F7">
            <w:pPr>
              <w:jc w:val="right"/>
              <w:rPr>
                <w:rFonts w:eastAsia="Times New Roman" w:cstheme="minorHAnsi"/>
                <w:sz w:val="20"/>
                <w:szCs w:val="20"/>
                <w:lang w:eastAsia="nl-BE"/>
              </w:rPr>
            </w:pPr>
            <w:r w:rsidRPr="002563F7">
              <w:rPr>
                <w:rFonts w:eastAsia="Times New Roman" w:cstheme="minorHAnsi"/>
                <w:sz w:val="20"/>
                <w:szCs w:val="20"/>
                <w:lang w:eastAsia="nl-BE"/>
              </w:rPr>
              <w:t>-18,4</w:t>
            </w:r>
          </w:p>
        </w:tc>
        <w:tc>
          <w:tcPr>
            <w:tcW w:w="820" w:type="dxa"/>
            <w:shd w:val="clear" w:color="auto" w:fill="auto"/>
            <w:noWrap/>
            <w:vAlign w:val="center"/>
            <w:hideMark/>
          </w:tcPr>
          <w:p w14:paraId="24AD6A85" w14:textId="77777777" w:rsidR="002563F7" w:rsidRPr="002563F7" w:rsidRDefault="002563F7" w:rsidP="002563F7">
            <w:pPr>
              <w:jc w:val="right"/>
              <w:rPr>
                <w:rFonts w:eastAsia="Times New Roman" w:cstheme="minorHAnsi"/>
                <w:sz w:val="20"/>
                <w:szCs w:val="20"/>
                <w:lang w:eastAsia="nl-BE"/>
              </w:rPr>
            </w:pPr>
            <w:r w:rsidRPr="002563F7">
              <w:rPr>
                <w:rFonts w:eastAsia="Times New Roman" w:cstheme="minorHAnsi"/>
                <w:sz w:val="20"/>
                <w:szCs w:val="20"/>
                <w:lang w:eastAsia="nl-BE"/>
              </w:rPr>
              <w:t>-1,4%</w:t>
            </w:r>
          </w:p>
        </w:tc>
      </w:tr>
      <w:tr w:rsidR="002563F7" w:rsidRPr="002563F7" w14:paraId="73C11AAD" w14:textId="77777777" w:rsidTr="002563F7">
        <w:trPr>
          <w:trHeight w:val="276"/>
        </w:trPr>
        <w:tc>
          <w:tcPr>
            <w:tcW w:w="2689" w:type="dxa"/>
            <w:shd w:val="clear" w:color="auto" w:fill="auto"/>
            <w:vAlign w:val="center"/>
            <w:hideMark/>
          </w:tcPr>
          <w:p w14:paraId="3A808FF3" w14:textId="77777777" w:rsidR="002563F7" w:rsidRPr="002563F7" w:rsidRDefault="002563F7" w:rsidP="002563F7">
            <w:pPr>
              <w:rPr>
                <w:rFonts w:eastAsia="Times New Roman" w:cstheme="minorHAnsi"/>
                <w:sz w:val="20"/>
                <w:szCs w:val="20"/>
                <w:lang w:eastAsia="nl-BE"/>
              </w:rPr>
            </w:pPr>
            <w:r w:rsidRPr="002563F7">
              <w:rPr>
                <w:rFonts w:eastAsia="Times New Roman" w:cstheme="minorHAnsi"/>
                <w:sz w:val="20"/>
                <w:szCs w:val="20"/>
                <w:lang w:eastAsia="nl-BE"/>
              </w:rPr>
              <w:t>Erfbelastingen (fiscale regularisaties)</w:t>
            </w:r>
          </w:p>
        </w:tc>
        <w:tc>
          <w:tcPr>
            <w:tcW w:w="924" w:type="dxa"/>
            <w:shd w:val="clear" w:color="auto" w:fill="auto"/>
            <w:noWrap/>
            <w:vAlign w:val="center"/>
            <w:hideMark/>
          </w:tcPr>
          <w:p w14:paraId="711F2B6D" w14:textId="77777777" w:rsidR="002563F7" w:rsidRPr="002563F7" w:rsidRDefault="002563F7" w:rsidP="002563F7">
            <w:pPr>
              <w:jc w:val="right"/>
              <w:rPr>
                <w:rFonts w:eastAsia="Times New Roman" w:cstheme="minorHAnsi"/>
                <w:sz w:val="20"/>
                <w:szCs w:val="20"/>
                <w:lang w:eastAsia="nl-BE"/>
              </w:rPr>
            </w:pPr>
            <w:r w:rsidRPr="002563F7">
              <w:rPr>
                <w:rFonts w:eastAsia="Times New Roman" w:cstheme="minorHAnsi"/>
                <w:sz w:val="20"/>
                <w:szCs w:val="20"/>
                <w:lang w:eastAsia="nl-BE"/>
              </w:rPr>
              <w:t>15,0</w:t>
            </w:r>
          </w:p>
        </w:tc>
        <w:tc>
          <w:tcPr>
            <w:tcW w:w="1040" w:type="dxa"/>
            <w:shd w:val="clear" w:color="auto" w:fill="auto"/>
            <w:noWrap/>
            <w:vAlign w:val="center"/>
            <w:hideMark/>
          </w:tcPr>
          <w:p w14:paraId="53D1DFBF" w14:textId="77777777" w:rsidR="002563F7" w:rsidRPr="002563F7" w:rsidRDefault="002563F7" w:rsidP="002563F7">
            <w:pPr>
              <w:jc w:val="right"/>
              <w:rPr>
                <w:rFonts w:eastAsia="Times New Roman" w:cstheme="minorHAnsi"/>
                <w:sz w:val="20"/>
                <w:szCs w:val="20"/>
                <w:lang w:eastAsia="nl-BE"/>
              </w:rPr>
            </w:pPr>
            <w:r w:rsidRPr="002563F7">
              <w:rPr>
                <w:rFonts w:eastAsia="Times New Roman" w:cstheme="minorHAnsi"/>
                <w:sz w:val="20"/>
                <w:szCs w:val="20"/>
                <w:lang w:eastAsia="nl-BE"/>
              </w:rPr>
              <w:t>15,0</w:t>
            </w:r>
          </w:p>
        </w:tc>
        <w:tc>
          <w:tcPr>
            <w:tcW w:w="1040" w:type="dxa"/>
            <w:shd w:val="clear" w:color="auto" w:fill="auto"/>
            <w:noWrap/>
            <w:vAlign w:val="center"/>
            <w:hideMark/>
          </w:tcPr>
          <w:p w14:paraId="358172A3" w14:textId="77777777" w:rsidR="002563F7" w:rsidRPr="002563F7" w:rsidRDefault="002563F7" w:rsidP="002563F7">
            <w:pPr>
              <w:jc w:val="right"/>
              <w:rPr>
                <w:rFonts w:eastAsia="Times New Roman" w:cstheme="minorHAnsi"/>
                <w:sz w:val="20"/>
                <w:szCs w:val="20"/>
                <w:lang w:eastAsia="nl-BE"/>
              </w:rPr>
            </w:pPr>
            <w:r w:rsidRPr="002563F7">
              <w:rPr>
                <w:rFonts w:eastAsia="Times New Roman" w:cstheme="minorHAnsi"/>
                <w:sz w:val="20"/>
                <w:szCs w:val="20"/>
                <w:lang w:eastAsia="nl-BE"/>
              </w:rPr>
              <w:t>12,6</w:t>
            </w:r>
          </w:p>
        </w:tc>
        <w:tc>
          <w:tcPr>
            <w:tcW w:w="880" w:type="dxa"/>
            <w:shd w:val="clear" w:color="auto" w:fill="auto"/>
            <w:noWrap/>
            <w:vAlign w:val="center"/>
            <w:hideMark/>
          </w:tcPr>
          <w:p w14:paraId="42179F4C" w14:textId="77777777" w:rsidR="002563F7" w:rsidRPr="002563F7" w:rsidRDefault="002563F7" w:rsidP="002563F7">
            <w:pPr>
              <w:jc w:val="right"/>
              <w:rPr>
                <w:rFonts w:eastAsia="Times New Roman" w:cstheme="minorHAnsi"/>
                <w:sz w:val="20"/>
                <w:szCs w:val="20"/>
                <w:lang w:eastAsia="nl-BE"/>
              </w:rPr>
            </w:pPr>
            <w:r w:rsidRPr="002563F7">
              <w:rPr>
                <w:rFonts w:eastAsia="Times New Roman" w:cstheme="minorHAnsi"/>
                <w:sz w:val="20"/>
                <w:szCs w:val="20"/>
                <w:lang w:eastAsia="nl-BE"/>
              </w:rPr>
              <w:t>-2,4</w:t>
            </w:r>
          </w:p>
        </w:tc>
        <w:tc>
          <w:tcPr>
            <w:tcW w:w="820" w:type="dxa"/>
            <w:shd w:val="clear" w:color="auto" w:fill="auto"/>
            <w:noWrap/>
            <w:vAlign w:val="center"/>
            <w:hideMark/>
          </w:tcPr>
          <w:p w14:paraId="1F46F669" w14:textId="77777777" w:rsidR="002563F7" w:rsidRPr="002563F7" w:rsidRDefault="002563F7" w:rsidP="002563F7">
            <w:pPr>
              <w:jc w:val="right"/>
              <w:rPr>
                <w:rFonts w:eastAsia="Times New Roman" w:cstheme="minorHAnsi"/>
                <w:sz w:val="20"/>
                <w:szCs w:val="20"/>
                <w:lang w:eastAsia="nl-BE"/>
              </w:rPr>
            </w:pPr>
            <w:r w:rsidRPr="002563F7">
              <w:rPr>
                <w:rFonts w:eastAsia="Times New Roman" w:cstheme="minorHAnsi"/>
                <w:sz w:val="20"/>
                <w:szCs w:val="20"/>
                <w:lang w:eastAsia="nl-BE"/>
              </w:rPr>
              <w:t>-16,0%</w:t>
            </w:r>
          </w:p>
        </w:tc>
        <w:tc>
          <w:tcPr>
            <w:tcW w:w="880" w:type="dxa"/>
            <w:shd w:val="clear" w:color="auto" w:fill="auto"/>
            <w:noWrap/>
            <w:vAlign w:val="center"/>
            <w:hideMark/>
          </w:tcPr>
          <w:p w14:paraId="0067DEC8" w14:textId="77777777" w:rsidR="002563F7" w:rsidRPr="002563F7" w:rsidRDefault="002563F7" w:rsidP="002563F7">
            <w:pPr>
              <w:jc w:val="right"/>
              <w:rPr>
                <w:rFonts w:eastAsia="Times New Roman" w:cstheme="minorHAnsi"/>
                <w:sz w:val="20"/>
                <w:szCs w:val="20"/>
                <w:lang w:eastAsia="nl-BE"/>
              </w:rPr>
            </w:pPr>
            <w:r w:rsidRPr="002563F7">
              <w:rPr>
                <w:rFonts w:eastAsia="Times New Roman" w:cstheme="minorHAnsi"/>
                <w:sz w:val="20"/>
                <w:szCs w:val="20"/>
                <w:lang w:eastAsia="nl-BE"/>
              </w:rPr>
              <w:t>-2,4</w:t>
            </w:r>
          </w:p>
        </w:tc>
        <w:tc>
          <w:tcPr>
            <w:tcW w:w="820" w:type="dxa"/>
            <w:shd w:val="clear" w:color="auto" w:fill="auto"/>
            <w:noWrap/>
            <w:vAlign w:val="center"/>
            <w:hideMark/>
          </w:tcPr>
          <w:p w14:paraId="2BDA60D2" w14:textId="77777777" w:rsidR="002563F7" w:rsidRPr="002563F7" w:rsidRDefault="002563F7" w:rsidP="002563F7">
            <w:pPr>
              <w:jc w:val="right"/>
              <w:rPr>
                <w:rFonts w:eastAsia="Times New Roman" w:cstheme="minorHAnsi"/>
                <w:sz w:val="20"/>
                <w:szCs w:val="20"/>
                <w:lang w:eastAsia="nl-BE"/>
              </w:rPr>
            </w:pPr>
            <w:r w:rsidRPr="002563F7">
              <w:rPr>
                <w:rFonts w:eastAsia="Times New Roman" w:cstheme="minorHAnsi"/>
                <w:sz w:val="20"/>
                <w:szCs w:val="20"/>
                <w:lang w:eastAsia="nl-BE"/>
              </w:rPr>
              <w:t>-16,0%</w:t>
            </w:r>
          </w:p>
        </w:tc>
      </w:tr>
      <w:tr w:rsidR="002563F7" w:rsidRPr="002563F7" w14:paraId="3B616C18" w14:textId="77777777" w:rsidTr="002563F7">
        <w:trPr>
          <w:trHeight w:val="276"/>
        </w:trPr>
        <w:tc>
          <w:tcPr>
            <w:tcW w:w="2689" w:type="dxa"/>
            <w:shd w:val="clear" w:color="auto" w:fill="auto"/>
            <w:vAlign w:val="center"/>
            <w:hideMark/>
          </w:tcPr>
          <w:p w14:paraId="52294486" w14:textId="77777777" w:rsidR="002563F7" w:rsidRPr="002563F7" w:rsidRDefault="002563F7" w:rsidP="002563F7">
            <w:pPr>
              <w:rPr>
                <w:rFonts w:eastAsia="Times New Roman" w:cstheme="minorHAnsi"/>
                <w:sz w:val="20"/>
                <w:szCs w:val="20"/>
                <w:lang w:eastAsia="nl-BE"/>
              </w:rPr>
            </w:pPr>
            <w:r w:rsidRPr="002563F7">
              <w:rPr>
                <w:rFonts w:eastAsia="Times New Roman" w:cstheme="minorHAnsi"/>
                <w:sz w:val="20"/>
                <w:szCs w:val="20"/>
                <w:lang w:eastAsia="nl-BE"/>
              </w:rPr>
              <w:t>Onroerende voorheffing</w:t>
            </w:r>
          </w:p>
        </w:tc>
        <w:tc>
          <w:tcPr>
            <w:tcW w:w="924" w:type="dxa"/>
            <w:shd w:val="clear" w:color="auto" w:fill="auto"/>
            <w:noWrap/>
            <w:vAlign w:val="center"/>
            <w:hideMark/>
          </w:tcPr>
          <w:p w14:paraId="1436B541" w14:textId="77777777" w:rsidR="002563F7" w:rsidRPr="002563F7" w:rsidRDefault="002563F7" w:rsidP="002563F7">
            <w:pPr>
              <w:jc w:val="right"/>
              <w:rPr>
                <w:rFonts w:eastAsia="Times New Roman" w:cstheme="minorHAnsi"/>
                <w:sz w:val="20"/>
                <w:szCs w:val="20"/>
                <w:lang w:eastAsia="nl-BE"/>
              </w:rPr>
            </w:pPr>
            <w:r w:rsidRPr="002563F7">
              <w:rPr>
                <w:rFonts w:eastAsia="Times New Roman" w:cstheme="minorHAnsi"/>
                <w:sz w:val="20"/>
                <w:szCs w:val="20"/>
                <w:lang w:eastAsia="nl-BE"/>
              </w:rPr>
              <w:t>223,5</w:t>
            </w:r>
          </w:p>
        </w:tc>
        <w:tc>
          <w:tcPr>
            <w:tcW w:w="1040" w:type="dxa"/>
            <w:shd w:val="clear" w:color="auto" w:fill="auto"/>
            <w:noWrap/>
            <w:vAlign w:val="center"/>
            <w:hideMark/>
          </w:tcPr>
          <w:p w14:paraId="11D439A9" w14:textId="77777777" w:rsidR="002563F7" w:rsidRPr="002563F7" w:rsidRDefault="002563F7" w:rsidP="002563F7">
            <w:pPr>
              <w:jc w:val="right"/>
              <w:rPr>
                <w:rFonts w:eastAsia="Times New Roman" w:cstheme="minorHAnsi"/>
                <w:sz w:val="20"/>
                <w:szCs w:val="20"/>
                <w:lang w:eastAsia="nl-BE"/>
              </w:rPr>
            </w:pPr>
            <w:r w:rsidRPr="002563F7">
              <w:rPr>
                <w:rFonts w:eastAsia="Times New Roman" w:cstheme="minorHAnsi"/>
                <w:sz w:val="20"/>
                <w:szCs w:val="20"/>
                <w:lang w:eastAsia="nl-BE"/>
              </w:rPr>
              <w:t>223,5</w:t>
            </w:r>
          </w:p>
        </w:tc>
        <w:tc>
          <w:tcPr>
            <w:tcW w:w="1040" w:type="dxa"/>
            <w:shd w:val="clear" w:color="auto" w:fill="auto"/>
            <w:noWrap/>
            <w:vAlign w:val="center"/>
            <w:hideMark/>
          </w:tcPr>
          <w:p w14:paraId="15B4C0F8" w14:textId="77777777" w:rsidR="002563F7" w:rsidRPr="002563F7" w:rsidRDefault="002563F7" w:rsidP="002563F7">
            <w:pPr>
              <w:jc w:val="right"/>
              <w:rPr>
                <w:rFonts w:eastAsia="Times New Roman" w:cstheme="minorHAnsi"/>
                <w:sz w:val="20"/>
                <w:szCs w:val="20"/>
                <w:lang w:eastAsia="nl-BE"/>
              </w:rPr>
            </w:pPr>
            <w:r w:rsidRPr="002563F7">
              <w:rPr>
                <w:rFonts w:eastAsia="Times New Roman" w:cstheme="minorHAnsi"/>
                <w:sz w:val="20"/>
                <w:szCs w:val="20"/>
                <w:lang w:eastAsia="nl-BE"/>
              </w:rPr>
              <w:t>223,3</w:t>
            </w:r>
          </w:p>
        </w:tc>
        <w:tc>
          <w:tcPr>
            <w:tcW w:w="880" w:type="dxa"/>
            <w:shd w:val="clear" w:color="auto" w:fill="auto"/>
            <w:noWrap/>
            <w:vAlign w:val="center"/>
            <w:hideMark/>
          </w:tcPr>
          <w:p w14:paraId="525BA2E3" w14:textId="77777777" w:rsidR="002563F7" w:rsidRPr="002563F7" w:rsidRDefault="002563F7" w:rsidP="002563F7">
            <w:pPr>
              <w:jc w:val="right"/>
              <w:rPr>
                <w:rFonts w:eastAsia="Times New Roman" w:cstheme="minorHAnsi"/>
                <w:sz w:val="20"/>
                <w:szCs w:val="20"/>
                <w:lang w:eastAsia="nl-BE"/>
              </w:rPr>
            </w:pPr>
            <w:r w:rsidRPr="002563F7">
              <w:rPr>
                <w:rFonts w:eastAsia="Times New Roman" w:cstheme="minorHAnsi"/>
                <w:sz w:val="20"/>
                <w:szCs w:val="20"/>
                <w:lang w:eastAsia="nl-BE"/>
              </w:rPr>
              <w:t>-0,3</w:t>
            </w:r>
          </w:p>
        </w:tc>
        <w:tc>
          <w:tcPr>
            <w:tcW w:w="820" w:type="dxa"/>
            <w:shd w:val="clear" w:color="auto" w:fill="auto"/>
            <w:noWrap/>
            <w:vAlign w:val="center"/>
            <w:hideMark/>
          </w:tcPr>
          <w:p w14:paraId="2084D288" w14:textId="77777777" w:rsidR="002563F7" w:rsidRPr="002563F7" w:rsidRDefault="002563F7" w:rsidP="002563F7">
            <w:pPr>
              <w:jc w:val="right"/>
              <w:rPr>
                <w:rFonts w:eastAsia="Times New Roman" w:cstheme="minorHAnsi"/>
                <w:sz w:val="20"/>
                <w:szCs w:val="20"/>
                <w:lang w:eastAsia="nl-BE"/>
              </w:rPr>
            </w:pPr>
            <w:r w:rsidRPr="002563F7">
              <w:rPr>
                <w:rFonts w:eastAsia="Times New Roman" w:cstheme="minorHAnsi"/>
                <w:sz w:val="20"/>
                <w:szCs w:val="20"/>
                <w:lang w:eastAsia="nl-BE"/>
              </w:rPr>
              <w:t>-0,1%</w:t>
            </w:r>
          </w:p>
        </w:tc>
        <w:tc>
          <w:tcPr>
            <w:tcW w:w="880" w:type="dxa"/>
            <w:shd w:val="clear" w:color="auto" w:fill="auto"/>
            <w:noWrap/>
            <w:vAlign w:val="center"/>
            <w:hideMark/>
          </w:tcPr>
          <w:p w14:paraId="228D6CBF" w14:textId="77777777" w:rsidR="002563F7" w:rsidRPr="002563F7" w:rsidRDefault="002563F7" w:rsidP="002563F7">
            <w:pPr>
              <w:jc w:val="right"/>
              <w:rPr>
                <w:rFonts w:eastAsia="Times New Roman" w:cstheme="minorHAnsi"/>
                <w:sz w:val="20"/>
                <w:szCs w:val="20"/>
                <w:lang w:eastAsia="nl-BE"/>
              </w:rPr>
            </w:pPr>
            <w:r w:rsidRPr="002563F7">
              <w:rPr>
                <w:rFonts w:eastAsia="Times New Roman" w:cstheme="minorHAnsi"/>
                <w:sz w:val="20"/>
                <w:szCs w:val="20"/>
                <w:lang w:eastAsia="nl-BE"/>
              </w:rPr>
              <w:t>-0,3</w:t>
            </w:r>
          </w:p>
        </w:tc>
        <w:tc>
          <w:tcPr>
            <w:tcW w:w="820" w:type="dxa"/>
            <w:shd w:val="clear" w:color="auto" w:fill="auto"/>
            <w:noWrap/>
            <w:vAlign w:val="center"/>
            <w:hideMark/>
          </w:tcPr>
          <w:p w14:paraId="26919DDA" w14:textId="77777777" w:rsidR="002563F7" w:rsidRPr="002563F7" w:rsidRDefault="002563F7" w:rsidP="002563F7">
            <w:pPr>
              <w:jc w:val="right"/>
              <w:rPr>
                <w:rFonts w:eastAsia="Times New Roman" w:cstheme="minorHAnsi"/>
                <w:sz w:val="20"/>
                <w:szCs w:val="20"/>
                <w:lang w:eastAsia="nl-BE"/>
              </w:rPr>
            </w:pPr>
            <w:r w:rsidRPr="002563F7">
              <w:rPr>
                <w:rFonts w:eastAsia="Times New Roman" w:cstheme="minorHAnsi"/>
                <w:sz w:val="20"/>
                <w:szCs w:val="20"/>
                <w:lang w:eastAsia="nl-BE"/>
              </w:rPr>
              <w:t>-0,1%</w:t>
            </w:r>
          </w:p>
        </w:tc>
      </w:tr>
      <w:tr w:rsidR="002563F7" w:rsidRPr="002563F7" w14:paraId="0FAE76B2" w14:textId="77777777" w:rsidTr="002563F7">
        <w:trPr>
          <w:trHeight w:val="276"/>
        </w:trPr>
        <w:tc>
          <w:tcPr>
            <w:tcW w:w="2689" w:type="dxa"/>
            <w:shd w:val="clear" w:color="auto" w:fill="auto"/>
            <w:vAlign w:val="center"/>
            <w:hideMark/>
          </w:tcPr>
          <w:p w14:paraId="237C9B87" w14:textId="77777777" w:rsidR="002563F7" w:rsidRPr="002563F7" w:rsidRDefault="002563F7" w:rsidP="002563F7">
            <w:pPr>
              <w:rPr>
                <w:rFonts w:eastAsia="Times New Roman" w:cstheme="minorHAnsi"/>
                <w:sz w:val="20"/>
                <w:szCs w:val="20"/>
                <w:lang w:eastAsia="nl-BE"/>
              </w:rPr>
            </w:pPr>
            <w:r w:rsidRPr="002563F7">
              <w:rPr>
                <w:rFonts w:eastAsia="Times New Roman" w:cstheme="minorHAnsi"/>
                <w:sz w:val="20"/>
                <w:szCs w:val="20"/>
                <w:lang w:eastAsia="nl-BE"/>
              </w:rPr>
              <w:t>Verkeersbelasting</w:t>
            </w:r>
          </w:p>
        </w:tc>
        <w:tc>
          <w:tcPr>
            <w:tcW w:w="924" w:type="dxa"/>
            <w:shd w:val="clear" w:color="auto" w:fill="auto"/>
            <w:noWrap/>
            <w:vAlign w:val="center"/>
            <w:hideMark/>
          </w:tcPr>
          <w:p w14:paraId="7E675677" w14:textId="77777777" w:rsidR="002563F7" w:rsidRPr="002563F7" w:rsidRDefault="002563F7" w:rsidP="002563F7">
            <w:pPr>
              <w:jc w:val="right"/>
              <w:rPr>
                <w:rFonts w:eastAsia="Times New Roman" w:cstheme="minorHAnsi"/>
                <w:sz w:val="20"/>
                <w:szCs w:val="20"/>
                <w:lang w:eastAsia="nl-BE"/>
              </w:rPr>
            </w:pPr>
            <w:r w:rsidRPr="002563F7">
              <w:rPr>
                <w:rFonts w:eastAsia="Times New Roman" w:cstheme="minorHAnsi"/>
                <w:sz w:val="20"/>
                <w:szCs w:val="20"/>
                <w:lang w:eastAsia="nl-BE"/>
              </w:rPr>
              <w:t>1.109,0</w:t>
            </w:r>
          </w:p>
        </w:tc>
        <w:tc>
          <w:tcPr>
            <w:tcW w:w="1040" w:type="dxa"/>
            <w:shd w:val="clear" w:color="auto" w:fill="auto"/>
            <w:noWrap/>
            <w:vAlign w:val="center"/>
            <w:hideMark/>
          </w:tcPr>
          <w:p w14:paraId="5D6D1DEC" w14:textId="77777777" w:rsidR="002563F7" w:rsidRPr="002563F7" w:rsidRDefault="002563F7" w:rsidP="002563F7">
            <w:pPr>
              <w:jc w:val="right"/>
              <w:rPr>
                <w:rFonts w:eastAsia="Times New Roman" w:cstheme="minorHAnsi"/>
                <w:sz w:val="20"/>
                <w:szCs w:val="20"/>
                <w:lang w:eastAsia="nl-BE"/>
              </w:rPr>
            </w:pPr>
            <w:r w:rsidRPr="002563F7">
              <w:rPr>
                <w:rFonts w:eastAsia="Times New Roman" w:cstheme="minorHAnsi"/>
                <w:sz w:val="20"/>
                <w:szCs w:val="20"/>
                <w:lang w:eastAsia="nl-BE"/>
              </w:rPr>
              <w:t>1.109,0</w:t>
            </w:r>
          </w:p>
        </w:tc>
        <w:tc>
          <w:tcPr>
            <w:tcW w:w="1040" w:type="dxa"/>
            <w:shd w:val="clear" w:color="auto" w:fill="auto"/>
            <w:noWrap/>
            <w:vAlign w:val="center"/>
            <w:hideMark/>
          </w:tcPr>
          <w:p w14:paraId="3E21C8F7" w14:textId="77777777" w:rsidR="002563F7" w:rsidRPr="002563F7" w:rsidRDefault="002563F7" w:rsidP="002563F7">
            <w:pPr>
              <w:jc w:val="right"/>
              <w:rPr>
                <w:rFonts w:eastAsia="Times New Roman" w:cstheme="minorHAnsi"/>
                <w:sz w:val="20"/>
                <w:szCs w:val="20"/>
                <w:lang w:eastAsia="nl-BE"/>
              </w:rPr>
            </w:pPr>
            <w:r w:rsidRPr="002563F7">
              <w:rPr>
                <w:rFonts w:eastAsia="Times New Roman" w:cstheme="minorHAnsi"/>
                <w:sz w:val="20"/>
                <w:szCs w:val="20"/>
                <w:lang w:eastAsia="nl-BE"/>
              </w:rPr>
              <w:t>1.105,4</w:t>
            </w:r>
          </w:p>
        </w:tc>
        <w:tc>
          <w:tcPr>
            <w:tcW w:w="880" w:type="dxa"/>
            <w:shd w:val="clear" w:color="auto" w:fill="auto"/>
            <w:noWrap/>
            <w:vAlign w:val="center"/>
            <w:hideMark/>
          </w:tcPr>
          <w:p w14:paraId="31278A97" w14:textId="77777777" w:rsidR="002563F7" w:rsidRPr="002563F7" w:rsidRDefault="002563F7" w:rsidP="002563F7">
            <w:pPr>
              <w:jc w:val="right"/>
              <w:rPr>
                <w:rFonts w:eastAsia="Times New Roman" w:cstheme="minorHAnsi"/>
                <w:sz w:val="20"/>
                <w:szCs w:val="20"/>
                <w:lang w:eastAsia="nl-BE"/>
              </w:rPr>
            </w:pPr>
            <w:r w:rsidRPr="002563F7">
              <w:rPr>
                <w:rFonts w:eastAsia="Times New Roman" w:cstheme="minorHAnsi"/>
                <w:sz w:val="20"/>
                <w:szCs w:val="20"/>
                <w:lang w:eastAsia="nl-BE"/>
              </w:rPr>
              <w:t>-3,6</w:t>
            </w:r>
          </w:p>
        </w:tc>
        <w:tc>
          <w:tcPr>
            <w:tcW w:w="820" w:type="dxa"/>
            <w:shd w:val="clear" w:color="auto" w:fill="auto"/>
            <w:noWrap/>
            <w:vAlign w:val="center"/>
            <w:hideMark/>
          </w:tcPr>
          <w:p w14:paraId="54FC9B0C" w14:textId="77777777" w:rsidR="002563F7" w:rsidRPr="002563F7" w:rsidRDefault="002563F7" w:rsidP="002563F7">
            <w:pPr>
              <w:jc w:val="right"/>
              <w:rPr>
                <w:rFonts w:eastAsia="Times New Roman" w:cstheme="minorHAnsi"/>
                <w:sz w:val="20"/>
                <w:szCs w:val="20"/>
                <w:lang w:eastAsia="nl-BE"/>
              </w:rPr>
            </w:pPr>
            <w:r w:rsidRPr="002563F7">
              <w:rPr>
                <w:rFonts w:eastAsia="Times New Roman" w:cstheme="minorHAnsi"/>
                <w:sz w:val="20"/>
                <w:szCs w:val="20"/>
                <w:lang w:eastAsia="nl-BE"/>
              </w:rPr>
              <w:t>-0,3%</w:t>
            </w:r>
          </w:p>
        </w:tc>
        <w:tc>
          <w:tcPr>
            <w:tcW w:w="880" w:type="dxa"/>
            <w:shd w:val="clear" w:color="auto" w:fill="auto"/>
            <w:noWrap/>
            <w:vAlign w:val="center"/>
            <w:hideMark/>
          </w:tcPr>
          <w:p w14:paraId="79D4ED2E" w14:textId="77777777" w:rsidR="002563F7" w:rsidRPr="002563F7" w:rsidRDefault="002563F7" w:rsidP="002563F7">
            <w:pPr>
              <w:jc w:val="right"/>
              <w:rPr>
                <w:rFonts w:eastAsia="Times New Roman" w:cstheme="minorHAnsi"/>
                <w:sz w:val="20"/>
                <w:szCs w:val="20"/>
                <w:lang w:eastAsia="nl-BE"/>
              </w:rPr>
            </w:pPr>
            <w:r w:rsidRPr="002563F7">
              <w:rPr>
                <w:rFonts w:eastAsia="Times New Roman" w:cstheme="minorHAnsi"/>
                <w:sz w:val="20"/>
                <w:szCs w:val="20"/>
                <w:lang w:eastAsia="nl-BE"/>
              </w:rPr>
              <w:t>-3,6</w:t>
            </w:r>
          </w:p>
        </w:tc>
        <w:tc>
          <w:tcPr>
            <w:tcW w:w="820" w:type="dxa"/>
            <w:shd w:val="clear" w:color="auto" w:fill="auto"/>
            <w:noWrap/>
            <w:vAlign w:val="center"/>
            <w:hideMark/>
          </w:tcPr>
          <w:p w14:paraId="789BE509" w14:textId="77777777" w:rsidR="002563F7" w:rsidRPr="002563F7" w:rsidRDefault="002563F7" w:rsidP="002563F7">
            <w:pPr>
              <w:jc w:val="right"/>
              <w:rPr>
                <w:rFonts w:eastAsia="Times New Roman" w:cstheme="minorHAnsi"/>
                <w:sz w:val="20"/>
                <w:szCs w:val="20"/>
                <w:lang w:eastAsia="nl-BE"/>
              </w:rPr>
            </w:pPr>
            <w:r w:rsidRPr="002563F7">
              <w:rPr>
                <w:rFonts w:eastAsia="Times New Roman" w:cstheme="minorHAnsi"/>
                <w:sz w:val="20"/>
                <w:szCs w:val="20"/>
                <w:lang w:eastAsia="nl-BE"/>
              </w:rPr>
              <w:t>-0,3%</w:t>
            </w:r>
          </w:p>
        </w:tc>
      </w:tr>
      <w:tr w:rsidR="002563F7" w:rsidRPr="002563F7" w14:paraId="1D9B14F5" w14:textId="77777777" w:rsidTr="002563F7">
        <w:trPr>
          <w:trHeight w:val="276"/>
        </w:trPr>
        <w:tc>
          <w:tcPr>
            <w:tcW w:w="2689" w:type="dxa"/>
            <w:shd w:val="clear" w:color="auto" w:fill="auto"/>
            <w:vAlign w:val="center"/>
            <w:hideMark/>
          </w:tcPr>
          <w:p w14:paraId="330C37D9" w14:textId="77777777" w:rsidR="002563F7" w:rsidRPr="002563F7" w:rsidRDefault="002563F7" w:rsidP="002563F7">
            <w:pPr>
              <w:rPr>
                <w:rFonts w:eastAsia="Times New Roman" w:cstheme="minorHAnsi"/>
                <w:sz w:val="20"/>
                <w:szCs w:val="20"/>
                <w:lang w:eastAsia="nl-BE"/>
              </w:rPr>
            </w:pPr>
            <w:r w:rsidRPr="002563F7">
              <w:rPr>
                <w:rFonts w:eastAsia="Times New Roman" w:cstheme="minorHAnsi"/>
                <w:sz w:val="20"/>
                <w:szCs w:val="20"/>
                <w:lang w:eastAsia="nl-BE"/>
              </w:rPr>
              <w:t xml:space="preserve">Belasting op de inverkeerstelling </w:t>
            </w:r>
          </w:p>
        </w:tc>
        <w:tc>
          <w:tcPr>
            <w:tcW w:w="924" w:type="dxa"/>
            <w:shd w:val="clear" w:color="auto" w:fill="auto"/>
            <w:noWrap/>
            <w:vAlign w:val="center"/>
            <w:hideMark/>
          </w:tcPr>
          <w:p w14:paraId="76C7479C" w14:textId="77777777" w:rsidR="002563F7" w:rsidRPr="002563F7" w:rsidRDefault="002563F7" w:rsidP="002563F7">
            <w:pPr>
              <w:jc w:val="right"/>
              <w:rPr>
                <w:rFonts w:eastAsia="Times New Roman" w:cstheme="minorHAnsi"/>
                <w:sz w:val="20"/>
                <w:szCs w:val="20"/>
                <w:lang w:eastAsia="nl-BE"/>
              </w:rPr>
            </w:pPr>
            <w:r w:rsidRPr="002563F7">
              <w:rPr>
                <w:rFonts w:eastAsia="Times New Roman" w:cstheme="minorHAnsi"/>
                <w:sz w:val="20"/>
                <w:szCs w:val="20"/>
                <w:lang w:eastAsia="nl-BE"/>
              </w:rPr>
              <w:t>289,4</w:t>
            </w:r>
          </w:p>
        </w:tc>
        <w:tc>
          <w:tcPr>
            <w:tcW w:w="1040" w:type="dxa"/>
            <w:shd w:val="clear" w:color="auto" w:fill="auto"/>
            <w:noWrap/>
            <w:vAlign w:val="center"/>
            <w:hideMark/>
          </w:tcPr>
          <w:p w14:paraId="56132C53" w14:textId="77777777" w:rsidR="002563F7" w:rsidRPr="002563F7" w:rsidRDefault="002563F7" w:rsidP="002563F7">
            <w:pPr>
              <w:jc w:val="right"/>
              <w:rPr>
                <w:rFonts w:eastAsia="Times New Roman" w:cstheme="minorHAnsi"/>
                <w:sz w:val="20"/>
                <w:szCs w:val="20"/>
                <w:lang w:eastAsia="nl-BE"/>
              </w:rPr>
            </w:pPr>
            <w:r w:rsidRPr="002563F7">
              <w:rPr>
                <w:rFonts w:eastAsia="Times New Roman" w:cstheme="minorHAnsi"/>
                <w:sz w:val="20"/>
                <w:szCs w:val="20"/>
                <w:lang w:eastAsia="nl-BE"/>
              </w:rPr>
              <w:t>293,0</w:t>
            </w:r>
          </w:p>
        </w:tc>
        <w:tc>
          <w:tcPr>
            <w:tcW w:w="1040" w:type="dxa"/>
            <w:shd w:val="clear" w:color="auto" w:fill="auto"/>
            <w:noWrap/>
            <w:vAlign w:val="center"/>
            <w:hideMark/>
          </w:tcPr>
          <w:p w14:paraId="38984159" w14:textId="77777777" w:rsidR="002563F7" w:rsidRPr="002563F7" w:rsidRDefault="002563F7" w:rsidP="002563F7">
            <w:pPr>
              <w:jc w:val="right"/>
              <w:rPr>
                <w:rFonts w:eastAsia="Times New Roman" w:cstheme="minorHAnsi"/>
                <w:sz w:val="20"/>
                <w:szCs w:val="20"/>
                <w:lang w:eastAsia="nl-BE"/>
              </w:rPr>
            </w:pPr>
            <w:r w:rsidRPr="002563F7">
              <w:rPr>
                <w:rFonts w:eastAsia="Times New Roman" w:cstheme="minorHAnsi"/>
                <w:sz w:val="20"/>
                <w:szCs w:val="20"/>
                <w:lang w:eastAsia="nl-BE"/>
              </w:rPr>
              <w:t>295,9</w:t>
            </w:r>
          </w:p>
        </w:tc>
        <w:tc>
          <w:tcPr>
            <w:tcW w:w="880" w:type="dxa"/>
            <w:shd w:val="clear" w:color="auto" w:fill="auto"/>
            <w:noWrap/>
            <w:vAlign w:val="center"/>
            <w:hideMark/>
          </w:tcPr>
          <w:p w14:paraId="440FBAF7" w14:textId="77777777" w:rsidR="002563F7" w:rsidRPr="002563F7" w:rsidRDefault="002563F7" w:rsidP="002563F7">
            <w:pPr>
              <w:jc w:val="right"/>
              <w:rPr>
                <w:rFonts w:eastAsia="Times New Roman" w:cstheme="minorHAnsi"/>
                <w:sz w:val="20"/>
                <w:szCs w:val="20"/>
                <w:lang w:eastAsia="nl-BE"/>
              </w:rPr>
            </w:pPr>
            <w:r w:rsidRPr="002563F7">
              <w:rPr>
                <w:rFonts w:eastAsia="Times New Roman" w:cstheme="minorHAnsi"/>
                <w:sz w:val="20"/>
                <w:szCs w:val="20"/>
                <w:lang w:eastAsia="nl-BE"/>
              </w:rPr>
              <w:t>6,5</w:t>
            </w:r>
          </w:p>
        </w:tc>
        <w:tc>
          <w:tcPr>
            <w:tcW w:w="820" w:type="dxa"/>
            <w:shd w:val="clear" w:color="auto" w:fill="auto"/>
            <w:noWrap/>
            <w:vAlign w:val="center"/>
            <w:hideMark/>
          </w:tcPr>
          <w:p w14:paraId="2A846216" w14:textId="77777777" w:rsidR="002563F7" w:rsidRPr="002563F7" w:rsidRDefault="002563F7" w:rsidP="002563F7">
            <w:pPr>
              <w:jc w:val="right"/>
              <w:rPr>
                <w:rFonts w:eastAsia="Times New Roman" w:cstheme="minorHAnsi"/>
                <w:sz w:val="20"/>
                <w:szCs w:val="20"/>
                <w:lang w:eastAsia="nl-BE"/>
              </w:rPr>
            </w:pPr>
            <w:r w:rsidRPr="002563F7">
              <w:rPr>
                <w:rFonts w:eastAsia="Times New Roman" w:cstheme="minorHAnsi"/>
                <w:sz w:val="20"/>
                <w:szCs w:val="20"/>
                <w:lang w:eastAsia="nl-BE"/>
              </w:rPr>
              <w:t>2,3%</w:t>
            </w:r>
          </w:p>
        </w:tc>
        <w:tc>
          <w:tcPr>
            <w:tcW w:w="880" w:type="dxa"/>
            <w:shd w:val="clear" w:color="auto" w:fill="auto"/>
            <w:noWrap/>
            <w:vAlign w:val="center"/>
            <w:hideMark/>
          </w:tcPr>
          <w:p w14:paraId="33B39CFE" w14:textId="77777777" w:rsidR="002563F7" w:rsidRPr="002563F7" w:rsidRDefault="002563F7" w:rsidP="002563F7">
            <w:pPr>
              <w:jc w:val="right"/>
              <w:rPr>
                <w:rFonts w:eastAsia="Times New Roman" w:cstheme="minorHAnsi"/>
                <w:sz w:val="20"/>
                <w:szCs w:val="20"/>
                <w:lang w:eastAsia="nl-BE"/>
              </w:rPr>
            </w:pPr>
            <w:r w:rsidRPr="002563F7">
              <w:rPr>
                <w:rFonts w:eastAsia="Times New Roman" w:cstheme="minorHAnsi"/>
                <w:sz w:val="20"/>
                <w:szCs w:val="20"/>
                <w:lang w:eastAsia="nl-BE"/>
              </w:rPr>
              <w:t>2,9</w:t>
            </w:r>
          </w:p>
        </w:tc>
        <w:tc>
          <w:tcPr>
            <w:tcW w:w="820" w:type="dxa"/>
            <w:shd w:val="clear" w:color="auto" w:fill="auto"/>
            <w:noWrap/>
            <w:vAlign w:val="center"/>
            <w:hideMark/>
          </w:tcPr>
          <w:p w14:paraId="0C9A7C31" w14:textId="77777777" w:rsidR="002563F7" w:rsidRPr="002563F7" w:rsidRDefault="002563F7" w:rsidP="002563F7">
            <w:pPr>
              <w:jc w:val="right"/>
              <w:rPr>
                <w:rFonts w:eastAsia="Times New Roman" w:cstheme="minorHAnsi"/>
                <w:sz w:val="20"/>
                <w:szCs w:val="20"/>
                <w:lang w:eastAsia="nl-BE"/>
              </w:rPr>
            </w:pPr>
            <w:r w:rsidRPr="002563F7">
              <w:rPr>
                <w:rFonts w:eastAsia="Times New Roman" w:cstheme="minorHAnsi"/>
                <w:sz w:val="20"/>
                <w:szCs w:val="20"/>
                <w:lang w:eastAsia="nl-BE"/>
              </w:rPr>
              <w:t>1,0%</w:t>
            </w:r>
          </w:p>
        </w:tc>
      </w:tr>
      <w:tr w:rsidR="002563F7" w:rsidRPr="002563F7" w14:paraId="6DC05A83" w14:textId="77777777" w:rsidTr="002563F7">
        <w:trPr>
          <w:trHeight w:val="276"/>
        </w:trPr>
        <w:tc>
          <w:tcPr>
            <w:tcW w:w="2689" w:type="dxa"/>
            <w:shd w:val="clear" w:color="auto" w:fill="auto"/>
            <w:vAlign w:val="center"/>
            <w:hideMark/>
          </w:tcPr>
          <w:p w14:paraId="617FB479" w14:textId="77777777" w:rsidR="002563F7" w:rsidRPr="002563F7" w:rsidRDefault="002563F7" w:rsidP="002563F7">
            <w:pPr>
              <w:rPr>
                <w:rFonts w:eastAsia="Times New Roman" w:cstheme="minorHAnsi"/>
                <w:sz w:val="20"/>
                <w:szCs w:val="20"/>
                <w:lang w:eastAsia="nl-BE"/>
              </w:rPr>
            </w:pPr>
            <w:r w:rsidRPr="002563F7">
              <w:rPr>
                <w:rFonts w:eastAsia="Times New Roman" w:cstheme="minorHAnsi"/>
                <w:sz w:val="20"/>
                <w:szCs w:val="20"/>
                <w:lang w:eastAsia="nl-BE"/>
              </w:rPr>
              <w:t>Eurovignet (inning IVA VLABEL)</w:t>
            </w:r>
          </w:p>
        </w:tc>
        <w:tc>
          <w:tcPr>
            <w:tcW w:w="924" w:type="dxa"/>
            <w:shd w:val="clear" w:color="auto" w:fill="auto"/>
            <w:noWrap/>
            <w:vAlign w:val="center"/>
            <w:hideMark/>
          </w:tcPr>
          <w:p w14:paraId="7B3B6C02" w14:textId="77777777" w:rsidR="002563F7" w:rsidRPr="002563F7" w:rsidRDefault="002563F7" w:rsidP="002563F7">
            <w:pPr>
              <w:jc w:val="right"/>
              <w:rPr>
                <w:rFonts w:eastAsia="Times New Roman" w:cstheme="minorHAnsi"/>
                <w:sz w:val="20"/>
                <w:szCs w:val="20"/>
                <w:lang w:eastAsia="nl-BE"/>
              </w:rPr>
            </w:pPr>
            <w:r w:rsidRPr="002563F7">
              <w:rPr>
                <w:rFonts w:eastAsia="Times New Roman" w:cstheme="minorHAnsi"/>
                <w:sz w:val="20"/>
                <w:szCs w:val="20"/>
                <w:lang w:eastAsia="nl-BE"/>
              </w:rPr>
              <w:t>0,0</w:t>
            </w:r>
          </w:p>
        </w:tc>
        <w:tc>
          <w:tcPr>
            <w:tcW w:w="1040" w:type="dxa"/>
            <w:shd w:val="clear" w:color="auto" w:fill="auto"/>
            <w:noWrap/>
            <w:vAlign w:val="center"/>
            <w:hideMark/>
          </w:tcPr>
          <w:p w14:paraId="31AB71B4" w14:textId="77777777" w:rsidR="002563F7" w:rsidRPr="002563F7" w:rsidRDefault="002563F7" w:rsidP="002563F7">
            <w:pPr>
              <w:jc w:val="right"/>
              <w:rPr>
                <w:rFonts w:eastAsia="Times New Roman" w:cstheme="minorHAnsi"/>
                <w:sz w:val="20"/>
                <w:szCs w:val="20"/>
                <w:lang w:eastAsia="nl-BE"/>
              </w:rPr>
            </w:pPr>
            <w:r w:rsidRPr="002563F7">
              <w:rPr>
                <w:rFonts w:eastAsia="Times New Roman" w:cstheme="minorHAnsi"/>
                <w:sz w:val="20"/>
                <w:szCs w:val="20"/>
                <w:lang w:eastAsia="nl-BE"/>
              </w:rPr>
              <w:t>0,0</w:t>
            </w:r>
          </w:p>
        </w:tc>
        <w:tc>
          <w:tcPr>
            <w:tcW w:w="1040" w:type="dxa"/>
            <w:shd w:val="clear" w:color="auto" w:fill="auto"/>
            <w:noWrap/>
            <w:vAlign w:val="center"/>
            <w:hideMark/>
          </w:tcPr>
          <w:p w14:paraId="1935CC4D" w14:textId="77777777" w:rsidR="002563F7" w:rsidRPr="002563F7" w:rsidRDefault="002563F7" w:rsidP="002563F7">
            <w:pPr>
              <w:jc w:val="right"/>
              <w:rPr>
                <w:rFonts w:eastAsia="Times New Roman" w:cstheme="minorHAnsi"/>
                <w:sz w:val="20"/>
                <w:szCs w:val="20"/>
                <w:lang w:eastAsia="nl-BE"/>
              </w:rPr>
            </w:pPr>
            <w:r w:rsidRPr="002563F7">
              <w:rPr>
                <w:rFonts w:eastAsia="Times New Roman" w:cstheme="minorHAnsi"/>
                <w:sz w:val="20"/>
                <w:szCs w:val="20"/>
                <w:lang w:eastAsia="nl-BE"/>
              </w:rPr>
              <w:t>0,0</w:t>
            </w:r>
          </w:p>
        </w:tc>
        <w:tc>
          <w:tcPr>
            <w:tcW w:w="880" w:type="dxa"/>
            <w:shd w:val="clear" w:color="auto" w:fill="auto"/>
            <w:noWrap/>
            <w:vAlign w:val="center"/>
            <w:hideMark/>
          </w:tcPr>
          <w:p w14:paraId="3FEB6B82" w14:textId="77777777" w:rsidR="002563F7" w:rsidRPr="002563F7" w:rsidRDefault="002563F7" w:rsidP="002563F7">
            <w:pPr>
              <w:jc w:val="right"/>
              <w:rPr>
                <w:rFonts w:eastAsia="Times New Roman" w:cstheme="minorHAnsi"/>
                <w:sz w:val="20"/>
                <w:szCs w:val="20"/>
                <w:lang w:eastAsia="nl-BE"/>
              </w:rPr>
            </w:pPr>
            <w:r w:rsidRPr="002563F7">
              <w:rPr>
                <w:rFonts w:eastAsia="Times New Roman" w:cstheme="minorHAnsi"/>
                <w:sz w:val="20"/>
                <w:szCs w:val="20"/>
                <w:lang w:eastAsia="nl-BE"/>
              </w:rPr>
              <w:t>0,0</w:t>
            </w:r>
          </w:p>
        </w:tc>
        <w:tc>
          <w:tcPr>
            <w:tcW w:w="820" w:type="dxa"/>
            <w:shd w:val="clear" w:color="auto" w:fill="auto"/>
            <w:noWrap/>
            <w:vAlign w:val="center"/>
            <w:hideMark/>
          </w:tcPr>
          <w:p w14:paraId="45882348" w14:textId="77777777" w:rsidR="002563F7" w:rsidRPr="002563F7" w:rsidRDefault="002563F7" w:rsidP="002563F7">
            <w:pPr>
              <w:jc w:val="right"/>
              <w:rPr>
                <w:rFonts w:eastAsia="Times New Roman" w:cstheme="minorHAnsi"/>
                <w:sz w:val="20"/>
                <w:szCs w:val="20"/>
                <w:lang w:eastAsia="nl-BE"/>
              </w:rPr>
            </w:pPr>
            <w:r w:rsidRPr="002563F7">
              <w:rPr>
                <w:rFonts w:eastAsia="Times New Roman" w:cstheme="minorHAnsi"/>
                <w:sz w:val="20"/>
                <w:szCs w:val="20"/>
                <w:lang w:eastAsia="nl-BE"/>
              </w:rPr>
              <w:t>100,0%</w:t>
            </w:r>
          </w:p>
        </w:tc>
        <w:tc>
          <w:tcPr>
            <w:tcW w:w="880" w:type="dxa"/>
            <w:shd w:val="clear" w:color="auto" w:fill="auto"/>
            <w:noWrap/>
            <w:vAlign w:val="center"/>
            <w:hideMark/>
          </w:tcPr>
          <w:p w14:paraId="12BE5ED2" w14:textId="77777777" w:rsidR="002563F7" w:rsidRPr="002563F7" w:rsidRDefault="002563F7" w:rsidP="002563F7">
            <w:pPr>
              <w:jc w:val="right"/>
              <w:rPr>
                <w:rFonts w:eastAsia="Times New Roman" w:cstheme="minorHAnsi"/>
                <w:sz w:val="20"/>
                <w:szCs w:val="20"/>
                <w:lang w:eastAsia="nl-BE"/>
              </w:rPr>
            </w:pPr>
            <w:r w:rsidRPr="002563F7">
              <w:rPr>
                <w:rFonts w:eastAsia="Times New Roman" w:cstheme="minorHAnsi"/>
                <w:sz w:val="20"/>
                <w:szCs w:val="20"/>
                <w:lang w:eastAsia="nl-BE"/>
              </w:rPr>
              <w:t>0,0</w:t>
            </w:r>
          </w:p>
        </w:tc>
        <w:tc>
          <w:tcPr>
            <w:tcW w:w="820" w:type="dxa"/>
            <w:shd w:val="clear" w:color="auto" w:fill="auto"/>
            <w:noWrap/>
            <w:vAlign w:val="center"/>
            <w:hideMark/>
          </w:tcPr>
          <w:p w14:paraId="2C4853B7" w14:textId="77777777" w:rsidR="002563F7" w:rsidRPr="002563F7" w:rsidRDefault="002563F7" w:rsidP="002563F7">
            <w:pPr>
              <w:jc w:val="right"/>
              <w:rPr>
                <w:rFonts w:eastAsia="Times New Roman" w:cstheme="minorHAnsi"/>
                <w:sz w:val="20"/>
                <w:szCs w:val="20"/>
                <w:lang w:eastAsia="nl-BE"/>
              </w:rPr>
            </w:pPr>
            <w:r w:rsidRPr="002563F7">
              <w:rPr>
                <w:rFonts w:eastAsia="Times New Roman" w:cstheme="minorHAnsi"/>
                <w:sz w:val="20"/>
                <w:szCs w:val="20"/>
                <w:lang w:eastAsia="nl-BE"/>
              </w:rPr>
              <w:t>100,0%</w:t>
            </w:r>
          </w:p>
        </w:tc>
      </w:tr>
      <w:tr w:rsidR="002563F7" w:rsidRPr="002563F7" w14:paraId="08D70134" w14:textId="77777777" w:rsidTr="002563F7">
        <w:trPr>
          <w:trHeight w:val="276"/>
        </w:trPr>
        <w:tc>
          <w:tcPr>
            <w:tcW w:w="2689" w:type="dxa"/>
            <w:shd w:val="clear" w:color="auto" w:fill="auto"/>
            <w:vAlign w:val="center"/>
            <w:hideMark/>
          </w:tcPr>
          <w:p w14:paraId="075D34ED" w14:textId="77777777" w:rsidR="002563F7" w:rsidRPr="002563F7" w:rsidRDefault="002563F7" w:rsidP="002563F7">
            <w:pPr>
              <w:rPr>
                <w:rFonts w:eastAsia="Times New Roman" w:cstheme="minorHAnsi"/>
                <w:sz w:val="20"/>
                <w:szCs w:val="20"/>
                <w:lang w:eastAsia="nl-BE"/>
              </w:rPr>
            </w:pPr>
            <w:r w:rsidRPr="002563F7">
              <w:rPr>
                <w:rFonts w:eastAsia="Times New Roman" w:cstheme="minorHAnsi"/>
                <w:sz w:val="20"/>
                <w:szCs w:val="20"/>
                <w:lang w:eastAsia="nl-BE"/>
              </w:rPr>
              <w:t>Kilometerheffing</w:t>
            </w:r>
          </w:p>
        </w:tc>
        <w:tc>
          <w:tcPr>
            <w:tcW w:w="924" w:type="dxa"/>
            <w:shd w:val="clear" w:color="auto" w:fill="auto"/>
            <w:noWrap/>
            <w:vAlign w:val="center"/>
            <w:hideMark/>
          </w:tcPr>
          <w:p w14:paraId="1DC419C7" w14:textId="77777777" w:rsidR="002563F7" w:rsidRPr="002563F7" w:rsidRDefault="002563F7" w:rsidP="002563F7">
            <w:pPr>
              <w:jc w:val="right"/>
              <w:rPr>
                <w:rFonts w:eastAsia="Times New Roman" w:cstheme="minorHAnsi"/>
                <w:sz w:val="20"/>
                <w:szCs w:val="20"/>
                <w:lang w:eastAsia="nl-BE"/>
              </w:rPr>
            </w:pPr>
            <w:r w:rsidRPr="002563F7">
              <w:rPr>
                <w:rFonts w:eastAsia="Times New Roman" w:cstheme="minorHAnsi"/>
                <w:sz w:val="20"/>
                <w:szCs w:val="20"/>
                <w:lang w:eastAsia="nl-BE"/>
              </w:rPr>
              <w:t>464,4</w:t>
            </w:r>
          </w:p>
        </w:tc>
        <w:tc>
          <w:tcPr>
            <w:tcW w:w="1040" w:type="dxa"/>
            <w:shd w:val="clear" w:color="auto" w:fill="auto"/>
            <w:noWrap/>
            <w:vAlign w:val="center"/>
            <w:hideMark/>
          </w:tcPr>
          <w:p w14:paraId="071DAB2F" w14:textId="77777777" w:rsidR="002563F7" w:rsidRPr="002563F7" w:rsidRDefault="002563F7" w:rsidP="002563F7">
            <w:pPr>
              <w:jc w:val="right"/>
              <w:rPr>
                <w:rFonts w:eastAsia="Times New Roman" w:cstheme="minorHAnsi"/>
                <w:sz w:val="20"/>
                <w:szCs w:val="20"/>
                <w:lang w:eastAsia="nl-BE"/>
              </w:rPr>
            </w:pPr>
            <w:r w:rsidRPr="002563F7">
              <w:rPr>
                <w:rFonts w:eastAsia="Times New Roman" w:cstheme="minorHAnsi"/>
                <w:sz w:val="20"/>
                <w:szCs w:val="20"/>
                <w:lang w:eastAsia="nl-BE"/>
              </w:rPr>
              <w:t>464,4</w:t>
            </w:r>
          </w:p>
        </w:tc>
        <w:tc>
          <w:tcPr>
            <w:tcW w:w="1040" w:type="dxa"/>
            <w:shd w:val="clear" w:color="auto" w:fill="auto"/>
            <w:noWrap/>
            <w:vAlign w:val="center"/>
            <w:hideMark/>
          </w:tcPr>
          <w:p w14:paraId="183CCCEB" w14:textId="77777777" w:rsidR="002563F7" w:rsidRPr="002563F7" w:rsidRDefault="002563F7" w:rsidP="002563F7">
            <w:pPr>
              <w:jc w:val="right"/>
              <w:rPr>
                <w:rFonts w:eastAsia="Times New Roman" w:cstheme="minorHAnsi"/>
                <w:sz w:val="20"/>
                <w:szCs w:val="20"/>
                <w:lang w:eastAsia="nl-BE"/>
              </w:rPr>
            </w:pPr>
            <w:r w:rsidRPr="002563F7">
              <w:rPr>
                <w:rFonts w:eastAsia="Times New Roman" w:cstheme="minorHAnsi"/>
                <w:sz w:val="20"/>
                <w:szCs w:val="20"/>
                <w:lang w:eastAsia="nl-BE"/>
              </w:rPr>
              <w:t>461,1</w:t>
            </w:r>
          </w:p>
        </w:tc>
        <w:tc>
          <w:tcPr>
            <w:tcW w:w="880" w:type="dxa"/>
            <w:shd w:val="clear" w:color="auto" w:fill="auto"/>
            <w:noWrap/>
            <w:vAlign w:val="center"/>
            <w:hideMark/>
          </w:tcPr>
          <w:p w14:paraId="6F8E189A" w14:textId="77777777" w:rsidR="002563F7" w:rsidRPr="002563F7" w:rsidRDefault="002563F7" w:rsidP="002563F7">
            <w:pPr>
              <w:jc w:val="right"/>
              <w:rPr>
                <w:rFonts w:eastAsia="Times New Roman" w:cstheme="minorHAnsi"/>
                <w:sz w:val="20"/>
                <w:szCs w:val="20"/>
                <w:lang w:eastAsia="nl-BE"/>
              </w:rPr>
            </w:pPr>
            <w:r w:rsidRPr="002563F7">
              <w:rPr>
                <w:rFonts w:eastAsia="Times New Roman" w:cstheme="minorHAnsi"/>
                <w:sz w:val="20"/>
                <w:szCs w:val="20"/>
                <w:lang w:eastAsia="nl-BE"/>
              </w:rPr>
              <w:t>-3,3</w:t>
            </w:r>
          </w:p>
        </w:tc>
        <w:tc>
          <w:tcPr>
            <w:tcW w:w="820" w:type="dxa"/>
            <w:shd w:val="clear" w:color="auto" w:fill="auto"/>
            <w:noWrap/>
            <w:vAlign w:val="center"/>
            <w:hideMark/>
          </w:tcPr>
          <w:p w14:paraId="3952C5DB" w14:textId="77777777" w:rsidR="002563F7" w:rsidRPr="002563F7" w:rsidRDefault="002563F7" w:rsidP="002563F7">
            <w:pPr>
              <w:jc w:val="right"/>
              <w:rPr>
                <w:rFonts w:eastAsia="Times New Roman" w:cstheme="minorHAnsi"/>
                <w:sz w:val="20"/>
                <w:szCs w:val="20"/>
                <w:lang w:eastAsia="nl-BE"/>
              </w:rPr>
            </w:pPr>
            <w:r w:rsidRPr="002563F7">
              <w:rPr>
                <w:rFonts w:eastAsia="Times New Roman" w:cstheme="minorHAnsi"/>
                <w:sz w:val="20"/>
                <w:szCs w:val="20"/>
                <w:lang w:eastAsia="nl-BE"/>
              </w:rPr>
              <w:t>-0,7%</w:t>
            </w:r>
          </w:p>
        </w:tc>
        <w:tc>
          <w:tcPr>
            <w:tcW w:w="880" w:type="dxa"/>
            <w:shd w:val="clear" w:color="auto" w:fill="auto"/>
            <w:noWrap/>
            <w:vAlign w:val="center"/>
            <w:hideMark/>
          </w:tcPr>
          <w:p w14:paraId="377D2A6A" w14:textId="77777777" w:rsidR="002563F7" w:rsidRPr="002563F7" w:rsidRDefault="002563F7" w:rsidP="002563F7">
            <w:pPr>
              <w:jc w:val="right"/>
              <w:rPr>
                <w:rFonts w:eastAsia="Times New Roman" w:cstheme="minorHAnsi"/>
                <w:sz w:val="20"/>
                <w:szCs w:val="20"/>
                <w:lang w:eastAsia="nl-BE"/>
              </w:rPr>
            </w:pPr>
            <w:r w:rsidRPr="002563F7">
              <w:rPr>
                <w:rFonts w:eastAsia="Times New Roman" w:cstheme="minorHAnsi"/>
                <w:sz w:val="20"/>
                <w:szCs w:val="20"/>
                <w:lang w:eastAsia="nl-BE"/>
              </w:rPr>
              <w:t>-3,3</w:t>
            </w:r>
          </w:p>
        </w:tc>
        <w:tc>
          <w:tcPr>
            <w:tcW w:w="820" w:type="dxa"/>
            <w:shd w:val="clear" w:color="auto" w:fill="auto"/>
            <w:noWrap/>
            <w:vAlign w:val="center"/>
            <w:hideMark/>
          </w:tcPr>
          <w:p w14:paraId="57D105C3" w14:textId="77777777" w:rsidR="002563F7" w:rsidRPr="002563F7" w:rsidRDefault="002563F7" w:rsidP="002563F7">
            <w:pPr>
              <w:jc w:val="right"/>
              <w:rPr>
                <w:rFonts w:eastAsia="Times New Roman" w:cstheme="minorHAnsi"/>
                <w:sz w:val="20"/>
                <w:szCs w:val="20"/>
                <w:lang w:eastAsia="nl-BE"/>
              </w:rPr>
            </w:pPr>
            <w:r w:rsidRPr="002563F7">
              <w:rPr>
                <w:rFonts w:eastAsia="Times New Roman" w:cstheme="minorHAnsi"/>
                <w:sz w:val="20"/>
                <w:szCs w:val="20"/>
                <w:lang w:eastAsia="nl-BE"/>
              </w:rPr>
              <w:t>-0,7%</w:t>
            </w:r>
          </w:p>
        </w:tc>
      </w:tr>
      <w:tr w:rsidR="002563F7" w:rsidRPr="002563F7" w14:paraId="661990A5" w14:textId="77777777" w:rsidTr="002563F7">
        <w:trPr>
          <w:trHeight w:val="276"/>
        </w:trPr>
        <w:tc>
          <w:tcPr>
            <w:tcW w:w="2689" w:type="dxa"/>
            <w:shd w:val="clear" w:color="auto" w:fill="auto"/>
            <w:vAlign w:val="center"/>
            <w:hideMark/>
          </w:tcPr>
          <w:p w14:paraId="5EF50FC5" w14:textId="77777777" w:rsidR="002563F7" w:rsidRPr="002563F7" w:rsidRDefault="002563F7" w:rsidP="002563F7">
            <w:pPr>
              <w:rPr>
                <w:rFonts w:eastAsia="Times New Roman" w:cstheme="minorHAnsi"/>
                <w:b/>
                <w:bCs/>
                <w:sz w:val="20"/>
                <w:szCs w:val="20"/>
                <w:lang w:eastAsia="nl-BE"/>
              </w:rPr>
            </w:pPr>
            <w:r w:rsidRPr="002563F7">
              <w:rPr>
                <w:rFonts w:eastAsia="Times New Roman" w:cstheme="minorHAnsi"/>
                <w:b/>
                <w:bCs/>
                <w:sz w:val="20"/>
                <w:szCs w:val="20"/>
                <w:lang w:eastAsia="nl-BE"/>
              </w:rPr>
              <w:t>Totaal</w:t>
            </w:r>
          </w:p>
        </w:tc>
        <w:tc>
          <w:tcPr>
            <w:tcW w:w="924" w:type="dxa"/>
            <w:shd w:val="clear" w:color="auto" w:fill="auto"/>
            <w:noWrap/>
            <w:vAlign w:val="center"/>
            <w:hideMark/>
          </w:tcPr>
          <w:p w14:paraId="7A6AEAB7" w14:textId="77777777" w:rsidR="002563F7" w:rsidRPr="002563F7" w:rsidRDefault="002563F7" w:rsidP="002563F7">
            <w:pPr>
              <w:jc w:val="right"/>
              <w:rPr>
                <w:rFonts w:eastAsia="Times New Roman" w:cstheme="minorHAnsi"/>
                <w:b/>
                <w:bCs/>
                <w:sz w:val="20"/>
                <w:szCs w:val="20"/>
                <w:lang w:eastAsia="nl-BE"/>
              </w:rPr>
            </w:pPr>
            <w:r w:rsidRPr="002563F7">
              <w:rPr>
                <w:rFonts w:eastAsia="Times New Roman" w:cstheme="minorHAnsi"/>
                <w:b/>
                <w:bCs/>
                <w:sz w:val="20"/>
                <w:szCs w:val="20"/>
                <w:lang w:eastAsia="nl-BE"/>
              </w:rPr>
              <w:t>6.672,5</w:t>
            </w:r>
          </w:p>
        </w:tc>
        <w:tc>
          <w:tcPr>
            <w:tcW w:w="1040" w:type="dxa"/>
            <w:shd w:val="clear" w:color="auto" w:fill="auto"/>
            <w:noWrap/>
            <w:vAlign w:val="center"/>
            <w:hideMark/>
          </w:tcPr>
          <w:p w14:paraId="72BB7772" w14:textId="77777777" w:rsidR="002563F7" w:rsidRPr="002563F7" w:rsidRDefault="002563F7" w:rsidP="002563F7">
            <w:pPr>
              <w:jc w:val="right"/>
              <w:rPr>
                <w:rFonts w:eastAsia="Times New Roman" w:cstheme="minorHAnsi"/>
                <w:b/>
                <w:bCs/>
                <w:sz w:val="20"/>
                <w:szCs w:val="20"/>
                <w:lang w:eastAsia="nl-BE"/>
              </w:rPr>
            </w:pPr>
            <w:r w:rsidRPr="002563F7">
              <w:rPr>
                <w:rFonts w:eastAsia="Times New Roman" w:cstheme="minorHAnsi"/>
                <w:b/>
                <w:bCs/>
                <w:sz w:val="20"/>
                <w:szCs w:val="20"/>
                <w:lang w:eastAsia="nl-BE"/>
              </w:rPr>
              <w:t>6.676,6</w:t>
            </w:r>
          </w:p>
        </w:tc>
        <w:tc>
          <w:tcPr>
            <w:tcW w:w="1040" w:type="dxa"/>
            <w:shd w:val="clear" w:color="auto" w:fill="auto"/>
            <w:noWrap/>
            <w:vAlign w:val="center"/>
            <w:hideMark/>
          </w:tcPr>
          <w:p w14:paraId="1CE2521E" w14:textId="77777777" w:rsidR="002563F7" w:rsidRPr="002563F7" w:rsidRDefault="002563F7" w:rsidP="002563F7">
            <w:pPr>
              <w:jc w:val="right"/>
              <w:rPr>
                <w:rFonts w:eastAsia="Times New Roman" w:cstheme="minorHAnsi"/>
                <w:b/>
                <w:bCs/>
                <w:sz w:val="20"/>
                <w:szCs w:val="20"/>
                <w:lang w:eastAsia="nl-BE"/>
              </w:rPr>
            </w:pPr>
            <w:r w:rsidRPr="002563F7">
              <w:rPr>
                <w:rFonts w:eastAsia="Times New Roman" w:cstheme="minorHAnsi"/>
                <w:b/>
                <w:bCs/>
                <w:sz w:val="20"/>
                <w:szCs w:val="20"/>
                <w:lang w:eastAsia="nl-BE"/>
              </w:rPr>
              <w:t>6.847,6</w:t>
            </w:r>
          </w:p>
        </w:tc>
        <w:tc>
          <w:tcPr>
            <w:tcW w:w="880" w:type="dxa"/>
            <w:shd w:val="clear" w:color="auto" w:fill="auto"/>
            <w:noWrap/>
            <w:vAlign w:val="center"/>
            <w:hideMark/>
          </w:tcPr>
          <w:p w14:paraId="31750C8F" w14:textId="77777777" w:rsidR="002563F7" w:rsidRPr="002563F7" w:rsidRDefault="002563F7" w:rsidP="002563F7">
            <w:pPr>
              <w:jc w:val="right"/>
              <w:rPr>
                <w:rFonts w:eastAsia="Times New Roman" w:cstheme="minorHAnsi"/>
                <w:b/>
                <w:bCs/>
                <w:sz w:val="20"/>
                <w:szCs w:val="20"/>
                <w:lang w:eastAsia="nl-BE"/>
              </w:rPr>
            </w:pPr>
            <w:r w:rsidRPr="002563F7">
              <w:rPr>
                <w:rFonts w:eastAsia="Times New Roman" w:cstheme="minorHAnsi"/>
                <w:b/>
                <w:bCs/>
                <w:sz w:val="20"/>
                <w:szCs w:val="20"/>
                <w:lang w:eastAsia="nl-BE"/>
              </w:rPr>
              <w:t>175,1</w:t>
            </w:r>
          </w:p>
        </w:tc>
        <w:tc>
          <w:tcPr>
            <w:tcW w:w="820" w:type="dxa"/>
            <w:shd w:val="clear" w:color="auto" w:fill="auto"/>
            <w:noWrap/>
            <w:vAlign w:val="center"/>
            <w:hideMark/>
          </w:tcPr>
          <w:p w14:paraId="726FA49C" w14:textId="77777777" w:rsidR="002563F7" w:rsidRPr="002563F7" w:rsidRDefault="002563F7" w:rsidP="002563F7">
            <w:pPr>
              <w:jc w:val="right"/>
              <w:rPr>
                <w:rFonts w:eastAsia="Times New Roman" w:cstheme="minorHAnsi"/>
                <w:b/>
                <w:bCs/>
                <w:sz w:val="20"/>
                <w:szCs w:val="20"/>
                <w:lang w:eastAsia="nl-BE"/>
              </w:rPr>
            </w:pPr>
            <w:r w:rsidRPr="002563F7">
              <w:rPr>
                <w:rFonts w:eastAsia="Times New Roman" w:cstheme="minorHAnsi"/>
                <w:b/>
                <w:bCs/>
                <w:sz w:val="20"/>
                <w:szCs w:val="20"/>
                <w:lang w:eastAsia="nl-BE"/>
              </w:rPr>
              <w:t>2,6%</w:t>
            </w:r>
          </w:p>
        </w:tc>
        <w:tc>
          <w:tcPr>
            <w:tcW w:w="880" w:type="dxa"/>
            <w:shd w:val="clear" w:color="auto" w:fill="auto"/>
            <w:noWrap/>
            <w:vAlign w:val="center"/>
            <w:hideMark/>
          </w:tcPr>
          <w:p w14:paraId="400AECA2" w14:textId="77777777" w:rsidR="002563F7" w:rsidRPr="002563F7" w:rsidRDefault="002563F7" w:rsidP="002563F7">
            <w:pPr>
              <w:jc w:val="right"/>
              <w:rPr>
                <w:rFonts w:eastAsia="Times New Roman" w:cstheme="minorHAnsi"/>
                <w:b/>
                <w:bCs/>
                <w:sz w:val="20"/>
                <w:szCs w:val="20"/>
                <w:lang w:eastAsia="nl-BE"/>
              </w:rPr>
            </w:pPr>
            <w:r w:rsidRPr="002563F7">
              <w:rPr>
                <w:rFonts w:eastAsia="Times New Roman" w:cstheme="minorHAnsi"/>
                <w:b/>
                <w:bCs/>
                <w:sz w:val="20"/>
                <w:szCs w:val="20"/>
                <w:lang w:eastAsia="nl-BE"/>
              </w:rPr>
              <w:t>170,9</w:t>
            </w:r>
          </w:p>
        </w:tc>
        <w:tc>
          <w:tcPr>
            <w:tcW w:w="820" w:type="dxa"/>
            <w:shd w:val="clear" w:color="auto" w:fill="auto"/>
            <w:noWrap/>
            <w:vAlign w:val="center"/>
            <w:hideMark/>
          </w:tcPr>
          <w:p w14:paraId="7E24D558" w14:textId="77777777" w:rsidR="002563F7" w:rsidRPr="002563F7" w:rsidRDefault="002563F7" w:rsidP="002563F7">
            <w:pPr>
              <w:jc w:val="right"/>
              <w:rPr>
                <w:rFonts w:eastAsia="Times New Roman" w:cstheme="minorHAnsi"/>
                <w:b/>
                <w:bCs/>
                <w:sz w:val="20"/>
                <w:szCs w:val="20"/>
                <w:lang w:eastAsia="nl-BE"/>
              </w:rPr>
            </w:pPr>
            <w:r w:rsidRPr="002563F7">
              <w:rPr>
                <w:rFonts w:eastAsia="Times New Roman" w:cstheme="minorHAnsi"/>
                <w:b/>
                <w:bCs/>
                <w:sz w:val="20"/>
                <w:szCs w:val="20"/>
                <w:lang w:eastAsia="nl-BE"/>
              </w:rPr>
              <w:t>2,6%</w:t>
            </w:r>
          </w:p>
        </w:tc>
      </w:tr>
    </w:tbl>
    <w:p w14:paraId="0CC37449" w14:textId="4150CF57" w:rsidR="002563F7" w:rsidRDefault="002563F7" w:rsidP="00FB3EC2">
      <w:pPr>
        <w:rPr>
          <w:b/>
        </w:rPr>
      </w:pPr>
    </w:p>
    <w:p w14:paraId="36B3D62F" w14:textId="7B75C825" w:rsidR="00DD3196" w:rsidRPr="002544F0" w:rsidRDefault="00DD3196" w:rsidP="002544F0">
      <w:pPr>
        <w:rPr>
          <w:rFonts w:cstheme="minorHAnsi"/>
          <w:b/>
        </w:rPr>
      </w:pPr>
    </w:p>
    <w:p w14:paraId="4A30BA85" w14:textId="77777777" w:rsidR="003B2F51" w:rsidRPr="002544F0" w:rsidRDefault="003B2F51" w:rsidP="002544F0">
      <w:pPr>
        <w:pStyle w:val="Lijstalinea"/>
        <w:numPr>
          <w:ilvl w:val="0"/>
          <w:numId w:val="14"/>
        </w:numPr>
        <w:ind w:left="426"/>
        <w:rPr>
          <w:rFonts w:cstheme="minorHAnsi"/>
          <w:u w:val="single"/>
        </w:rPr>
      </w:pPr>
      <w:r w:rsidRPr="002544F0">
        <w:rPr>
          <w:rFonts w:cstheme="minorHAnsi"/>
          <w:u w:val="single"/>
        </w:rPr>
        <w:t>Spelen en weddenschappen en automatische ontspanningstoestellen</w:t>
      </w:r>
    </w:p>
    <w:p w14:paraId="4A70640C" w14:textId="71D5BAC0" w:rsidR="003B2F51" w:rsidRPr="002544F0" w:rsidRDefault="003B2F51" w:rsidP="002544F0">
      <w:pPr>
        <w:pStyle w:val="Lijstalinea"/>
        <w:ind w:left="426"/>
        <w:jc w:val="both"/>
        <w:rPr>
          <w:rFonts w:cstheme="minorHAnsi"/>
        </w:rPr>
      </w:pPr>
      <w:r w:rsidRPr="002544F0">
        <w:rPr>
          <w:rFonts w:cstheme="minorHAnsi"/>
        </w:rPr>
        <w:t xml:space="preserve">De ontvangsten voor spelen en weddenschappen bedragen 44,6 miljoen euro, 3,5 miljoen euro minder dan voorzien bij de begrotingsaanpassing. De inning van de belasting op spelen en weddenschappen werd begin 2019 overgenomen door de Vlaamse Belastingdienst. Naar analogie met de andere belastingen hanteert de Vlaamse Belastingdienst een betaaltermijn van twee maanden na de verzending van het aanslagbiljet. Het INR heeft aangegeven dat het geen </w:t>
      </w:r>
      <w:r w:rsidRPr="002544F0">
        <w:rPr>
          <w:rFonts w:cstheme="minorHAnsi"/>
        </w:rPr>
        <w:lastRenderedPageBreak/>
        <w:t xml:space="preserve">verschuiving zal toepassen van 2 maanden om rekening te houden met deze betaaltermijn, in tegenstelling tot de werkwijze die ze hanteert bij </w:t>
      </w:r>
      <w:r w:rsidR="002544F0">
        <w:rPr>
          <w:rFonts w:cstheme="minorHAnsi"/>
        </w:rPr>
        <w:t xml:space="preserve">de </w:t>
      </w:r>
      <w:r w:rsidRPr="002544F0">
        <w:rPr>
          <w:rFonts w:cstheme="minorHAnsi"/>
        </w:rPr>
        <w:t xml:space="preserve">erfbelasting, </w:t>
      </w:r>
      <w:r w:rsidR="002544F0">
        <w:rPr>
          <w:rFonts w:cstheme="minorHAnsi"/>
        </w:rPr>
        <w:t xml:space="preserve">de </w:t>
      </w:r>
      <w:r w:rsidRPr="002544F0">
        <w:rPr>
          <w:rFonts w:cstheme="minorHAnsi"/>
        </w:rPr>
        <w:t xml:space="preserve">onroerende voorheffing en </w:t>
      </w:r>
      <w:r w:rsidR="002544F0">
        <w:rPr>
          <w:rFonts w:cstheme="minorHAnsi"/>
        </w:rPr>
        <w:t xml:space="preserve">de </w:t>
      </w:r>
      <w:r w:rsidRPr="002544F0">
        <w:rPr>
          <w:rFonts w:cstheme="minorHAnsi"/>
        </w:rPr>
        <w:t>verkeersbelasting. De reden hiervoor is dat de ontvangsten uit spelen en weddenschappen te klein zijn om een statistische correctie te verantwoorden. Aangezien het INR geen rekening houdt met de betaaltermijn van 2 maanden is er in het eerste jaar van de overname een klein, statistisch, verlies aan ontvangsten. Voor de begroting 2020 stelt er zich geen probleem.</w:t>
      </w:r>
    </w:p>
    <w:p w14:paraId="54BAF122" w14:textId="77777777" w:rsidR="003B2F51" w:rsidRPr="002544F0" w:rsidRDefault="003B2F51" w:rsidP="002544F0">
      <w:pPr>
        <w:pStyle w:val="Lijstalinea"/>
        <w:ind w:left="426"/>
        <w:jc w:val="both"/>
        <w:rPr>
          <w:rFonts w:cstheme="minorHAnsi"/>
        </w:rPr>
      </w:pPr>
    </w:p>
    <w:p w14:paraId="22C177DA" w14:textId="77777777" w:rsidR="003B2F51" w:rsidRPr="002544F0" w:rsidRDefault="003B2F51" w:rsidP="002544F0">
      <w:pPr>
        <w:pStyle w:val="Lijstalinea"/>
        <w:ind w:left="426"/>
        <w:jc w:val="both"/>
        <w:rPr>
          <w:rFonts w:cstheme="minorHAnsi"/>
        </w:rPr>
      </w:pPr>
      <w:r w:rsidRPr="002544F0">
        <w:rPr>
          <w:rFonts w:cstheme="minorHAnsi"/>
        </w:rPr>
        <w:t xml:space="preserve">De ontvangsten uit automatische ontspanningstoestellen bedragen 22,2 miljoen euro, 0,7 miljoen euro minder dan begroot. In tegenstelling tot bij Spelen en Weddenschappen speelt het effect van de betaaltermijn hier niet omdat wordt gewerkt met een aangifte voor een volledig jaar, of voor nieuwe toestellen met een aangifte aan het begin van elk kwartaal. De aanslagbiljetten voor het vierde kwartaal werden eind oktober verstuurd en hadden dus een vervaldag eind december. </w:t>
      </w:r>
    </w:p>
    <w:p w14:paraId="731F9925" w14:textId="77777777" w:rsidR="003B2F51" w:rsidRPr="002544F0" w:rsidRDefault="003B2F51" w:rsidP="002544F0">
      <w:pPr>
        <w:pStyle w:val="Lijstalinea"/>
        <w:ind w:left="426"/>
        <w:jc w:val="both"/>
        <w:rPr>
          <w:rFonts w:cstheme="minorHAnsi"/>
        </w:rPr>
      </w:pPr>
    </w:p>
    <w:p w14:paraId="1E430E10" w14:textId="77777777" w:rsidR="003B2F51" w:rsidRPr="002544F0" w:rsidRDefault="003B2F51" w:rsidP="002544F0">
      <w:pPr>
        <w:pStyle w:val="Lijstalinea"/>
        <w:numPr>
          <w:ilvl w:val="0"/>
          <w:numId w:val="14"/>
        </w:numPr>
        <w:ind w:left="426"/>
        <w:jc w:val="both"/>
        <w:rPr>
          <w:rFonts w:cstheme="minorHAnsi"/>
          <w:u w:val="single"/>
        </w:rPr>
      </w:pPr>
      <w:r w:rsidRPr="002544F0">
        <w:rPr>
          <w:rFonts w:cstheme="minorHAnsi"/>
          <w:u w:val="single"/>
        </w:rPr>
        <w:t xml:space="preserve">Verkooprecht </w:t>
      </w:r>
    </w:p>
    <w:p w14:paraId="0D7F4BC4" w14:textId="77777777" w:rsidR="003B2F51" w:rsidRPr="002544F0" w:rsidRDefault="003B2F51" w:rsidP="002544F0">
      <w:pPr>
        <w:pStyle w:val="Lijstalinea"/>
        <w:ind w:left="426"/>
        <w:jc w:val="both"/>
        <w:rPr>
          <w:rFonts w:cstheme="minorHAnsi"/>
        </w:rPr>
      </w:pPr>
      <w:r w:rsidRPr="002544F0">
        <w:rPr>
          <w:rFonts w:cstheme="minorHAnsi"/>
        </w:rPr>
        <w:t>De ontvangsten uit het verkooprecht worden geraamd op 2,7 miljard euro, 265,4 miljoen euro meer dan geraamd bij de begrotingsaanpassing. Het aantal akten lag in het vierde kwartaal een kleine 40% hoger in vergelijking met het vierde kwartaal van 2018. In de laatste monitoringnota werd voor het vierde kwartaal uitgegaan van een groei van 20%. Niettegenstaande er werd rekening gehouden met een substantieel woonbonuseffect, werd de impact van het afschaffen van de woonbonus op de registratiebelasting onderschat.</w:t>
      </w:r>
    </w:p>
    <w:p w14:paraId="678A4A69" w14:textId="77777777" w:rsidR="003B2F51" w:rsidRPr="002544F0" w:rsidRDefault="003B2F51" w:rsidP="002544F0">
      <w:pPr>
        <w:pStyle w:val="Lijstalinea"/>
        <w:ind w:left="426"/>
        <w:jc w:val="both"/>
        <w:rPr>
          <w:rFonts w:cstheme="minorHAnsi"/>
        </w:rPr>
      </w:pPr>
    </w:p>
    <w:p w14:paraId="3F557E6E" w14:textId="77777777" w:rsidR="003B2F51" w:rsidRPr="002544F0" w:rsidRDefault="003B2F51" w:rsidP="002544F0">
      <w:pPr>
        <w:pStyle w:val="Lijstalinea"/>
        <w:ind w:left="426"/>
        <w:jc w:val="both"/>
        <w:rPr>
          <w:rFonts w:cstheme="minorHAnsi"/>
        </w:rPr>
      </w:pPr>
      <w:r w:rsidRPr="002544F0">
        <w:rPr>
          <w:rFonts w:cstheme="minorHAnsi"/>
        </w:rPr>
        <w:t>Wel moet opgemerkt worden dat het gepresenteerde bedrag nog steeds een raming betreft. Ook voor de andere registratiebelastingen gaat het om ramingen. In de volgende twee paragrafen wordt toegelicht waarom de cijfers voor de registratiebelastingen in tegenstelling tot andere jaren nog niet definitief zijn in februari.</w:t>
      </w:r>
    </w:p>
    <w:p w14:paraId="4DE00519" w14:textId="77777777" w:rsidR="003B2F51" w:rsidRPr="002544F0" w:rsidRDefault="003B2F51" w:rsidP="002544F0">
      <w:pPr>
        <w:pStyle w:val="Lijstalinea"/>
        <w:ind w:left="426"/>
        <w:jc w:val="both"/>
        <w:rPr>
          <w:rFonts w:cstheme="minorHAnsi"/>
        </w:rPr>
      </w:pPr>
    </w:p>
    <w:p w14:paraId="26306055" w14:textId="77777777" w:rsidR="003B2F51" w:rsidRPr="002544F0" w:rsidRDefault="003B2F51" w:rsidP="002544F0">
      <w:pPr>
        <w:pStyle w:val="Lijstalinea"/>
        <w:ind w:left="426"/>
        <w:jc w:val="both"/>
        <w:rPr>
          <w:rFonts w:cstheme="minorHAnsi"/>
        </w:rPr>
      </w:pPr>
      <w:r w:rsidRPr="002544F0">
        <w:rPr>
          <w:rFonts w:cstheme="minorHAnsi"/>
        </w:rPr>
        <w:t>Na het verlijden van een akte zorgt de notaris voor de registratie van de akte op het registratiekantoor. Vervolgens stroomt de akte door naar de Vlaamse Belastingdienst. Pas dan kan de akte getaxeerd worden en een aanslagbiljet worden verzonden. Na ontvangst van het aanslagbiljet betaalt de notaris voor rekening van de belastingplichtige de belasting. Tussen de datum van notariële akte en de betaling van de registratiebelasting verloopt iets meer dan een maand. In theorie bepaalt de datum van de notariële akte het begrotingsjaar, maar in de praktijk hanteert het INR een pragmatische regel. Het INR kijkt naar de kasontvangsten en past een verschuiving van één maand toe om rekening te houden met de doorlooptijd van datum van de notariële akte tot betaling van de belasting. Voor begrotingsjaar 2019 zou dit bijvoorbeeld betekenen dat de ontvangsten worden bepaald door de ontvangsten van februari 2019 tot en met januari 2020.</w:t>
      </w:r>
    </w:p>
    <w:p w14:paraId="28EC64F6" w14:textId="77777777" w:rsidR="003B2F51" w:rsidRPr="002544F0" w:rsidRDefault="003B2F51" w:rsidP="002544F0">
      <w:pPr>
        <w:pStyle w:val="Lijstalinea"/>
        <w:ind w:left="426"/>
        <w:jc w:val="both"/>
        <w:rPr>
          <w:rFonts w:cstheme="minorHAnsi"/>
        </w:rPr>
      </w:pPr>
    </w:p>
    <w:p w14:paraId="0FEA012B" w14:textId="77777777" w:rsidR="003B2F51" w:rsidRPr="002544F0" w:rsidRDefault="003B2F51" w:rsidP="002544F0">
      <w:pPr>
        <w:pStyle w:val="Lijstalinea"/>
        <w:ind w:left="426"/>
        <w:jc w:val="both"/>
        <w:rPr>
          <w:rFonts w:cstheme="minorHAnsi"/>
        </w:rPr>
      </w:pPr>
      <w:r w:rsidRPr="002544F0">
        <w:rPr>
          <w:rFonts w:cstheme="minorHAnsi"/>
        </w:rPr>
        <w:t>Door de uitzonderlijke omstandigheden dit jaar zal het INR uitzonderlijk van de pragmatische regel afwijken. Omwille van het grote aantal akten eind 2019 kan de normale doorlooptijd van 1 maand niet gehaald worden. We spreken voor december 2019 van een verdubbeling van het aantal verleden verkoopakten in vergelijking met een normale maand december. Met die volumes is het evident dat de doorlooptijd toeneemt, zowel bij de registratiekantoren als bij de Vlaamse Belastingdienst. Daarom zal een bijkomende correctie nodig zijn door ook de ontvangsten uit notariële akten 2019 die pas na 31 januari 2020 worden betaald aan te rekenen op 2019. De omvang van die bijkomende correctie is momenteel nog een raming en zal pas eind februari definitief vastgesteld kunnen worden.</w:t>
      </w:r>
    </w:p>
    <w:p w14:paraId="1F3B9342" w14:textId="77777777" w:rsidR="003B2F51" w:rsidRPr="002544F0" w:rsidRDefault="003B2F51" w:rsidP="002544F0">
      <w:pPr>
        <w:pStyle w:val="Lijstalinea"/>
        <w:ind w:left="426"/>
        <w:jc w:val="both"/>
        <w:rPr>
          <w:rFonts w:cstheme="minorHAnsi"/>
        </w:rPr>
      </w:pPr>
    </w:p>
    <w:p w14:paraId="4B8D0D23" w14:textId="77777777" w:rsidR="003B2F51" w:rsidRPr="000C3203" w:rsidRDefault="003B2F51" w:rsidP="002544F0">
      <w:pPr>
        <w:pStyle w:val="Lijstalinea"/>
        <w:numPr>
          <w:ilvl w:val="0"/>
          <w:numId w:val="14"/>
        </w:numPr>
        <w:ind w:left="426"/>
        <w:jc w:val="both"/>
        <w:rPr>
          <w:rFonts w:cstheme="minorHAnsi"/>
          <w:u w:val="single"/>
        </w:rPr>
      </w:pPr>
      <w:r w:rsidRPr="000C3203">
        <w:rPr>
          <w:rFonts w:cstheme="minorHAnsi"/>
          <w:u w:val="single"/>
        </w:rPr>
        <w:t>Verdeelrecht</w:t>
      </w:r>
    </w:p>
    <w:p w14:paraId="7D3DE076" w14:textId="77777777" w:rsidR="003B2F51" w:rsidRPr="002544F0" w:rsidRDefault="003B2F51" w:rsidP="002544F0">
      <w:pPr>
        <w:pStyle w:val="Lijstalinea"/>
        <w:ind w:left="426"/>
        <w:jc w:val="both"/>
        <w:rPr>
          <w:rFonts w:cstheme="minorHAnsi"/>
        </w:rPr>
      </w:pPr>
      <w:r w:rsidRPr="002544F0">
        <w:rPr>
          <w:rFonts w:cstheme="minorHAnsi"/>
        </w:rPr>
        <w:t>De ontvangsten uit het verdeelrecht worden geraamd op 78,3 miljoen euro, 2,9 miljoen euro meer dan begroot.</w:t>
      </w:r>
    </w:p>
    <w:p w14:paraId="49D90C86" w14:textId="77777777" w:rsidR="003B2F51" w:rsidRPr="002544F0" w:rsidRDefault="003B2F51" w:rsidP="002544F0">
      <w:pPr>
        <w:pStyle w:val="Lijstalinea"/>
        <w:ind w:left="426"/>
        <w:jc w:val="both"/>
        <w:rPr>
          <w:rFonts w:cstheme="minorHAnsi"/>
        </w:rPr>
      </w:pPr>
    </w:p>
    <w:p w14:paraId="26C23BAF" w14:textId="77777777" w:rsidR="003B2F51" w:rsidRPr="00CC6EA2" w:rsidRDefault="003B2F51" w:rsidP="002544F0">
      <w:pPr>
        <w:pStyle w:val="Lijstalinea"/>
        <w:numPr>
          <w:ilvl w:val="0"/>
          <w:numId w:val="14"/>
        </w:numPr>
        <w:ind w:left="426"/>
        <w:jc w:val="both"/>
        <w:rPr>
          <w:rFonts w:cstheme="minorHAnsi"/>
          <w:u w:val="single"/>
        </w:rPr>
      </w:pPr>
      <w:r w:rsidRPr="00CC6EA2">
        <w:rPr>
          <w:rFonts w:cstheme="minorHAnsi"/>
          <w:u w:val="single"/>
        </w:rPr>
        <w:lastRenderedPageBreak/>
        <w:t>Recht op hypotheekvestiging</w:t>
      </w:r>
    </w:p>
    <w:p w14:paraId="04787B99" w14:textId="218D42EA" w:rsidR="003B2F51" w:rsidRPr="002544F0" w:rsidRDefault="003B2F51" w:rsidP="002544F0">
      <w:pPr>
        <w:pStyle w:val="Lijstalinea"/>
        <w:ind w:left="426"/>
        <w:jc w:val="both"/>
        <w:rPr>
          <w:rFonts w:cstheme="minorHAnsi"/>
        </w:rPr>
      </w:pPr>
      <w:r w:rsidRPr="002544F0">
        <w:rPr>
          <w:rFonts w:cstheme="minorHAnsi"/>
        </w:rPr>
        <w:t>De ontvangsten uit het recht op hypotheekvestiging worden geraamd op 204,1 miljoen euro, 40,5 miljoen euro meer dan begroot. Ook hier speelt uiteraard het effect van het afschaffen van de woonbonus. De positieve impact op de ontvangsten is relatief gezien groter dan bij het verkooprecht. In het vierde kwartaal was er een toename van het volume met 80% in vergelijking met het vierde kwartaal 2018. Het massaal opnemen van hypothecaire kredieten voor renovaties en het herzien van lopende hypothecaire kredieten in functie van fiscale optimalisatie verklaren de spectaculaire toename van de ontvangsten uit het recht op hypotheekvestiging.</w:t>
      </w:r>
    </w:p>
    <w:p w14:paraId="1D2A59F3" w14:textId="77777777" w:rsidR="003B2F51" w:rsidRPr="002544F0" w:rsidRDefault="003B2F51" w:rsidP="002544F0">
      <w:pPr>
        <w:pStyle w:val="Lijstalinea"/>
        <w:ind w:left="426"/>
        <w:jc w:val="both"/>
        <w:rPr>
          <w:rFonts w:cstheme="minorHAnsi"/>
        </w:rPr>
      </w:pPr>
    </w:p>
    <w:p w14:paraId="7CC9900C" w14:textId="77777777" w:rsidR="003B2F51" w:rsidRPr="00CC6EA2" w:rsidRDefault="003B2F51" w:rsidP="002544F0">
      <w:pPr>
        <w:pStyle w:val="Lijstalinea"/>
        <w:numPr>
          <w:ilvl w:val="0"/>
          <w:numId w:val="14"/>
        </w:numPr>
        <w:ind w:left="426"/>
        <w:jc w:val="both"/>
        <w:rPr>
          <w:rFonts w:cstheme="minorHAnsi"/>
          <w:u w:val="single"/>
        </w:rPr>
      </w:pPr>
      <w:r w:rsidRPr="00CC6EA2">
        <w:rPr>
          <w:rFonts w:cstheme="minorHAnsi"/>
          <w:u w:val="single"/>
        </w:rPr>
        <w:t>Schenkbelasting</w:t>
      </w:r>
    </w:p>
    <w:p w14:paraId="5BA81538" w14:textId="77777777" w:rsidR="003B2F51" w:rsidRPr="002544F0" w:rsidRDefault="003B2F51" w:rsidP="002544F0">
      <w:pPr>
        <w:pStyle w:val="Lijstalinea"/>
        <w:ind w:left="426"/>
        <w:jc w:val="both"/>
        <w:rPr>
          <w:rFonts w:cstheme="minorHAnsi"/>
        </w:rPr>
      </w:pPr>
      <w:r w:rsidRPr="002544F0">
        <w:rPr>
          <w:rFonts w:cstheme="minorHAnsi"/>
        </w:rPr>
        <w:t>De ontvangsten uit schenkbelasting worden geraamd op 342,8 miljoen euro, 15 miljoen euro minder dan begroot. Bij de begrotingsaanpassing was uitgegaan van een herstel van zowel de roerende als de onroerende schenkingen, die in 2018 waren teruggevallen. Dat herstel heeft zich enkel gerealiseerd bij de onroerende schenkingen.</w:t>
      </w:r>
    </w:p>
    <w:p w14:paraId="5A42DEBB" w14:textId="77777777" w:rsidR="003B2F51" w:rsidRPr="002544F0" w:rsidRDefault="003B2F51" w:rsidP="002544F0">
      <w:pPr>
        <w:pStyle w:val="Lijstalinea"/>
        <w:ind w:left="426"/>
        <w:jc w:val="both"/>
        <w:rPr>
          <w:rFonts w:cstheme="minorHAnsi"/>
        </w:rPr>
      </w:pPr>
    </w:p>
    <w:p w14:paraId="5267A085" w14:textId="77777777" w:rsidR="003B2F51" w:rsidRPr="00CC6EA2" w:rsidRDefault="003B2F51" w:rsidP="002544F0">
      <w:pPr>
        <w:pStyle w:val="Lijstalinea"/>
        <w:numPr>
          <w:ilvl w:val="0"/>
          <w:numId w:val="14"/>
        </w:numPr>
        <w:ind w:left="426"/>
        <w:jc w:val="both"/>
        <w:rPr>
          <w:rFonts w:cstheme="minorHAnsi"/>
          <w:u w:val="single"/>
        </w:rPr>
      </w:pPr>
      <w:r w:rsidRPr="00CC6EA2">
        <w:rPr>
          <w:rFonts w:cstheme="minorHAnsi"/>
          <w:u w:val="single"/>
        </w:rPr>
        <w:t>Erfbelasting</w:t>
      </w:r>
    </w:p>
    <w:p w14:paraId="6C86006E" w14:textId="77777777" w:rsidR="003B2F51" w:rsidRPr="002544F0" w:rsidRDefault="003B2F51" w:rsidP="002544F0">
      <w:pPr>
        <w:pStyle w:val="Lijstalinea"/>
        <w:ind w:left="426"/>
        <w:jc w:val="both"/>
        <w:rPr>
          <w:rFonts w:cstheme="minorHAnsi"/>
        </w:rPr>
      </w:pPr>
      <w:r w:rsidRPr="002544F0">
        <w:rPr>
          <w:rFonts w:cstheme="minorHAnsi"/>
        </w:rPr>
        <w:t>De ontvangsten uit erfbelasting worden geraamd op 1,337 miljard euro, 111,3 miljoen euro minder dan voorzien bij de begrotingsaanpassing. Het INR rekent de kasontvangsten tot en met februari 2020 aan op begrotingsjaar 2019</w:t>
      </w:r>
      <w:r w:rsidRPr="002544F0">
        <w:rPr>
          <w:rStyle w:val="Voetnootmarkering"/>
          <w:rFonts w:cstheme="minorHAnsi"/>
        </w:rPr>
        <w:footnoteReference w:id="2"/>
      </w:r>
      <w:r w:rsidRPr="002544F0">
        <w:rPr>
          <w:rFonts w:cstheme="minorHAnsi"/>
        </w:rPr>
        <w:t>, vandaar dat het nog steeds een raming betreft.</w:t>
      </w:r>
    </w:p>
    <w:p w14:paraId="6BCB6E4D" w14:textId="77777777" w:rsidR="003B2F51" w:rsidRPr="002544F0" w:rsidRDefault="003B2F51" w:rsidP="002544F0">
      <w:pPr>
        <w:pStyle w:val="Lijstalinea"/>
        <w:ind w:left="426"/>
        <w:jc w:val="both"/>
        <w:rPr>
          <w:rFonts w:cstheme="minorHAnsi"/>
        </w:rPr>
      </w:pPr>
    </w:p>
    <w:p w14:paraId="76536100" w14:textId="77777777" w:rsidR="003B2F51" w:rsidRPr="002544F0" w:rsidRDefault="003B2F51" w:rsidP="002544F0">
      <w:pPr>
        <w:pStyle w:val="Lijstalinea"/>
        <w:ind w:left="426"/>
        <w:jc w:val="both"/>
        <w:rPr>
          <w:rFonts w:cstheme="minorHAnsi"/>
        </w:rPr>
      </w:pPr>
      <w:r w:rsidRPr="002544F0">
        <w:rPr>
          <w:rFonts w:cstheme="minorHAnsi"/>
        </w:rPr>
        <w:t xml:space="preserve">Enerzijds is er een structurele daling van het gemiddelde recht. Door de hervorming van het federale erfrecht is het deel van de nalatenschap waarover men vrij kan beschikken vergroot. We stellen vast dat als gevolg hiervan er relatief meer vermogen wordt nagelaten aan de partner en dit ten koste van de kinderen. Gegeven de vrijstellingen die gelden voor de partner resulteert dit netto in minder te betalen erfbelasting. Daarnaast stellen we vast dat er minder wordt nagelaten in de zijlijn. </w:t>
      </w:r>
    </w:p>
    <w:p w14:paraId="77BD45E4" w14:textId="77777777" w:rsidR="003B2F51" w:rsidRPr="002544F0" w:rsidRDefault="003B2F51" w:rsidP="002544F0">
      <w:pPr>
        <w:pStyle w:val="Lijstalinea"/>
        <w:ind w:left="426"/>
        <w:jc w:val="both"/>
        <w:rPr>
          <w:rFonts w:cstheme="minorHAnsi"/>
        </w:rPr>
      </w:pPr>
    </w:p>
    <w:p w14:paraId="332F36A3" w14:textId="77777777" w:rsidR="003B2F51" w:rsidRPr="002544F0" w:rsidRDefault="003B2F51" w:rsidP="002544F0">
      <w:pPr>
        <w:pStyle w:val="Lijstalinea"/>
        <w:ind w:left="426"/>
        <w:jc w:val="both"/>
        <w:rPr>
          <w:rFonts w:cstheme="minorHAnsi"/>
        </w:rPr>
      </w:pPr>
      <w:r w:rsidRPr="002544F0">
        <w:rPr>
          <w:rFonts w:cstheme="minorHAnsi"/>
        </w:rPr>
        <w:t xml:space="preserve">Anderzijds zijn er minder overlijdens. Op de begroting 2020 verwachten we hiervan geen effect. </w:t>
      </w:r>
    </w:p>
    <w:p w14:paraId="354FD9F7" w14:textId="77777777" w:rsidR="003B2F51" w:rsidRPr="002544F0" w:rsidRDefault="003B2F51" w:rsidP="002544F0">
      <w:pPr>
        <w:pStyle w:val="Lijstalinea"/>
        <w:ind w:left="426"/>
        <w:jc w:val="both"/>
        <w:rPr>
          <w:rFonts w:cstheme="minorHAnsi"/>
        </w:rPr>
      </w:pPr>
    </w:p>
    <w:p w14:paraId="5369AEE6" w14:textId="77777777" w:rsidR="003B2F51" w:rsidRPr="002544F0" w:rsidRDefault="003B2F51" w:rsidP="002544F0">
      <w:pPr>
        <w:pStyle w:val="Lijstalinea"/>
        <w:ind w:left="426"/>
        <w:jc w:val="both"/>
        <w:rPr>
          <w:rFonts w:cstheme="minorHAnsi"/>
        </w:rPr>
      </w:pPr>
      <w:r w:rsidRPr="002544F0">
        <w:rPr>
          <w:rFonts w:cstheme="minorHAnsi"/>
        </w:rPr>
        <w:t>De ontvangsten uit de fiscale regularisatie bedragen 12,6 miljoen euro, 2,4 miljoen euro minder dan voorzien bij de begrotingsaanpassing.</w:t>
      </w:r>
    </w:p>
    <w:p w14:paraId="1867830D" w14:textId="77777777" w:rsidR="003B2F51" w:rsidRPr="002544F0" w:rsidRDefault="003B2F51" w:rsidP="002544F0">
      <w:pPr>
        <w:pStyle w:val="Lijstalinea"/>
        <w:ind w:left="426"/>
        <w:jc w:val="both"/>
        <w:rPr>
          <w:rFonts w:cstheme="minorHAnsi"/>
        </w:rPr>
      </w:pPr>
    </w:p>
    <w:p w14:paraId="561B46DD" w14:textId="77777777" w:rsidR="003B2F51" w:rsidRPr="00592FAC" w:rsidRDefault="003B2F51" w:rsidP="002544F0">
      <w:pPr>
        <w:pStyle w:val="Lijstalinea"/>
        <w:numPr>
          <w:ilvl w:val="0"/>
          <w:numId w:val="14"/>
        </w:numPr>
        <w:ind w:left="426"/>
        <w:jc w:val="both"/>
        <w:rPr>
          <w:rFonts w:cstheme="minorHAnsi"/>
          <w:u w:val="single"/>
        </w:rPr>
      </w:pPr>
      <w:r w:rsidRPr="00592FAC">
        <w:rPr>
          <w:rFonts w:cstheme="minorHAnsi"/>
          <w:u w:val="single"/>
        </w:rPr>
        <w:t>Onroerende voorheffing</w:t>
      </w:r>
    </w:p>
    <w:p w14:paraId="6F7A6E83" w14:textId="77777777" w:rsidR="003B2F51" w:rsidRPr="002544F0" w:rsidRDefault="003B2F51" w:rsidP="002544F0">
      <w:pPr>
        <w:pStyle w:val="Lijstalinea"/>
        <w:ind w:left="426"/>
        <w:jc w:val="both"/>
        <w:rPr>
          <w:rFonts w:cstheme="minorHAnsi"/>
        </w:rPr>
      </w:pPr>
      <w:r w:rsidRPr="002544F0">
        <w:rPr>
          <w:rFonts w:cstheme="minorHAnsi"/>
        </w:rPr>
        <w:t>De ontvangsten uit de onroerende voorheffing worden geraamd op 223,3 miljoen euro en liggen daarmee 0,3 miljoen euro lager dan voorzien bij de begrotingsaanpassing.</w:t>
      </w:r>
    </w:p>
    <w:p w14:paraId="46EE9CD0" w14:textId="77777777" w:rsidR="003B2F51" w:rsidRPr="002544F0" w:rsidRDefault="003B2F51" w:rsidP="002544F0">
      <w:pPr>
        <w:pStyle w:val="Lijstalinea"/>
        <w:ind w:left="426"/>
        <w:jc w:val="both"/>
        <w:rPr>
          <w:rFonts w:cstheme="minorHAnsi"/>
        </w:rPr>
      </w:pPr>
    </w:p>
    <w:p w14:paraId="4B02AFE7" w14:textId="77777777" w:rsidR="003B2F51" w:rsidRPr="00592FAC" w:rsidRDefault="003B2F51" w:rsidP="002544F0">
      <w:pPr>
        <w:pStyle w:val="Lijstalinea"/>
        <w:numPr>
          <w:ilvl w:val="0"/>
          <w:numId w:val="14"/>
        </w:numPr>
        <w:ind w:left="426"/>
        <w:jc w:val="both"/>
        <w:rPr>
          <w:rFonts w:cstheme="minorHAnsi"/>
          <w:u w:val="single"/>
        </w:rPr>
      </w:pPr>
      <w:r w:rsidRPr="00592FAC">
        <w:rPr>
          <w:rFonts w:cstheme="minorHAnsi"/>
          <w:u w:val="single"/>
        </w:rPr>
        <w:t>Verkeersbelasting</w:t>
      </w:r>
    </w:p>
    <w:p w14:paraId="412310AD" w14:textId="77777777" w:rsidR="003B2F51" w:rsidRPr="002544F0" w:rsidRDefault="003B2F51" w:rsidP="002544F0">
      <w:pPr>
        <w:pStyle w:val="Lijstalinea"/>
        <w:ind w:left="426"/>
        <w:jc w:val="both"/>
        <w:rPr>
          <w:rFonts w:cstheme="minorHAnsi"/>
        </w:rPr>
      </w:pPr>
      <w:r w:rsidRPr="002544F0">
        <w:rPr>
          <w:rFonts w:cstheme="minorHAnsi"/>
        </w:rPr>
        <w:t>De ontvangsten uit de verkeersbelasting worden geraamd op 1,105 miljard euro, 3,6 miljoen euro minder dan begroot.</w:t>
      </w:r>
    </w:p>
    <w:p w14:paraId="79439BEE" w14:textId="77777777" w:rsidR="003B2F51" w:rsidRPr="002544F0" w:rsidRDefault="003B2F51" w:rsidP="002544F0">
      <w:pPr>
        <w:pStyle w:val="Lijstalinea"/>
        <w:ind w:left="426"/>
        <w:rPr>
          <w:rFonts w:cstheme="minorHAnsi"/>
        </w:rPr>
      </w:pPr>
    </w:p>
    <w:p w14:paraId="31C1E68F" w14:textId="77777777" w:rsidR="003B2F51" w:rsidRPr="00592FAC" w:rsidRDefault="003B2F51" w:rsidP="002544F0">
      <w:pPr>
        <w:pStyle w:val="Lijstalinea"/>
        <w:numPr>
          <w:ilvl w:val="0"/>
          <w:numId w:val="14"/>
        </w:numPr>
        <w:ind w:left="426"/>
        <w:jc w:val="both"/>
        <w:rPr>
          <w:rFonts w:cstheme="minorHAnsi"/>
          <w:u w:val="single"/>
        </w:rPr>
      </w:pPr>
      <w:r w:rsidRPr="00592FAC">
        <w:rPr>
          <w:rFonts w:cstheme="minorHAnsi"/>
          <w:u w:val="single"/>
        </w:rPr>
        <w:t>Belasting op de inverkeerstelling</w:t>
      </w:r>
    </w:p>
    <w:p w14:paraId="76B6C168" w14:textId="77777777" w:rsidR="003B2F51" w:rsidRPr="002544F0" w:rsidRDefault="003B2F51" w:rsidP="002544F0">
      <w:pPr>
        <w:pStyle w:val="Lijstalinea"/>
        <w:ind w:left="426"/>
        <w:jc w:val="both"/>
        <w:rPr>
          <w:rFonts w:cstheme="minorHAnsi"/>
        </w:rPr>
      </w:pPr>
      <w:r w:rsidRPr="002544F0">
        <w:rPr>
          <w:rFonts w:cstheme="minorHAnsi"/>
        </w:rPr>
        <w:t>De ontvangsten uit de belasting op de inverkeerstelling bedragen 295,9 miljoen euro, ofwel 6,5 miljoen euro meer dan voorzien bij de begrotingsaanpassing.</w:t>
      </w:r>
    </w:p>
    <w:p w14:paraId="5C269B3B" w14:textId="77777777" w:rsidR="003B2F51" w:rsidRPr="002544F0" w:rsidRDefault="003B2F51" w:rsidP="002544F0">
      <w:pPr>
        <w:pStyle w:val="Lijstalinea"/>
        <w:ind w:left="426"/>
        <w:jc w:val="both"/>
        <w:rPr>
          <w:rFonts w:cstheme="minorHAnsi"/>
        </w:rPr>
      </w:pPr>
    </w:p>
    <w:p w14:paraId="501E085D" w14:textId="77777777" w:rsidR="003B2F51" w:rsidRPr="00592FAC" w:rsidRDefault="003B2F51" w:rsidP="002544F0">
      <w:pPr>
        <w:pStyle w:val="Lijstalinea"/>
        <w:numPr>
          <w:ilvl w:val="0"/>
          <w:numId w:val="14"/>
        </w:numPr>
        <w:ind w:left="426"/>
        <w:jc w:val="both"/>
        <w:rPr>
          <w:rFonts w:cstheme="minorHAnsi"/>
          <w:u w:val="single"/>
        </w:rPr>
      </w:pPr>
      <w:r w:rsidRPr="00592FAC">
        <w:rPr>
          <w:rFonts w:cstheme="minorHAnsi"/>
          <w:u w:val="single"/>
        </w:rPr>
        <w:t>Kilometerheffing</w:t>
      </w:r>
    </w:p>
    <w:p w14:paraId="2B33C123" w14:textId="77777777" w:rsidR="003B2F51" w:rsidRPr="002544F0" w:rsidRDefault="003B2F51" w:rsidP="002544F0">
      <w:pPr>
        <w:pStyle w:val="Lijstalinea"/>
        <w:ind w:left="426"/>
        <w:jc w:val="both"/>
        <w:rPr>
          <w:rFonts w:cstheme="minorHAnsi"/>
        </w:rPr>
      </w:pPr>
      <w:r w:rsidRPr="002544F0">
        <w:rPr>
          <w:rFonts w:cstheme="minorHAnsi"/>
        </w:rPr>
        <w:t>De ontvangsten uit de kilometerheffing bedragen 461,1 miljoen euro, ofwel 3,3 miljoen euro minder dan voorzien bij de begrotingsaanpassing. Tijdens de kerstvakantie was de terugval van de ontvangsten hoger dan voorzien.</w:t>
      </w:r>
    </w:p>
    <w:p w14:paraId="708C1C90" w14:textId="77777777" w:rsidR="003B2F51" w:rsidRPr="002544F0" w:rsidRDefault="003B2F51" w:rsidP="002544F0">
      <w:pPr>
        <w:rPr>
          <w:rFonts w:cstheme="minorHAnsi"/>
          <w:b/>
        </w:rPr>
      </w:pPr>
    </w:p>
    <w:p w14:paraId="1E1B744E" w14:textId="63A80000" w:rsidR="00616B7C" w:rsidRPr="002544F0" w:rsidRDefault="00616B7C" w:rsidP="002544F0">
      <w:pPr>
        <w:rPr>
          <w:rFonts w:cstheme="minorHAnsi"/>
          <w:b/>
        </w:rPr>
      </w:pPr>
    </w:p>
    <w:p w14:paraId="77743B95" w14:textId="02A50863" w:rsidR="0099354C" w:rsidRPr="0045709D" w:rsidRDefault="00317F92" w:rsidP="0021126E">
      <w:pPr>
        <w:pStyle w:val="Kop3"/>
        <w:numPr>
          <w:ilvl w:val="1"/>
          <w:numId w:val="24"/>
        </w:numPr>
      </w:pPr>
      <w:r w:rsidRPr="0045709D">
        <w:lastRenderedPageBreak/>
        <w:t xml:space="preserve">Opcentiemen </w:t>
      </w:r>
      <w:r w:rsidR="00F64761" w:rsidRPr="0045709D">
        <w:t xml:space="preserve">(HRF:  </w:t>
      </w:r>
      <w:r w:rsidR="0021126E" w:rsidRPr="0045709D">
        <w:t>+1,6</w:t>
      </w:r>
      <w:r w:rsidR="00F617F9" w:rsidRPr="0045709D">
        <w:t xml:space="preserve"> miljoen t.o.v. B</w:t>
      </w:r>
      <w:r w:rsidR="001217BB" w:rsidRPr="0045709D">
        <w:t>A</w:t>
      </w:r>
      <w:r w:rsidR="00F617F9" w:rsidRPr="0045709D">
        <w:t xml:space="preserve"> 201</w:t>
      </w:r>
      <w:r w:rsidR="00B36408" w:rsidRPr="0045709D">
        <w:t>9</w:t>
      </w:r>
      <w:r w:rsidR="001843B0" w:rsidRPr="0045709D">
        <w:t xml:space="preserve">; </w:t>
      </w:r>
      <w:r w:rsidR="0021126E" w:rsidRPr="0045709D">
        <w:t>+5,0</w:t>
      </w:r>
      <w:r w:rsidR="00B36408" w:rsidRPr="0045709D">
        <w:t xml:space="preserve"> </w:t>
      </w:r>
      <w:r w:rsidR="001843B0" w:rsidRPr="0045709D">
        <w:t xml:space="preserve">miljoen t.o.v. </w:t>
      </w:r>
      <w:r w:rsidR="0021126E" w:rsidRPr="0045709D">
        <w:t>december</w:t>
      </w:r>
      <w:r w:rsidR="00F617F9" w:rsidRPr="0045709D">
        <w:t xml:space="preserve">) </w:t>
      </w:r>
    </w:p>
    <w:p w14:paraId="411EB459" w14:textId="77777777" w:rsidR="00F617F9" w:rsidRPr="00F617F9" w:rsidRDefault="00F617F9" w:rsidP="00F617F9"/>
    <w:p w14:paraId="51F97F7D" w14:textId="77777777" w:rsidR="00BB2882" w:rsidRPr="009144C8" w:rsidRDefault="00F64761" w:rsidP="009144C8">
      <w:pPr>
        <w:pStyle w:val="Lijstalinea"/>
        <w:ind w:left="0"/>
        <w:jc w:val="both"/>
        <w:rPr>
          <w:rFonts w:cstheme="minorHAnsi"/>
        </w:rPr>
      </w:pPr>
      <w:r w:rsidRPr="00424E2A">
        <w:t>De Hoge Raad voor Financiën hanteert een specifieke invalshoek om de aanrekenbare ontvangsten</w:t>
      </w:r>
      <w:r>
        <w:t xml:space="preserve"> te bepalen. De HRF</w:t>
      </w:r>
      <w:r w:rsidRPr="008C2856">
        <w:t xml:space="preserve"> hanteert een nominale definitie van de netto-opcentiemen</w:t>
      </w:r>
      <w:r>
        <w:t xml:space="preserve"> (</w:t>
      </w:r>
      <w:r w:rsidR="00E32262">
        <w:t xml:space="preserve">netto-opcentiemen </w:t>
      </w:r>
      <w:r>
        <w:t>= bruto-opcentiemen verminderd met fiscale uitgaven)</w:t>
      </w:r>
      <w:r w:rsidR="00BB2882">
        <w:t xml:space="preserve">. </w:t>
      </w:r>
      <w:r w:rsidR="00BB2882" w:rsidRPr="00BB2882">
        <w:rPr>
          <w:rFonts w:cstheme="minorHAnsi"/>
        </w:rPr>
        <w:t xml:space="preserve">Volgens de HRF-methode worden de aanrekenbare opcentiemen </w:t>
      </w:r>
      <w:r w:rsidR="00BB2882" w:rsidRPr="009144C8">
        <w:rPr>
          <w:rFonts w:cstheme="minorHAnsi"/>
        </w:rPr>
        <w:t>van het begrotingsjaar T bekomen door de som te maken van:</w:t>
      </w:r>
    </w:p>
    <w:p w14:paraId="6B9CD159" w14:textId="75DA23D7" w:rsidR="009144C8" w:rsidRPr="009144C8" w:rsidRDefault="009144C8" w:rsidP="009144C8">
      <w:pPr>
        <w:pStyle w:val="Lijstalinea"/>
        <w:numPr>
          <w:ilvl w:val="0"/>
          <w:numId w:val="26"/>
        </w:numPr>
        <w:jc w:val="both"/>
        <w:rPr>
          <w:rFonts w:cstheme="minorHAnsi"/>
        </w:rPr>
      </w:pPr>
      <w:r w:rsidRPr="009144C8">
        <w:rPr>
          <w:rFonts w:cstheme="minorHAnsi"/>
        </w:rPr>
        <w:t xml:space="preserve">de </w:t>
      </w:r>
      <w:r>
        <w:rPr>
          <w:rFonts w:cstheme="minorHAnsi"/>
        </w:rPr>
        <w:t>‘</w:t>
      </w:r>
      <w:r w:rsidRPr="009144C8">
        <w:rPr>
          <w:rFonts w:cstheme="minorHAnsi"/>
        </w:rPr>
        <w:t>voorschotten</w:t>
      </w:r>
      <w:r>
        <w:rPr>
          <w:rFonts w:cstheme="minorHAnsi"/>
        </w:rPr>
        <w:t>’</w:t>
      </w:r>
      <w:r w:rsidRPr="009144C8">
        <w:rPr>
          <w:rFonts w:cstheme="minorHAnsi"/>
        </w:rPr>
        <w:t xml:space="preserve"> met betrekking tot het aanslagjaar T die door de FOD Financiën tijdens het jaar T zelf aan het betrokken gewest betaald worden. Het bedrag van de voorschotten is gebaseerd op de raming (door de FOD Financiën) van de opcentiemen voor dat aanslagjaar T en houdt rekening met een vooropgestelde inningscoëfficiënt</w:t>
      </w:r>
      <w:r w:rsidR="008413B9">
        <w:rPr>
          <w:rFonts w:cstheme="minorHAnsi"/>
        </w:rPr>
        <w:t xml:space="preserve"> (99,3</w:t>
      </w:r>
      <w:r w:rsidR="00E32262">
        <w:rPr>
          <w:rFonts w:cstheme="minorHAnsi"/>
        </w:rPr>
        <w:t>7% voor aanslagjaar 201</w:t>
      </w:r>
      <w:r w:rsidR="008413B9">
        <w:rPr>
          <w:rFonts w:cstheme="minorHAnsi"/>
        </w:rPr>
        <w:t>9</w:t>
      </w:r>
      <w:r w:rsidR="00E32262">
        <w:rPr>
          <w:rFonts w:cstheme="minorHAnsi"/>
        </w:rPr>
        <w:t>)</w:t>
      </w:r>
      <w:r w:rsidRPr="009144C8">
        <w:rPr>
          <w:rFonts w:cstheme="minorHAnsi"/>
        </w:rPr>
        <w:t>;</w:t>
      </w:r>
    </w:p>
    <w:p w14:paraId="7A183598" w14:textId="77777777" w:rsidR="009144C8" w:rsidRPr="009144C8" w:rsidRDefault="009144C8" w:rsidP="009144C8">
      <w:pPr>
        <w:pStyle w:val="Lijstalinea"/>
        <w:numPr>
          <w:ilvl w:val="0"/>
          <w:numId w:val="26"/>
        </w:numPr>
        <w:jc w:val="both"/>
        <w:rPr>
          <w:rFonts w:cstheme="minorHAnsi"/>
        </w:rPr>
      </w:pPr>
      <w:r w:rsidRPr="009144C8">
        <w:rPr>
          <w:rFonts w:cstheme="minorHAnsi"/>
        </w:rPr>
        <w:t xml:space="preserve">de </w:t>
      </w:r>
      <w:r>
        <w:rPr>
          <w:rFonts w:cstheme="minorHAnsi"/>
        </w:rPr>
        <w:t>‘</w:t>
      </w:r>
      <w:r w:rsidRPr="009144C8">
        <w:rPr>
          <w:rFonts w:cstheme="minorHAnsi"/>
        </w:rPr>
        <w:t>voorfinanciering</w:t>
      </w:r>
      <w:r>
        <w:rPr>
          <w:rFonts w:cstheme="minorHAnsi"/>
        </w:rPr>
        <w:t>’</w:t>
      </w:r>
      <w:r w:rsidRPr="009144C8">
        <w:rPr>
          <w:rFonts w:cstheme="minorHAnsi"/>
        </w:rPr>
        <w:t xml:space="preserve"> met betrekking tot vorige aanslagjaren begrepen in de kohieren tot en met december van het jaar T;</w:t>
      </w:r>
    </w:p>
    <w:p w14:paraId="0DCD0893" w14:textId="77777777" w:rsidR="009144C8" w:rsidRPr="009144C8" w:rsidRDefault="009144C8" w:rsidP="009144C8">
      <w:pPr>
        <w:pStyle w:val="Lijstalinea"/>
        <w:numPr>
          <w:ilvl w:val="0"/>
          <w:numId w:val="26"/>
        </w:numPr>
        <w:jc w:val="both"/>
        <w:rPr>
          <w:rFonts w:cstheme="minorHAnsi"/>
        </w:rPr>
      </w:pPr>
      <w:r w:rsidRPr="009144C8">
        <w:rPr>
          <w:rFonts w:cstheme="minorHAnsi"/>
        </w:rPr>
        <w:t xml:space="preserve">de </w:t>
      </w:r>
      <w:r>
        <w:rPr>
          <w:rFonts w:cstheme="minorHAnsi"/>
        </w:rPr>
        <w:t>‘</w:t>
      </w:r>
      <w:r w:rsidRPr="009144C8">
        <w:rPr>
          <w:rFonts w:cstheme="minorHAnsi"/>
        </w:rPr>
        <w:t>ontvangen bedragen</w:t>
      </w:r>
      <w:r>
        <w:rPr>
          <w:rFonts w:cstheme="minorHAnsi"/>
        </w:rPr>
        <w:t>’</w:t>
      </w:r>
      <w:r w:rsidRPr="009144C8">
        <w:rPr>
          <w:rFonts w:cstheme="minorHAnsi"/>
        </w:rPr>
        <w:t xml:space="preserve"> met betrekking tot vorige aanslagjaren ontvangen tot en met februari van het jaar T+1;</w:t>
      </w:r>
    </w:p>
    <w:p w14:paraId="0DCEA8BA" w14:textId="77777777" w:rsidR="009144C8" w:rsidRPr="009144C8" w:rsidRDefault="009144C8" w:rsidP="009144C8">
      <w:pPr>
        <w:pStyle w:val="Lijstalinea"/>
        <w:numPr>
          <w:ilvl w:val="0"/>
          <w:numId w:val="26"/>
        </w:numPr>
        <w:jc w:val="both"/>
        <w:rPr>
          <w:rFonts w:cstheme="minorHAnsi"/>
        </w:rPr>
      </w:pPr>
      <w:r w:rsidRPr="009144C8">
        <w:rPr>
          <w:rFonts w:cstheme="minorHAnsi"/>
        </w:rPr>
        <w:t>waarbij 2 en 3 verminderd worden met de in vorige begrotingsjaren aangerekende voorschotten, voorfinanciering en ontvangen bedragen.</w:t>
      </w:r>
    </w:p>
    <w:p w14:paraId="4C2B9953" w14:textId="77777777" w:rsidR="00BB2882" w:rsidRPr="00BB2882" w:rsidRDefault="00BB2882" w:rsidP="00F64761">
      <w:pPr>
        <w:pStyle w:val="Lijstalinea"/>
        <w:ind w:left="0"/>
        <w:jc w:val="both"/>
        <w:rPr>
          <w:rFonts w:cstheme="minorHAnsi"/>
        </w:rPr>
      </w:pPr>
    </w:p>
    <w:p w14:paraId="3FA5D002" w14:textId="77777777" w:rsidR="00E32A27" w:rsidRDefault="004A296A" w:rsidP="00F64761">
      <w:pPr>
        <w:pStyle w:val="Lijstalinea"/>
        <w:ind w:left="0"/>
        <w:jc w:val="both"/>
      </w:pPr>
      <w:r w:rsidRPr="004B4BE6">
        <w:rPr>
          <w:rFonts w:cstheme="minorHAnsi"/>
        </w:rPr>
        <w:t xml:space="preserve">De </w:t>
      </w:r>
      <w:r>
        <w:rPr>
          <w:rFonts w:cstheme="minorHAnsi"/>
        </w:rPr>
        <w:t xml:space="preserve">prognose volgens de </w:t>
      </w:r>
      <w:r w:rsidRPr="004B4BE6">
        <w:rPr>
          <w:rFonts w:cstheme="minorHAnsi"/>
        </w:rPr>
        <w:t>HRF-</w:t>
      </w:r>
      <w:r>
        <w:rPr>
          <w:rFonts w:cstheme="minorHAnsi"/>
        </w:rPr>
        <w:t>definitie</w:t>
      </w:r>
      <w:r w:rsidRPr="004B4BE6">
        <w:rPr>
          <w:rFonts w:cstheme="minorHAnsi"/>
        </w:rPr>
        <w:t xml:space="preserve"> wordt niet </w:t>
      </w:r>
      <w:r>
        <w:rPr>
          <w:rFonts w:cstheme="minorHAnsi"/>
        </w:rPr>
        <w:t xml:space="preserve">(rechtstreeks) </w:t>
      </w:r>
      <w:r w:rsidRPr="004B4BE6">
        <w:rPr>
          <w:rFonts w:cstheme="minorHAnsi"/>
        </w:rPr>
        <w:t>beïnvloed door het inkohieringsritme van de FOD Financiën en etaleert hierdoor een stabielere trend</w:t>
      </w:r>
      <w:r>
        <w:rPr>
          <w:rFonts w:cstheme="minorHAnsi"/>
        </w:rPr>
        <w:t>.</w:t>
      </w:r>
    </w:p>
    <w:p w14:paraId="5729A1CF" w14:textId="77777777" w:rsidR="00E32A27" w:rsidRDefault="00E32A27" w:rsidP="00F64761">
      <w:pPr>
        <w:pStyle w:val="Lijstalinea"/>
        <w:ind w:left="0"/>
        <w:jc w:val="both"/>
      </w:pPr>
    </w:p>
    <w:p w14:paraId="73316E2B" w14:textId="169C5BFA" w:rsidR="00F64761" w:rsidRDefault="00E32A27" w:rsidP="00F64761">
      <w:pPr>
        <w:pStyle w:val="Lijstalinea"/>
        <w:ind w:left="0"/>
        <w:jc w:val="both"/>
      </w:pPr>
      <w:r>
        <w:t xml:space="preserve">Het voorliggende </w:t>
      </w:r>
      <w:r w:rsidR="00E85969">
        <w:t>uitvoerings</w:t>
      </w:r>
      <w:r>
        <w:t xml:space="preserve">rapport is gebaseerd op de effectieve uitvoeringscijfers van de voorfinancieringen en de ontvangen bedragen tot en met </w:t>
      </w:r>
      <w:r w:rsidR="00E85969">
        <w:t>december</w:t>
      </w:r>
      <w:r>
        <w:t xml:space="preserve"> 201</w:t>
      </w:r>
      <w:r w:rsidR="00EF22B1">
        <w:t>9</w:t>
      </w:r>
      <w:r>
        <w:t xml:space="preserve"> (cijfers gerapporteerd door de FOD Financiën), aangevuld met maandprognoses tot en met </w:t>
      </w:r>
      <w:r w:rsidR="00E85969">
        <w:t>december</w:t>
      </w:r>
      <w:r>
        <w:t xml:space="preserve"> </w:t>
      </w:r>
      <w:r w:rsidR="00BB2882">
        <w:t>AJ+4</w:t>
      </w:r>
      <w:r>
        <w:t xml:space="preserve">. </w:t>
      </w:r>
      <w:r w:rsidR="00F64761">
        <w:t xml:space="preserve">Onder toepassing </w:t>
      </w:r>
      <w:r w:rsidR="00F64761" w:rsidRPr="00255200">
        <w:t xml:space="preserve">van de </w:t>
      </w:r>
      <w:r w:rsidR="00F64761" w:rsidRPr="0066005A">
        <w:t xml:space="preserve">HRF-definitie kunnen de netto-opcentiemen </w:t>
      </w:r>
      <w:r w:rsidR="008C547D" w:rsidRPr="0066005A">
        <w:t xml:space="preserve">voor het begrotingsjaar </w:t>
      </w:r>
      <w:r w:rsidR="00F64761" w:rsidRPr="0066005A">
        <w:t>201</w:t>
      </w:r>
      <w:r w:rsidR="00A87822" w:rsidRPr="0066005A">
        <w:t>9</w:t>
      </w:r>
      <w:r w:rsidR="00F64761" w:rsidRPr="0066005A">
        <w:t xml:space="preserve"> op </w:t>
      </w:r>
      <w:r w:rsidR="00A87822" w:rsidRPr="0066005A">
        <w:t>6.1</w:t>
      </w:r>
      <w:r w:rsidR="00253110" w:rsidRPr="0066005A">
        <w:t>6</w:t>
      </w:r>
      <w:r w:rsidR="006F0E01">
        <w:t>9</w:t>
      </w:r>
      <w:r w:rsidR="00253110" w:rsidRPr="0066005A">
        <w:t>,9</w:t>
      </w:r>
      <w:r w:rsidR="00F64761" w:rsidRPr="0066005A">
        <w:t xml:space="preserve"> miljoen euro</w:t>
      </w:r>
      <w:r w:rsidR="00F64761" w:rsidRPr="00255200">
        <w:t xml:space="preserve"> geraamd worden</w:t>
      </w:r>
      <w:r w:rsidR="001F7B5A">
        <w:t>.</w:t>
      </w:r>
      <w:r w:rsidR="00481098">
        <w:t xml:space="preserve"> Zie tabel 4.</w:t>
      </w:r>
    </w:p>
    <w:p w14:paraId="53503F6B" w14:textId="77777777" w:rsidR="0049252B" w:rsidRDefault="0049252B" w:rsidP="00F64761">
      <w:pPr>
        <w:pStyle w:val="Lijstalinea"/>
        <w:ind w:left="0"/>
        <w:jc w:val="both"/>
      </w:pPr>
    </w:p>
    <w:p w14:paraId="0C6965E8" w14:textId="77777777" w:rsidR="00AE797B" w:rsidRDefault="00AE797B" w:rsidP="00F64761">
      <w:pPr>
        <w:pStyle w:val="Lijstalinea"/>
        <w:ind w:left="0"/>
        <w:jc w:val="both"/>
      </w:pPr>
    </w:p>
    <w:p w14:paraId="5CA92B7D" w14:textId="77777777" w:rsidR="00481098" w:rsidRDefault="00481098" w:rsidP="00481098">
      <w:pPr>
        <w:spacing w:after="120"/>
        <w:jc w:val="both"/>
      </w:pPr>
      <w:r>
        <w:t>Tabel 4. HRF definitie netto-opcentiemen (in euro)</w:t>
      </w:r>
    </w:p>
    <w:tbl>
      <w:tblPr>
        <w:tblW w:w="9209" w:type="dxa"/>
        <w:tblLayout w:type="fixed"/>
        <w:tblCellMar>
          <w:left w:w="70" w:type="dxa"/>
          <w:right w:w="70" w:type="dxa"/>
        </w:tblCellMar>
        <w:tblLook w:val="04A0" w:firstRow="1" w:lastRow="0" w:firstColumn="1" w:lastColumn="0" w:noHBand="0" w:noVBand="1"/>
      </w:tblPr>
      <w:tblGrid>
        <w:gridCol w:w="1306"/>
        <w:gridCol w:w="1580"/>
        <w:gridCol w:w="1581"/>
        <w:gridCol w:w="1580"/>
        <w:gridCol w:w="1581"/>
        <w:gridCol w:w="1581"/>
      </w:tblGrid>
      <w:tr w:rsidR="00481098" w:rsidRPr="002C1BE2" w14:paraId="067AE135" w14:textId="77777777" w:rsidTr="001704EB">
        <w:trPr>
          <w:trHeight w:val="374"/>
          <w:tblHeader/>
        </w:trPr>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60F652AB" w14:textId="77777777" w:rsidR="00481098" w:rsidRPr="002C1BE2" w:rsidRDefault="00481098" w:rsidP="001704EB">
            <w:pPr>
              <w:rPr>
                <w:rFonts w:eastAsia="Times New Roman" w:cstheme="minorHAnsi"/>
                <w:b/>
                <w:bCs/>
                <w:color w:val="000000"/>
                <w:sz w:val="18"/>
                <w:szCs w:val="18"/>
                <w:lang w:eastAsia="nl-BE"/>
              </w:rPr>
            </w:pP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14:paraId="64CE586A" w14:textId="77777777" w:rsidR="00481098" w:rsidRPr="002C1BE2" w:rsidRDefault="00481098" w:rsidP="001704EB">
            <w:pPr>
              <w:jc w:val="center"/>
              <w:rPr>
                <w:rFonts w:eastAsia="Times New Roman" w:cstheme="minorHAnsi"/>
                <w:b/>
                <w:bCs/>
                <w:color w:val="000000"/>
                <w:sz w:val="18"/>
                <w:szCs w:val="18"/>
                <w:lang w:eastAsia="nl-BE"/>
              </w:rPr>
            </w:pPr>
            <w:r w:rsidRPr="002C1BE2">
              <w:rPr>
                <w:rFonts w:eastAsia="Times New Roman" w:cstheme="minorHAnsi"/>
                <w:b/>
                <w:bCs/>
                <w:color w:val="000000"/>
                <w:sz w:val="18"/>
                <w:szCs w:val="18"/>
                <w:lang w:eastAsia="nl-BE"/>
              </w:rPr>
              <w:t>In 2015</w:t>
            </w:r>
          </w:p>
        </w:tc>
        <w:tc>
          <w:tcPr>
            <w:tcW w:w="1581" w:type="dxa"/>
            <w:tcBorders>
              <w:top w:val="single" w:sz="4" w:space="0" w:color="auto"/>
              <w:left w:val="nil"/>
              <w:bottom w:val="single" w:sz="4" w:space="0" w:color="auto"/>
              <w:right w:val="single" w:sz="4" w:space="0" w:color="auto"/>
            </w:tcBorders>
            <w:shd w:val="clear" w:color="auto" w:fill="auto"/>
            <w:noWrap/>
            <w:vAlign w:val="center"/>
            <w:hideMark/>
          </w:tcPr>
          <w:p w14:paraId="5B22C2BB" w14:textId="77777777" w:rsidR="00481098" w:rsidRPr="002C1BE2" w:rsidRDefault="00481098" w:rsidP="001704EB">
            <w:pPr>
              <w:jc w:val="center"/>
              <w:rPr>
                <w:rFonts w:eastAsia="Times New Roman" w:cstheme="minorHAnsi"/>
                <w:b/>
                <w:bCs/>
                <w:color w:val="000000"/>
                <w:sz w:val="18"/>
                <w:szCs w:val="18"/>
                <w:lang w:eastAsia="nl-BE"/>
              </w:rPr>
            </w:pPr>
            <w:r w:rsidRPr="002C1BE2">
              <w:rPr>
                <w:rFonts w:eastAsia="Times New Roman" w:cstheme="minorHAnsi"/>
                <w:b/>
                <w:bCs/>
                <w:color w:val="000000"/>
                <w:sz w:val="18"/>
                <w:szCs w:val="18"/>
                <w:lang w:eastAsia="nl-BE"/>
              </w:rPr>
              <w:t>In 2016</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14:paraId="5F95732C" w14:textId="77777777" w:rsidR="00481098" w:rsidRPr="002C1BE2" w:rsidRDefault="00481098" w:rsidP="001704EB">
            <w:pPr>
              <w:jc w:val="center"/>
              <w:rPr>
                <w:rFonts w:eastAsia="Times New Roman" w:cstheme="minorHAnsi"/>
                <w:b/>
                <w:bCs/>
                <w:color w:val="000000"/>
                <w:sz w:val="18"/>
                <w:szCs w:val="18"/>
                <w:lang w:eastAsia="nl-BE"/>
              </w:rPr>
            </w:pPr>
            <w:r w:rsidRPr="002C1BE2">
              <w:rPr>
                <w:rFonts w:eastAsia="Times New Roman" w:cstheme="minorHAnsi"/>
                <w:b/>
                <w:bCs/>
                <w:color w:val="000000"/>
                <w:sz w:val="18"/>
                <w:szCs w:val="18"/>
                <w:lang w:eastAsia="nl-BE"/>
              </w:rPr>
              <w:t>In 2017</w:t>
            </w:r>
          </w:p>
        </w:tc>
        <w:tc>
          <w:tcPr>
            <w:tcW w:w="1581" w:type="dxa"/>
            <w:tcBorders>
              <w:top w:val="single" w:sz="4" w:space="0" w:color="auto"/>
              <w:left w:val="nil"/>
              <w:bottom w:val="single" w:sz="4" w:space="0" w:color="auto"/>
              <w:right w:val="single" w:sz="4" w:space="0" w:color="auto"/>
            </w:tcBorders>
            <w:shd w:val="clear" w:color="auto" w:fill="auto"/>
            <w:noWrap/>
            <w:vAlign w:val="center"/>
            <w:hideMark/>
          </w:tcPr>
          <w:p w14:paraId="037046C4" w14:textId="77777777" w:rsidR="00481098" w:rsidRPr="002C1BE2" w:rsidRDefault="00481098" w:rsidP="001704EB">
            <w:pPr>
              <w:jc w:val="center"/>
              <w:rPr>
                <w:rFonts w:eastAsia="Times New Roman" w:cstheme="minorHAnsi"/>
                <w:b/>
                <w:bCs/>
                <w:color w:val="000000"/>
                <w:sz w:val="18"/>
                <w:szCs w:val="18"/>
                <w:lang w:eastAsia="nl-BE"/>
              </w:rPr>
            </w:pPr>
            <w:r w:rsidRPr="002C1BE2">
              <w:rPr>
                <w:rFonts w:eastAsia="Times New Roman" w:cstheme="minorHAnsi"/>
                <w:b/>
                <w:bCs/>
                <w:color w:val="000000"/>
                <w:sz w:val="18"/>
                <w:szCs w:val="18"/>
                <w:lang w:eastAsia="nl-BE"/>
              </w:rPr>
              <w:t>In 2018</w:t>
            </w:r>
          </w:p>
        </w:tc>
        <w:tc>
          <w:tcPr>
            <w:tcW w:w="1581" w:type="dxa"/>
            <w:tcBorders>
              <w:top w:val="single" w:sz="4" w:space="0" w:color="auto"/>
              <w:left w:val="nil"/>
              <w:bottom w:val="single" w:sz="4" w:space="0" w:color="auto"/>
              <w:right w:val="single" w:sz="4" w:space="0" w:color="auto"/>
            </w:tcBorders>
            <w:shd w:val="clear" w:color="auto" w:fill="auto"/>
            <w:noWrap/>
            <w:vAlign w:val="center"/>
            <w:hideMark/>
          </w:tcPr>
          <w:p w14:paraId="05577046" w14:textId="77777777" w:rsidR="00481098" w:rsidRPr="002C1BE2" w:rsidRDefault="00481098" w:rsidP="001704EB">
            <w:pPr>
              <w:jc w:val="center"/>
              <w:rPr>
                <w:rFonts w:eastAsia="Times New Roman" w:cstheme="minorHAnsi"/>
                <w:b/>
                <w:bCs/>
                <w:color w:val="000000"/>
                <w:sz w:val="18"/>
                <w:szCs w:val="18"/>
                <w:lang w:eastAsia="nl-BE"/>
              </w:rPr>
            </w:pPr>
            <w:r w:rsidRPr="002C1BE2">
              <w:rPr>
                <w:rFonts w:eastAsia="Times New Roman" w:cstheme="minorHAnsi"/>
                <w:b/>
                <w:bCs/>
                <w:color w:val="000000"/>
                <w:sz w:val="18"/>
                <w:szCs w:val="18"/>
                <w:lang w:eastAsia="nl-BE"/>
              </w:rPr>
              <w:t>In 2019</w:t>
            </w:r>
          </w:p>
        </w:tc>
      </w:tr>
      <w:tr w:rsidR="00481098" w:rsidRPr="002C1BE2" w14:paraId="15AAEC22" w14:textId="77777777" w:rsidTr="001704EB">
        <w:trPr>
          <w:trHeight w:val="864"/>
        </w:trPr>
        <w:tc>
          <w:tcPr>
            <w:tcW w:w="130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31E7570" w14:textId="77777777" w:rsidR="00481098" w:rsidRPr="002C1BE2" w:rsidRDefault="00481098" w:rsidP="001704EB">
            <w:pPr>
              <w:rPr>
                <w:rFonts w:eastAsia="Times New Roman" w:cstheme="minorHAnsi"/>
                <w:b/>
                <w:bCs/>
                <w:color w:val="000000"/>
                <w:sz w:val="18"/>
                <w:szCs w:val="18"/>
                <w:lang w:eastAsia="nl-BE"/>
              </w:rPr>
            </w:pPr>
            <w:r w:rsidRPr="002C1BE2">
              <w:rPr>
                <w:rFonts w:eastAsia="Times New Roman" w:cstheme="minorHAnsi"/>
                <w:b/>
                <w:bCs/>
                <w:color w:val="000000"/>
                <w:sz w:val="18"/>
                <w:szCs w:val="18"/>
                <w:lang w:eastAsia="nl-BE"/>
              </w:rPr>
              <w:t>M.b.t. AJ 2015</w:t>
            </w:r>
          </w:p>
        </w:tc>
        <w:tc>
          <w:tcPr>
            <w:tcW w:w="1580" w:type="dxa"/>
            <w:tcBorders>
              <w:top w:val="nil"/>
              <w:left w:val="nil"/>
              <w:bottom w:val="single" w:sz="4" w:space="0" w:color="auto"/>
              <w:right w:val="single" w:sz="4" w:space="0" w:color="auto"/>
            </w:tcBorders>
            <w:shd w:val="clear" w:color="auto" w:fill="auto"/>
            <w:vAlign w:val="center"/>
            <w:hideMark/>
          </w:tcPr>
          <w:p w14:paraId="328C1298" w14:textId="77777777" w:rsidR="00481098" w:rsidRPr="002C1BE2" w:rsidRDefault="00481098" w:rsidP="001704EB">
            <w:pPr>
              <w:jc w:val="center"/>
              <w:rPr>
                <w:rFonts w:eastAsia="Times New Roman" w:cstheme="minorHAnsi"/>
                <w:color w:val="000000"/>
                <w:sz w:val="18"/>
                <w:szCs w:val="18"/>
                <w:lang w:eastAsia="nl-BE"/>
              </w:rPr>
            </w:pPr>
            <w:r w:rsidRPr="002C1BE2">
              <w:rPr>
                <w:rFonts w:eastAsia="Times New Roman" w:cstheme="minorHAnsi"/>
                <w:color w:val="000000"/>
                <w:sz w:val="18"/>
                <w:szCs w:val="18"/>
                <w:lang w:eastAsia="nl-BE"/>
              </w:rPr>
              <w:t>voorschotten</w:t>
            </w:r>
            <w:r w:rsidRPr="002C1BE2">
              <w:rPr>
                <w:rFonts w:eastAsia="Times New Roman" w:cstheme="minorHAnsi"/>
                <w:color w:val="000000"/>
                <w:sz w:val="18"/>
                <w:szCs w:val="18"/>
                <w:lang w:eastAsia="nl-BE"/>
              </w:rPr>
              <w:br/>
              <w:t>(twaalfden)</w:t>
            </w:r>
            <w:r w:rsidRPr="002C1BE2">
              <w:rPr>
                <w:rFonts w:eastAsia="Times New Roman" w:cstheme="minorHAnsi"/>
                <w:color w:val="000000"/>
                <w:sz w:val="18"/>
                <w:szCs w:val="18"/>
                <w:lang w:eastAsia="nl-BE"/>
              </w:rPr>
              <w:br/>
              <w:t>(aan 100%)</w:t>
            </w:r>
          </w:p>
        </w:tc>
        <w:tc>
          <w:tcPr>
            <w:tcW w:w="1581" w:type="dxa"/>
            <w:tcBorders>
              <w:top w:val="nil"/>
              <w:left w:val="nil"/>
              <w:bottom w:val="single" w:sz="4" w:space="0" w:color="auto"/>
              <w:right w:val="single" w:sz="4" w:space="0" w:color="auto"/>
            </w:tcBorders>
            <w:shd w:val="clear" w:color="auto" w:fill="auto"/>
            <w:vAlign w:val="center"/>
            <w:hideMark/>
          </w:tcPr>
          <w:p w14:paraId="42B220F1" w14:textId="77777777" w:rsidR="00481098" w:rsidRPr="002C1BE2" w:rsidRDefault="00481098" w:rsidP="001704EB">
            <w:pPr>
              <w:jc w:val="center"/>
              <w:rPr>
                <w:rFonts w:eastAsia="Times New Roman" w:cstheme="minorHAnsi"/>
                <w:color w:val="000000"/>
                <w:sz w:val="18"/>
                <w:szCs w:val="18"/>
                <w:lang w:eastAsia="nl-BE"/>
              </w:rPr>
            </w:pPr>
            <w:r w:rsidRPr="002C1BE2">
              <w:rPr>
                <w:rFonts w:eastAsia="Times New Roman" w:cstheme="minorHAnsi"/>
                <w:color w:val="000000"/>
                <w:sz w:val="18"/>
                <w:szCs w:val="18"/>
                <w:lang w:eastAsia="nl-BE"/>
              </w:rPr>
              <w:t>vanaf september 2016:</w:t>
            </w:r>
            <w:r w:rsidRPr="002C1BE2">
              <w:rPr>
                <w:rFonts w:eastAsia="Times New Roman" w:cstheme="minorHAnsi"/>
                <w:color w:val="000000"/>
                <w:sz w:val="18"/>
                <w:szCs w:val="18"/>
                <w:lang w:eastAsia="nl-BE"/>
              </w:rPr>
              <w:br/>
              <w:t>maandelijkse</w:t>
            </w:r>
            <w:r w:rsidRPr="002C1BE2">
              <w:rPr>
                <w:rFonts w:eastAsia="Times New Roman" w:cstheme="minorHAnsi"/>
                <w:color w:val="000000"/>
                <w:sz w:val="18"/>
                <w:szCs w:val="18"/>
                <w:lang w:eastAsia="nl-BE"/>
              </w:rPr>
              <w:br/>
              <w:t>afrekeningen</w:t>
            </w:r>
          </w:p>
        </w:tc>
        <w:tc>
          <w:tcPr>
            <w:tcW w:w="1580" w:type="dxa"/>
            <w:tcBorders>
              <w:top w:val="nil"/>
              <w:left w:val="nil"/>
              <w:bottom w:val="single" w:sz="4" w:space="0" w:color="auto"/>
              <w:right w:val="single" w:sz="4" w:space="0" w:color="auto"/>
            </w:tcBorders>
            <w:shd w:val="clear" w:color="auto" w:fill="auto"/>
            <w:vAlign w:val="center"/>
            <w:hideMark/>
          </w:tcPr>
          <w:p w14:paraId="46A6A194" w14:textId="77777777" w:rsidR="00481098" w:rsidRPr="002C1BE2" w:rsidRDefault="00481098" w:rsidP="001704EB">
            <w:pPr>
              <w:jc w:val="center"/>
              <w:rPr>
                <w:rFonts w:eastAsia="Times New Roman" w:cstheme="minorHAnsi"/>
                <w:color w:val="000000"/>
                <w:sz w:val="18"/>
                <w:szCs w:val="18"/>
                <w:lang w:eastAsia="nl-BE"/>
              </w:rPr>
            </w:pPr>
            <w:r w:rsidRPr="002C1BE2">
              <w:rPr>
                <w:rFonts w:eastAsia="Times New Roman" w:cstheme="minorHAnsi"/>
                <w:color w:val="000000"/>
                <w:sz w:val="18"/>
                <w:szCs w:val="18"/>
                <w:lang w:eastAsia="nl-BE"/>
              </w:rPr>
              <w:t>maandelijkse</w:t>
            </w:r>
            <w:r w:rsidRPr="002C1BE2">
              <w:rPr>
                <w:rFonts w:eastAsia="Times New Roman" w:cstheme="minorHAnsi"/>
                <w:color w:val="000000"/>
                <w:sz w:val="18"/>
                <w:szCs w:val="18"/>
                <w:lang w:eastAsia="nl-BE"/>
              </w:rPr>
              <w:br/>
              <w:t>afrekeningen</w:t>
            </w:r>
          </w:p>
        </w:tc>
        <w:tc>
          <w:tcPr>
            <w:tcW w:w="1581" w:type="dxa"/>
            <w:tcBorders>
              <w:top w:val="nil"/>
              <w:left w:val="nil"/>
              <w:bottom w:val="single" w:sz="4" w:space="0" w:color="auto"/>
              <w:right w:val="single" w:sz="4" w:space="0" w:color="auto"/>
            </w:tcBorders>
            <w:shd w:val="clear" w:color="auto" w:fill="auto"/>
            <w:vAlign w:val="center"/>
            <w:hideMark/>
          </w:tcPr>
          <w:p w14:paraId="0191976A" w14:textId="77777777" w:rsidR="00481098" w:rsidRPr="002C1BE2" w:rsidRDefault="00481098" w:rsidP="001704EB">
            <w:pPr>
              <w:jc w:val="center"/>
              <w:rPr>
                <w:rFonts w:eastAsia="Times New Roman" w:cstheme="minorHAnsi"/>
                <w:color w:val="000000"/>
                <w:sz w:val="18"/>
                <w:szCs w:val="18"/>
                <w:lang w:eastAsia="nl-BE"/>
              </w:rPr>
            </w:pPr>
            <w:r w:rsidRPr="002C1BE2">
              <w:rPr>
                <w:rFonts w:eastAsia="Times New Roman" w:cstheme="minorHAnsi"/>
                <w:color w:val="000000"/>
                <w:sz w:val="18"/>
                <w:szCs w:val="18"/>
                <w:lang w:eastAsia="nl-BE"/>
              </w:rPr>
              <w:t>maandelijkse</w:t>
            </w:r>
            <w:r w:rsidRPr="002C1BE2">
              <w:rPr>
                <w:rFonts w:eastAsia="Times New Roman" w:cstheme="minorHAnsi"/>
                <w:color w:val="000000"/>
                <w:sz w:val="18"/>
                <w:szCs w:val="18"/>
                <w:lang w:eastAsia="nl-BE"/>
              </w:rPr>
              <w:br/>
              <w:t>afrekeningen</w:t>
            </w:r>
          </w:p>
        </w:tc>
        <w:tc>
          <w:tcPr>
            <w:tcW w:w="1581" w:type="dxa"/>
            <w:tcBorders>
              <w:top w:val="nil"/>
              <w:left w:val="nil"/>
              <w:bottom w:val="single" w:sz="4" w:space="0" w:color="auto"/>
              <w:right w:val="single" w:sz="4" w:space="0" w:color="auto"/>
            </w:tcBorders>
            <w:shd w:val="clear" w:color="auto" w:fill="auto"/>
            <w:vAlign w:val="center"/>
            <w:hideMark/>
          </w:tcPr>
          <w:p w14:paraId="496A7F85" w14:textId="77777777" w:rsidR="00481098" w:rsidRPr="002C1BE2" w:rsidRDefault="00481098" w:rsidP="001704EB">
            <w:pPr>
              <w:jc w:val="center"/>
              <w:rPr>
                <w:rFonts w:eastAsia="Times New Roman" w:cstheme="minorHAnsi"/>
                <w:color w:val="000000"/>
                <w:sz w:val="18"/>
                <w:szCs w:val="18"/>
                <w:lang w:eastAsia="nl-BE"/>
              </w:rPr>
            </w:pPr>
            <w:r w:rsidRPr="002C1BE2">
              <w:rPr>
                <w:rFonts w:eastAsia="Times New Roman" w:cstheme="minorHAnsi"/>
                <w:color w:val="000000"/>
                <w:sz w:val="18"/>
                <w:szCs w:val="18"/>
                <w:lang w:eastAsia="nl-BE"/>
              </w:rPr>
              <w:t>maandelijkse</w:t>
            </w:r>
            <w:r w:rsidRPr="002C1BE2">
              <w:rPr>
                <w:rFonts w:eastAsia="Times New Roman" w:cstheme="minorHAnsi"/>
                <w:color w:val="000000"/>
                <w:sz w:val="18"/>
                <w:szCs w:val="18"/>
                <w:lang w:eastAsia="nl-BE"/>
              </w:rPr>
              <w:br/>
              <w:t>afrekeningen</w:t>
            </w:r>
          </w:p>
        </w:tc>
      </w:tr>
      <w:tr w:rsidR="00481098" w:rsidRPr="002C1BE2" w14:paraId="3AB96F52" w14:textId="77777777" w:rsidTr="001704EB">
        <w:trPr>
          <w:trHeight w:val="288"/>
        </w:trPr>
        <w:tc>
          <w:tcPr>
            <w:tcW w:w="1306" w:type="dxa"/>
            <w:vMerge/>
            <w:tcBorders>
              <w:top w:val="nil"/>
              <w:left w:val="single" w:sz="4" w:space="0" w:color="auto"/>
              <w:bottom w:val="single" w:sz="4" w:space="0" w:color="000000"/>
              <w:right w:val="single" w:sz="4" w:space="0" w:color="auto"/>
            </w:tcBorders>
            <w:vAlign w:val="center"/>
            <w:hideMark/>
          </w:tcPr>
          <w:p w14:paraId="593198FC" w14:textId="77777777" w:rsidR="00481098" w:rsidRPr="002C1BE2" w:rsidRDefault="00481098" w:rsidP="001704EB">
            <w:pPr>
              <w:rPr>
                <w:rFonts w:eastAsia="Times New Roman" w:cstheme="minorHAnsi"/>
                <w:b/>
                <w:bCs/>
                <w:color w:val="000000"/>
                <w:sz w:val="18"/>
                <w:szCs w:val="18"/>
                <w:lang w:eastAsia="nl-BE"/>
              </w:rPr>
            </w:pPr>
          </w:p>
        </w:tc>
        <w:tc>
          <w:tcPr>
            <w:tcW w:w="1580" w:type="dxa"/>
            <w:tcBorders>
              <w:top w:val="nil"/>
              <w:left w:val="nil"/>
              <w:bottom w:val="single" w:sz="4" w:space="0" w:color="auto"/>
              <w:right w:val="single" w:sz="4" w:space="0" w:color="auto"/>
            </w:tcBorders>
            <w:shd w:val="clear" w:color="000000" w:fill="FFFF99"/>
            <w:vAlign w:val="center"/>
            <w:hideMark/>
          </w:tcPr>
          <w:p w14:paraId="5EC6E412" w14:textId="77777777" w:rsidR="00481098" w:rsidRPr="002C1BE2" w:rsidRDefault="00481098" w:rsidP="001704EB">
            <w:pPr>
              <w:jc w:val="center"/>
              <w:rPr>
                <w:rFonts w:eastAsia="Times New Roman" w:cstheme="minorHAnsi"/>
                <w:b/>
                <w:bCs/>
                <w:color w:val="000000"/>
                <w:sz w:val="18"/>
                <w:szCs w:val="18"/>
                <w:lang w:eastAsia="nl-BE"/>
              </w:rPr>
            </w:pPr>
            <w:r w:rsidRPr="002C1BE2">
              <w:rPr>
                <w:rFonts w:eastAsia="Times New Roman" w:cstheme="minorHAnsi"/>
                <w:b/>
                <w:bCs/>
                <w:color w:val="000000"/>
                <w:sz w:val="18"/>
                <w:szCs w:val="18"/>
                <w:lang w:eastAsia="nl-BE"/>
              </w:rPr>
              <w:t>5.601.138.495,34</w:t>
            </w:r>
          </w:p>
        </w:tc>
        <w:tc>
          <w:tcPr>
            <w:tcW w:w="1581" w:type="dxa"/>
            <w:tcBorders>
              <w:top w:val="nil"/>
              <w:left w:val="nil"/>
              <w:bottom w:val="single" w:sz="4" w:space="0" w:color="auto"/>
              <w:right w:val="single" w:sz="4" w:space="0" w:color="auto"/>
            </w:tcBorders>
            <w:shd w:val="clear" w:color="000000" w:fill="FFFF99"/>
            <w:vAlign w:val="center"/>
            <w:hideMark/>
          </w:tcPr>
          <w:p w14:paraId="0F286F4B" w14:textId="77777777" w:rsidR="00481098" w:rsidRPr="002C1BE2" w:rsidRDefault="00481098" w:rsidP="001704EB">
            <w:pPr>
              <w:jc w:val="center"/>
              <w:rPr>
                <w:rFonts w:eastAsia="Times New Roman" w:cstheme="minorHAnsi"/>
                <w:b/>
                <w:bCs/>
                <w:color w:val="000000"/>
                <w:sz w:val="18"/>
                <w:szCs w:val="18"/>
                <w:lang w:eastAsia="nl-BE"/>
              </w:rPr>
            </w:pPr>
            <w:r w:rsidRPr="002C1BE2">
              <w:rPr>
                <w:rFonts w:eastAsia="Times New Roman" w:cstheme="minorHAnsi"/>
                <w:b/>
                <w:bCs/>
                <w:color w:val="000000"/>
                <w:sz w:val="18"/>
                <w:szCs w:val="18"/>
                <w:lang w:eastAsia="nl-BE"/>
              </w:rPr>
              <w:t>222.804.647,85</w:t>
            </w:r>
          </w:p>
        </w:tc>
        <w:tc>
          <w:tcPr>
            <w:tcW w:w="1580" w:type="dxa"/>
            <w:tcBorders>
              <w:top w:val="nil"/>
              <w:left w:val="nil"/>
              <w:bottom w:val="single" w:sz="4" w:space="0" w:color="auto"/>
              <w:right w:val="single" w:sz="4" w:space="0" w:color="auto"/>
            </w:tcBorders>
            <w:shd w:val="clear" w:color="000000" w:fill="FFFF99"/>
            <w:vAlign w:val="center"/>
            <w:hideMark/>
          </w:tcPr>
          <w:p w14:paraId="1D42412D" w14:textId="77777777" w:rsidR="00481098" w:rsidRPr="002C1BE2" w:rsidRDefault="00481098" w:rsidP="001704EB">
            <w:pPr>
              <w:jc w:val="center"/>
              <w:rPr>
                <w:rFonts w:eastAsia="Times New Roman" w:cstheme="minorHAnsi"/>
                <w:b/>
                <w:bCs/>
                <w:color w:val="000000"/>
                <w:sz w:val="18"/>
                <w:szCs w:val="18"/>
                <w:lang w:eastAsia="nl-BE"/>
              </w:rPr>
            </w:pPr>
            <w:r w:rsidRPr="002C1BE2">
              <w:rPr>
                <w:rFonts w:eastAsia="Times New Roman" w:cstheme="minorHAnsi"/>
                <w:b/>
                <w:bCs/>
                <w:color w:val="000000"/>
                <w:sz w:val="18"/>
                <w:szCs w:val="18"/>
                <w:lang w:eastAsia="nl-BE"/>
              </w:rPr>
              <w:t>23.736.447,41</w:t>
            </w:r>
          </w:p>
        </w:tc>
        <w:tc>
          <w:tcPr>
            <w:tcW w:w="1581" w:type="dxa"/>
            <w:tcBorders>
              <w:top w:val="nil"/>
              <w:left w:val="nil"/>
              <w:bottom w:val="single" w:sz="4" w:space="0" w:color="auto"/>
              <w:right w:val="single" w:sz="4" w:space="0" w:color="auto"/>
            </w:tcBorders>
            <w:shd w:val="clear" w:color="000000" w:fill="FFFF99"/>
            <w:vAlign w:val="center"/>
            <w:hideMark/>
          </w:tcPr>
          <w:p w14:paraId="11CB2647" w14:textId="77777777" w:rsidR="00481098" w:rsidRPr="002C1BE2" w:rsidRDefault="00481098" w:rsidP="001704EB">
            <w:pPr>
              <w:jc w:val="center"/>
              <w:rPr>
                <w:rFonts w:eastAsia="Times New Roman" w:cstheme="minorHAnsi"/>
                <w:b/>
                <w:bCs/>
                <w:color w:val="000000"/>
                <w:sz w:val="18"/>
                <w:szCs w:val="18"/>
                <w:lang w:eastAsia="nl-BE"/>
              </w:rPr>
            </w:pPr>
            <w:r w:rsidRPr="002C1BE2">
              <w:rPr>
                <w:rFonts w:eastAsia="Times New Roman" w:cstheme="minorHAnsi"/>
                <w:b/>
                <w:bCs/>
                <w:color w:val="000000"/>
                <w:sz w:val="18"/>
                <w:szCs w:val="18"/>
                <w:lang w:eastAsia="nl-BE"/>
              </w:rPr>
              <w:t>3.992.917,58</w:t>
            </w:r>
          </w:p>
        </w:tc>
        <w:tc>
          <w:tcPr>
            <w:tcW w:w="1581" w:type="dxa"/>
            <w:tcBorders>
              <w:top w:val="nil"/>
              <w:left w:val="nil"/>
              <w:bottom w:val="single" w:sz="4" w:space="0" w:color="auto"/>
              <w:right w:val="single" w:sz="4" w:space="0" w:color="auto"/>
            </w:tcBorders>
            <w:shd w:val="clear" w:color="000000" w:fill="FFCCCC"/>
            <w:vAlign w:val="center"/>
            <w:hideMark/>
          </w:tcPr>
          <w:p w14:paraId="39883DD9" w14:textId="415B84F8" w:rsidR="00481098" w:rsidRPr="002C1BE2" w:rsidRDefault="007317B3" w:rsidP="007317B3">
            <w:pPr>
              <w:jc w:val="center"/>
              <w:rPr>
                <w:rFonts w:cstheme="minorHAnsi"/>
                <w:b/>
                <w:bCs/>
                <w:color w:val="000000"/>
                <w:sz w:val="18"/>
                <w:szCs w:val="18"/>
              </w:rPr>
            </w:pPr>
            <w:r w:rsidRPr="002C1BE2">
              <w:rPr>
                <w:rFonts w:cstheme="minorHAnsi"/>
                <w:b/>
                <w:bCs/>
                <w:color w:val="000000"/>
                <w:sz w:val="18"/>
                <w:szCs w:val="18"/>
              </w:rPr>
              <w:t>1.786.379,40</w:t>
            </w:r>
          </w:p>
        </w:tc>
      </w:tr>
      <w:tr w:rsidR="00481098" w:rsidRPr="002C1BE2" w14:paraId="2259C8A9" w14:textId="77777777" w:rsidTr="001704EB">
        <w:trPr>
          <w:trHeight w:val="864"/>
        </w:trPr>
        <w:tc>
          <w:tcPr>
            <w:tcW w:w="130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6F06D2F" w14:textId="77777777" w:rsidR="00481098" w:rsidRPr="002C1BE2" w:rsidRDefault="00481098" w:rsidP="001704EB">
            <w:pPr>
              <w:rPr>
                <w:rFonts w:eastAsia="Times New Roman" w:cstheme="minorHAnsi"/>
                <w:b/>
                <w:bCs/>
                <w:color w:val="000000"/>
                <w:sz w:val="18"/>
                <w:szCs w:val="18"/>
                <w:lang w:eastAsia="nl-BE"/>
              </w:rPr>
            </w:pPr>
            <w:r w:rsidRPr="002C1BE2">
              <w:rPr>
                <w:rFonts w:eastAsia="Times New Roman" w:cstheme="minorHAnsi"/>
                <w:b/>
                <w:bCs/>
                <w:color w:val="000000"/>
                <w:sz w:val="18"/>
                <w:szCs w:val="18"/>
                <w:lang w:eastAsia="nl-BE"/>
              </w:rPr>
              <w:t>M.b.t. AJ 2016</w:t>
            </w:r>
          </w:p>
        </w:tc>
        <w:tc>
          <w:tcPr>
            <w:tcW w:w="1580" w:type="dxa"/>
            <w:tcBorders>
              <w:top w:val="nil"/>
              <w:left w:val="nil"/>
              <w:bottom w:val="single" w:sz="4" w:space="0" w:color="auto"/>
              <w:right w:val="single" w:sz="4" w:space="0" w:color="auto"/>
            </w:tcBorders>
            <w:shd w:val="clear" w:color="000000" w:fill="D9D9D9"/>
            <w:noWrap/>
            <w:vAlign w:val="center"/>
            <w:hideMark/>
          </w:tcPr>
          <w:p w14:paraId="0099A076" w14:textId="77777777" w:rsidR="00481098" w:rsidRPr="002C1BE2" w:rsidRDefault="00481098" w:rsidP="001704EB">
            <w:pPr>
              <w:jc w:val="center"/>
              <w:rPr>
                <w:rFonts w:eastAsia="Times New Roman" w:cstheme="minorHAnsi"/>
                <w:color w:val="000000"/>
                <w:sz w:val="18"/>
                <w:szCs w:val="18"/>
                <w:lang w:eastAsia="nl-BE"/>
              </w:rPr>
            </w:pPr>
            <w:r w:rsidRPr="002C1BE2">
              <w:rPr>
                <w:rFonts w:eastAsia="Times New Roman" w:cstheme="minorHAnsi"/>
                <w:color w:val="000000"/>
                <w:sz w:val="18"/>
                <w:szCs w:val="18"/>
                <w:lang w:eastAsia="nl-BE"/>
              </w:rPr>
              <w:t> </w:t>
            </w:r>
          </w:p>
        </w:tc>
        <w:tc>
          <w:tcPr>
            <w:tcW w:w="1581" w:type="dxa"/>
            <w:tcBorders>
              <w:top w:val="nil"/>
              <w:left w:val="nil"/>
              <w:bottom w:val="single" w:sz="4" w:space="0" w:color="auto"/>
              <w:right w:val="single" w:sz="4" w:space="0" w:color="auto"/>
            </w:tcBorders>
            <w:shd w:val="clear" w:color="auto" w:fill="auto"/>
            <w:vAlign w:val="center"/>
            <w:hideMark/>
          </w:tcPr>
          <w:p w14:paraId="20AD7010" w14:textId="77777777" w:rsidR="00481098" w:rsidRPr="002C1BE2" w:rsidRDefault="00481098" w:rsidP="001704EB">
            <w:pPr>
              <w:jc w:val="center"/>
              <w:rPr>
                <w:rFonts w:eastAsia="Times New Roman" w:cstheme="minorHAnsi"/>
                <w:color w:val="000000"/>
                <w:sz w:val="18"/>
                <w:szCs w:val="18"/>
                <w:lang w:eastAsia="nl-BE"/>
              </w:rPr>
            </w:pPr>
            <w:r w:rsidRPr="002C1BE2">
              <w:rPr>
                <w:rFonts w:eastAsia="Times New Roman" w:cstheme="minorHAnsi"/>
                <w:color w:val="000000"/>
                <w:sz w:val="18"/>
                <w:szCs w:val="18"/>
                <w:lang w:eastAsia="nl-BE"/>
              </w:rPr>
              <w:t>voorschotten</w:t>
            </w:r>
            <w:r w:rsidRPr="002C1BE2">
              <w:rPr>
                <w:rFonts w:eastAsia="Times New Roman" w:cstheme="minorHAnsi"/>
                <w:color w:val="000000"/>
                <w:sz w:val="18"/>
                <w:szCs w:val="18"/>
                <w:lang w:eastAsia="nl-BE"/>
              </w:rPr>
              <w:br/>
              <w:t>(twaalfden)</w:t>
            </w:r>
            <w:r w:rsidRPr="002C1BE2">
              <w:rPr>
                <w:rFonts w:eastAsia="Times New Roman" w:cstheme="minorHAnsi"/>
                <w:color w:val="000000"/>
                <w:sz w:val="18"/>
                <w:szCs w:val="18"/>
                <w:lang w:eastAsia="nl-BE"/>
              </w:rPr>
              <w:br/>
              <w:t>(aan 98,72%)</w:t>
            </w:r>
          </w:p>
        </w:tc>
        <w:tc>
          <w:tcPr>
            <w:tcW w:w="1580" w:type="dxa"/>
            <w:tcBorders>
              <w:top w:val="nil"/>
              <w:left w:val="nil"/>
              <w:bottom w:val="single" w:sz="4" w:space="0" w:color="auto"/>
              <w:right w:val="single" w:sz="4" w:space="0" w:color="auto"/>
            </w:tcBorders>
            <w:shd w:val="clear" w:color="auto" w:fill="auto"/>
            <w:vAlign w:val="center"/>
            <w:hideMark/>
          </w:tcPr>
          <w:p w14:paraId="38B0DB33" w14:textId="77777777" w:rsidR="00481098" w:rsidRPr="002C1BE2" w:rsidRDefault="00481098" w:rsidP="001704EB">
            <w:pPr>
              <w:jc w:val="center"/>
              <w:rPr>
                <w:rFonts w:eastAsia="Times New Roman" w:cstheme="minorHAnsi"/>
                <w:color w:val="000000"/>
                <w:sz w:val="18"/>
                <w:szCs w:val="18"/>
                <w:lang w:eastAsia="nl-BE"/>
              </w:rPr>
            </w:pPr>
            <w:r w:rsidRPr="002C1BE2">
              <w:rPr>
                <w:rFonts w:eastAsia="Times New Roman" w:cstheme="minorHAnsi"/>
                <w:color w:val="000000"/>
                <w:sz w:val="18"/>
                <w:szCs w:val="18"/>
                <w:lang w:eastAsia="nl-BE"/>
              </w:rPr>
              <w:t>vanaf september 2017:</w:t>
            </w:r>
            <w:r w:rsidRPr="002C1BE2">
              <w:rPr>
                <w:rFonts w:eastAsia="Times New Roman" w:cstheme="minorHAnsi"/>
                <w:color w:val="000000"/>
                <w:sz w:val="18"/>
                <w:szCs w:val="18"/>
                <w:lang w:eastAsia="nl-BE"/>
              </w:rPr>
              <w:br/>
              <w:t>maandelijkse</w:t>
            </w:r>
            <w:r w:rsidRPr="002C1BE2">
              <w:rPr>
                <w:rFonts w:eastAsia="Times New Roman" w:cstheme="minorHAnsi"/>
                <w:color w:val="000000"/>
                <w:sz w:val="18"/>
                <w:szCs w:val="18"/>
                <w:lang w:eastAsia="nl-BE"/>
              </w:rPr>
              <w:br/>
              <w:t>afrekeningen</w:t>
            </w:r>
          </w:p>
        </w:tc>
        <w:tc>
          <w:tcPr>
            <w:tcW w:w="1581" w:type="dxa"/>
            <w:tcBorders>
              <w:top w:val="nil"/>
              <w:left w:val="nil"/>
              <w:bottom w:val="single" w:sz="4" w:space="0" w:color="auto"/>
              <w:right w:val="single" w:sz="4" w:space="0" w:color="auto"/>
            </w:tcBorders>
            <w:shd w:val="clear" w:color="auto" w:fill="auto"/>
            <w:vAlign w:val="center"/>
            <w:hideMark/>
          </w:tcPr>
          <w:p w14:paraId="73D5FA25" w14:textId="77777777" w:rsidR="00481098" w:rsidRPr="002C1BE2" w:rsidRDefault="00481098" w:rsidP="001704EB">
            <w:pPr>
              <w:jc w:val="center"/>
              <w:rPr>
                <w:rFonts w:eastAsia="Times New Roman" w:cstheme="minorHAnsi"/>
                <w:color w:val="000000"/>
                <w:sz w:val="18"/>
                <w:szCs w:val="18"/>
                <w:lang w:eastAsia="nl-BE"/>
              </w:rPr>
            </w:pPr>
            <w:r w:rsidRPr="002C1BE2">
              <w:rPr>
                <w:rFonts w:eastAsia="Times New Roman" w:cstheme="minorHAnsi"/>
                <w:color w:val="000000"/>
                <w:sz w:val="18"/>
                <w:szCs w:val="18"/>
                <w:lang w:eastAsia="nl-BE"/>
              </w:rPr>
              <w:t>maandelijkse</w:t>
            </w:r>
            <w:r w:rsidRPr="002C1BE2">
              <w:rPr>
                <w:rFonts w:eastAsia="Times New Roman" w:cstheme="minorHAnsi"/>
                <w:color w:val="000000"/>
                <w:sz w:val="18"/>
                <w:szCs w:val="18"/>
                <w:lang w:eastAsia="nl-BE"/>
              </w:rPr>
              <w:br/>
              <w:t>afrekeningen</w:t>
            </w:r>
          </w:p>
        </w:tc>
        <w:tc>
          <w:tcPr>
            <w:tcW w:w="1581" w:type="dxa"/>
            <w:tcBorders>
              <w:top w:val="nil"/>
              <w:left w:val="nil"/>
              <w:bottom w:val="single" w:sz="4" w:space="0" w:color="auto"/>
              <w:right w:val="single" w:sz="4" w:space="0" w:color="auto"/>
            </w:tcBorders>
            <w:shd w:val="clear" w:color="auto" w:fill="auto"/>
            <w:vAlign w:val="center"/>
            <w:hideMark/>
          </w:tcPr>
          <w:p w14:paraId="72EA5207" w14:textId="77777777" w:rsidR="00481098" w:rsidRPr="002C1BE2" w:rsidRDefault="00481098" w:rsidP="001704EB">
            <w:pPr>
              <w:jc w:val="center"/>
              <w:rPr>
                <w:rFonts w:eastAsia="Times New Roman" w:cstheme="minorHAnsi"/>
                <w:color w:val="000000"/>
                <w:sz w:val="18"/>
                <w:szCs w:val="18"/>
                <w:lang w:eastAsia="nl-BE"/>
              </w:rPr>
            </w:pPr>
            <w:r w:rsidRPr="002C1BE2">
              <w:rPr>
                <w:rFonts w:eastAsia="Times New Roman" w:cstheme="minorHAnsi"/>
                <w:color w:val="000000"/>
                <w:sz w:val="18"/>
                <w:szCs w:val="18"/>
                <w:lang w:eastAsia="nl-BE"/>
              </w:rPr>
              <w:t>maandelijkse</w:t>
            </w:r>
            <w:r w:rsidRPr="002C1BE2">
              <w:rPr>
                <w:rFonts w:eastAsia="Times New Roman" w:cstheme="minorHAnsi"/>
                <w:color w:val="000000"/>
                <w:sz w:val="18"/>
                <w:szCs w:val="18"/>
                <w:lang w:eastAsia="nl-BE"/>
              </w:rPr>
              <w:br/>
              <w:t>afrekeningen</w:t>
            </w:r>
          </w:p>
        </w:tc>
      </w:tr>
      <w:tr w:rsidR="00481098" w:rsidRPr="002C1BE2" w14:paraId="36A57ED6" w14:textId="77777777" w:rsidTr="001704EB">
        <w:trPr>
          <w:trHeight w:val="288"/>
        </w:trPr>
        <w:tc>
          <w:tcPr>
            <w:tcW w:w="1306" w:type="dxa"/>
            <w:vMerge/>
            <w:tcBorders>
              <w:top w:val="nil"/>
              <w:left w:val="single" w:sz="4" w:space="0" w:color="auto"/>
              <w:bottom w:val="single" w:sz="4" w:space="0" w:color="000000"/>
              <w:right w:val="single" w:sz="4" w:space="0" w:color="auto"/>
            </w:tcBorders>
            <w:vAlign w:val="center"/>
            <w:hideMark/>
          </w:tcPr>
          <w:p w14:paraId="6973C772" w14:textId="77777777" w:rsidR="00481098" w:rsidRPr="002C1BE2" w:rsidRDefault="00481098" w:rsidP="001704EB">
            <w:pPr>
              <w:rPr>
                <w:rFonts w:eastAsia="Times New Roman" w:cstheme="minorHAnsi"/>
                <w:b/>
                <w:bCs/>
                <w:color w:val="000000"/>
                <w:sz w:val="18"/>
                <w:szCs w:val="18"/>
                <w:lang w:eastAsia="nl-BE"/>
              </w:rPr>
            </w:pPr>
          </w:p>
        </w:tc>
        <w:tc>
          <w:tcPr>
            <w:tcW w:w="1580" w:type="dxa"/>
            <w:tcBorders>
              <w:top w:val="nil"/>
              <w:left w:val="nil"/>
              <w:bottom w:val="single" w:sz="4" w:space="0" w:color="auto"/>
              <w:right w:val="single" w:sz="4" w:space="0" w:color="auto"/>
            </w:tcBorders>
            <w:shd w:val="clear" w:color="000000" w:fill="D9D9D9"/>
            <w:noWrap/>
            <w:vAlign w:val="center"/>
            <w:hideMark/>
          </w:tcPr>
          <w:p w14:paraId="19B74844" w14:textId="77777777" w:rsidR="00481098" w:rsidRPr="002C1BE2" w:rsidRDefault="00481098" w:rsidP="001704EB">
            <w:pPr>
              <w:jc w:val="center"/>
              <w:rPr>
                <w:rFonts w:eastAsia="Times New Roman" w:cstheme="minorHAnsi"/>
                <w:color w:val="000000"/>
                <w:sz w:val="18"/>
                <w:szCs w:val="18"/>
                <w:lang w:eastAsia="nl-BE"/>
              </w:rPr>
            </w:pPr>
            <w:r w:rsidRPr="002C1BE2">
              <w:rPr>
                <w:rFonts w:eastAsia="Times New Roman" w:cstheme="minorHAnsi"/>
                <w:color w:val="000000"/>
                <w:sz w:val="18"/>
                <w:szCs w:val="18"/>
                <w:lang w:eastAsia="nl-BE"/>
              </w:rPr>
              <w:t> </w:t>
            </w:r>
          </w:p>
        </w:tc>
        <w:tc>
          <w:tcPr>
            <w:tcW w:w="1581" w:type="dxa"/>
            <w:tcBorders>
              <w:top w:val="nil"/>
              <w:left w:val="nil"/>
              <w:bottom w:val="single" w:sz="4" w:space="0" w:color="auto"/>
              <w:right w:val="single" w:sz="4" w:space="0" w:color="auto"/>
            </w:tcBorders>
            <w:shd w:val="clear" w:color="000000" w:fill="FFFF99"/>
            <w:vAlign w:val="center"/>
            <w:hideMark/>
          </w:tcPr>
          <w:p w14:paraId="275C291A" w14:textId="77777777" w:rsidR="00481098" w:rsidRPr="002C1BE2" w:rsidRDefault="00481098" w:rsidP="001704EB">
            <w:pPr>
              <w:jc w:val="center"/>
              <w:rPr>
                <w:rFonts w:eastAsia="Times New Roman" w:cstheme="minorHAnsi"/>
                <w:b/>
                <w:bCs/>
                <w:color w:val="000000"/>
                <w:sz w:val="18"/>
                <w:szCs w:val="18"/>
                <w:lang w:eastAsia="nl-BE"/>
              </w:rPr>
            </w:pPr>
            <w:r w:rsidRPr="002C1BE2">
              <w:rPr>
                <w:rFonts w:eastAsia="Times New Roman" w:cstheme="minorHAnsi"/>
                <w:b/>
                <w:bCs/>
                <w:color w:val="000000"/>
                <w:sz w:val="18"/>
                <w:szCs w:val="18"/>
                <w:lang w:eastAsia="nl-BE"/>
              </w:rPr>
              <w:t>5.687.406.141,77</w:t>
            </w:r>
          </w:p>
        </w:tc>
        <w:tc>
          <w:tcPr>
            <w:tcW w:w="1580" w:type="dxa"/>
            <w:tcBorders>
              <w:top w:val="nil"/>
              <w:left w:val="nil"/>
              <w:bottom w:val="single" w:sz="4" w:space="0" w:color="auto"/>
              <w:right w:val="single" w:sz="4" w:space="0" w:color="auto"/>
            </w:tcBorders>
            <w:shd w:val="clear" w:color="000000" w:fill="FFFF99"/>
            <w:vAlign w:val="center"/>
            <w:hideMark/>
          </w:tcPr>
          <w:p w14:paraId="15A1A077" w14:textId="77777777" w:rsidR="00481098" w:rsidRPr="002C1BE2" w:rsidRDefault="00481098" w:rsidP="001704EB">
            <w:pPr>
              <w:jc w:val="center"/>
              <w:rPr>
                <w:rFonts w:eastAsia="Times New Roman" w:cstheme="minorHAnsi"/>
                <w:b/>
                <w:bCs/>
                <w:color w:val="000000"/>
                <w:sz w:val="18"/>
                <w:szCs w:val="18"/>
                <w:lang w:eastAsia="nl-BE"/>
              </w:rPr>
            </w:pPr>
            <w:r w:rsidRPr="002C1BE2">
              <w:rPr>
                <w:rFonts w:eastAsia="Times New Roman" w:cstheme="minorHAnsi"/>
                <w:b/>
                <w:bCs/>
                <w:color w:val="000000"/>
                <w:sz w:val="18"/>
                <w:szCs w:val="18"/>
                <w:lang w:eastAsia="nl-BE"/>
              </w:rPr>
              <w:t>179.993.803,53</w:t>
            </w:r>
          </w:p>
        </w:tc>
        <w:tc>
          <w:tcPr>
            <w:tcW w:w="1581" w:type="dxa"/>
            <w:tcBorders>
              <w:top w:val="nil"/>
              <w:left w:val="nil"/>
              <w:bottom w:val="single" w:sz="4" w:space="0" w:color="auto"/>
              <w:right w:val="single" w:sz="4" w:space="0" w:color="auto"/>
            </w:tcBorders>
            <w:shd w:val="clear" w:color="000000" w:fill="FFFF99"/>
            <w:vAlign w:val="center"/>
            <w:hideMark/>
          </w:tcPr>
          <w:p w14:paraId="7495BCC9" w14:textId="77777777" w:rsidR="00481098" w:rsidRPr="002C1BE2" w:rsidRDefault="00481098" w:rsidP="001704EB">
            <w:pPr>
              <w:jc w:val="center"/>
              <w:rPr>
                <w:rFonts w:eastAsia="Times New Roman" w:cstheme="minorHAnsi"/>
                <w:b/>
                <w:bCs/>
                <w:color w:val="000000"/>
                <w:sz w:val="18"/>
                <w:szCs w:val="18"/>
                <w:lang w:eastAsia="nl-BE"/>
              </w:rPr>
            </w:pPr>
            <w:r w:rsidRPr="002C1BE2">
              <w:rPr>
                <w:rFonts w:eastAsia="Times New Roman" w:cstheme="minorHAnsi"/>
                <w:b/>
                <w:bCs/>
                <w:color w:val="000000"/>
                <w:sz w:val="18"/>
                <w:szCs w:val="18"/>
                <w:lang w:eastAsia="nl-BE"/>
              </w:rPr>
              <w:t>22.713.982,10</w:t>
            </w:r>
          </w:p>
        </w:tc>
        <w:tc>
          <w:tcPr>
            <w:tcW w:w="1581" w:type="dxa"/>
            <w:tcBorders>
              <w:top w:val="nil"/>
              <w:left w:val="nil"/>
              <w:bottom w:val="single" w:sz="4" w:space="0" w:color="auto"/>
              <w:right w:val="single" w:sz="4" w:space="0" w:color="auto"/>
            </w:tcBorders>
            <w:shd w:val="clear" w:color="000000" w:fill="FFCCCC"/>
            <w:vAlign w:val="center"/>
            <w:hideMark/>
          </w:tcPr>
          <w:p w14:paraId="2F7856C5" w14:textId="3A33EBFA" w:rsidR="00481098" w:rsidRPr="002C1BE2" w:rsidRDefault="007317B3" w:rsidP="007317B3">
            <w:pPr>
              <w:jc w:val="center"/>
              <w:rPr>
                <w:rFonts w:cstheme="minorHAnsi"/>
                <w:b/>
                <w:bCs/>
                <w:color w:val="000000"/>
                <w:sz w:val="18"/>
                <w:szCs w:val="18"/>
              </w:rPr>
            </w:pPr>
            <w:r w:rsidRPr="002C1BE2">
              <w:rPr>
                <w:rFonts w:cstheme="minorHAnsi"/>
                <w:b/>
                <w:bCs/>
                <w:color w:val="000000"/>
                <w:sz w:val="18"/>
                <w:szCs w:val="18"/>
              </w:rPr>
              <w:t>4.690.514,25</w:t>
            </w:r>
          </w:p>
        </w:tc>
      </w:tr>
      <w:tr w:rsidR="00481098" w:rsidRPr="002C1BE2" w14:paraId="2C23560E" w14:textId="77777777" w:rsidTr="001704EB">
        <w:trPr>
          <w:trHeight w:val="864"/>
        </w:trPr>
        <w:tc>
          <w:tcPr>
            <w:tcW w:w="130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5FFA539" w14:textId="77777777" w:rsidR="00481098" w:rsidRPr="002C1BE2" w:rsidRDefault="00481098" w:rsidP="001704EB">
            <w:pPr>
              <w:rPr>
                <w:rFonts w:eastAsia="Times New Roman" w:cstheme="minorHAnsi"/>
                <w:b/>
                <w:bCs/>
                <w:color w:val="000000"/>
                <w:sz w:val="18"/>
                <w:szCs w:val="18"/>
                <w:lang w:eastAsia="nl-BE"/>
              </w:rPr>
            </w:pPr>
            <w:r w:rsidRPr="002C1BE2">
              <w:rPr>
                <w:rFonts w:eastAsia="Times New Roman" w:cstheme="minorHAnsi"/>
                <w:b/>
                <w:bCs/>
                <w:color w:val="000000"/>
                <w:sz w:val="18"/>
                <w:szCs w:val="18"/>
                <w:lang w:eastAsia="nl-BE"/>
              </w:rPr>
              <w:t>M.b.t. AJ 2017</w:t>
            </w:r>
          </w:p>
        </w:tc>
        <w:tc>
          <w:tcPr>
            <w:tcW w:w="1580" w:type="dxa"/>
            <w:tcBorders>
              <w:top w:val="nil"/>
              <w:left w:val="nil"/>
              <w:bottom w:val="single" w:sz="4" w:space="0" w:color="auto"/>
              <w:right w:val="single" w:sz="4" w:space="0" w:color="auto"/>
            </w:tcBorders>
            <w:shd w:val="clear" w:color="000000" w:fill="D9D9D9"/>
            <w:noWrap/>
            <w:vAlign w:val="center"/>
            <w:hideMark/>
          </w:tcPr>
          <w:p w14:paraId="3B722824" w14:textId="77777777" w:rsidR="00481098" w:rsidRPr="002C1BE2" w:rsidRDefault="00481098" w:rsidP="001704EB">
            <w:pPr>
              <w:jc w:val="center"/>
              <w:rPr>
                <w:rFonts w:eastAsia="Times New Roman" w:cstheme="minorHAnsi"/>
                <w:color w:val="000000"/>
                <w:sz w:val="18"/>
                <w:szCs w:val="18"/>
                <w:lang w:eastAsia="nl-BE"/>
              </w:rPr>
            </w:pPr>
            <w:r w:rsidRPr="002C1BE2">
              <w:rPr>
                <w:rFonts w:eastAsia="Times New Roman" w:cstheme="minorHAnsi"/>
                <w:color w:val="000000"/>
                <w:sz w:val="18"/>
                <w:szCs w:val="18"/>
                <w:lang w:eastAsia="nl-BE"/>
              </w:rPr>
              <w:t> </w:t>
            </w:r>
          </w:p>
        </w:tc>
        <w:tc>
          <w:tcPr>
            <w:tcW w:w="1581" w:type="dxa"/>
            <w:tcBorders>
              <w:top w:val="nil"/>
              <w:left w:val="nil"/>
              <w:bottom w:val="single" w:sz="4" w:space="0" w:color="auto"/>
              <w:right w:val="single" w:sz="4" w:space="0" w:color="auto"/>
            </w:tcBorders>
            <w:shd w:val="clear" w:color="000000" w:fill="D9D9D9"/>
            <w:noWrap/>
            <w:vAlign w:val="center"/>
            <w:hideMark/>
          </w:tcPr>
          <w:p w14:paraId="257ABBE8" w14:textId="77777777" w:rsidR="00481098" w:rsidRPr="002C1BE2" w:rsidRDefault="00481098" w:rsidP="001704EB">
            <w:pPr>
              <w:jc w:val="center"/>
              <w:rPr>
                <w:rFonts w:eastAsia="Times New Roman" w:cstheme="minorHAnsi"/>
                <w:color w:val="000000"/>
                <w:sz w:val="18"/>
                <w:szCs w:val="18"/>
                <w:lang w:eastAsia="nl-BE"/>
              </w:rPr>
            </w:pPr>
            <w:r w:rsidRPr="002C1BE2">
              <w:rPr>
                <w:rFonts w:eastAsia="Times New Roman" w:cstheme="minorHAnsi"/>
                <w:color w:val="000000"/>
                <w:sz w:val="18"/>
                <w:szCs w:val="18"/>
                <w:lang w:eastAsia="nl-BE"/>
              </w:rPr>
              <w:t> </w:t>
            </w:r>
          </w:p>
        </w:tc>
        <w:tc>
          <w:tcPr>
            <w:tcW w:w="1580" w:type="dxa"/>
            <w:tcBorders>
              <w:top w:val="nil"/>
              <w:left w:val="nil"/>
              <w:bottom w:val="single" w:sz="4" w:space="0" w:color="auto"/>
              <w:right w:val="single" w:sz="4" w:space="0" w:color="auto"/>
            </w:tcBorders>
            <w:shd w:val="clear" w:color="auto" w:fill="auto"/>
            <w:vAlign w:val="center"/>
            <w:hideMark/>
          </w:tcPr>
          <w:p w14:paraId="70876A0D" w14:textId="77777777" w:rsidR="00481098" w:rsidRPr="002C1BE2" w:rsidRDefault="00481098" w:rsidP="001704EB">
            <w:pPr>
              <w:jc w:val="center"/>
              <w:rPr>
                <w:rFonts w:eastAsia="Times New Roman" w:cstheme="minorHAnsi"/>
                <w:color w:val="000000"/>
                <w:sz w:val="18"/>
                <w:szCs w:val="18"/>
                <w:lang w:eastAsia="nl-BE"/>
              </w:rPr>
            </w:pPr>
            <w:r w:rsidRPr="002C1BE2">
              <w:rPr>
                <w:rFonts w:eastAsia="Times New Roman" w:cstheme="minorHAnsi"/>
                <w:color w:val="000000"/>
                <w:sz w:val="18"/>
                <w:szCs w:val="18"/>
                <w:lang w:eastAsia="nl-BE"/>
              </w:rPr>
              <w:t>voorschotten</w:t>
            </w:r>
            <w:r w:rsidRPr="002C1BE2">
              <w:rPr>
                <w:rFonts w:eastAsia="Times New Roman" w:cstheme="minorHAnsi"/>
                <w:color w:val="000000"/>
                <w:sz w:val="18"/>
                <w:szCs w:val="18"/>
                <w:lang w:eastAsia="nl-BE"/>
              </w:rPr>
              <w:br/>
              <w:t>(twaalfden)</w:t>
            </w:r>
            <w:r w:rsidRPr="002C1BE2">
              <w:rPr>
                <w:rFonts w:eastAsia="Times New Roman" w:cstheme="minorHAnsi"/>
                <w:color w:val="000000"/>
                <w:sz w:val="18"/>
                <w:szCs w:val="18"/>
                <w:lang w:eastAsia="nl-BE"/>
              </w:rPr>
              <w:br/>
              <w:t>(aan 98,72%)</w:t>
            </w:r>
          </w:p>
        </w:tc>
        <w:tc>
          <w:tcPr>
            <w:tcW w:w="1581" w:type="dxa"/>
            <w:tcBorders>
              <w:top w:val="nil"/>
              <w:left w:val="nil"/>
              <w:bottom w:val="single" w:sz="4" w:space="0" w:color="auto"/>
              <w:right w:val="single" w:sz="4" w:space="0" w:color="auto"/>
            </w:tcBorders>
            <w:shd w:val="clear" w:color="auto" w:fill="auto"/>
            <w:vAlign w:val="center"/>
            <w:hideMark/>
          </w:tcPr>
          <w:p w14:paraId="15FC6C76" w14:textId="77777777" w:rsidR="00481098" w:rsidRPr="002C1BE2" w:rsidRDefault="00481098" w:rsidP="001704EB">
            <w:pPr>
              <w:jc w:val="center"/>
              <w:rPr>
                <w:rFonts w:eastAsia="Times New Roman" w:cstheme="minorHAnsi"/>
                <w:color w:val="000000"/>
                <w:sz w:val="18"/>
                <w:szCs w:val="18"/>
                <w:lang w:eastAsia="nl-BE"/>
              </w:rPr>
            </w:pPr>
            <w:r w:rsidRPr="002C1BE2">
              <w:rPr>
                <w:rFonts w:eastAsia="Times New Roman" w:cstheme="minorHAnsi"/>
                <w:color w:val="000000"/>
                <w:sz w:val="18"/>
                <w:szCs w:val="18"/>
                <w:lang w:eastAsia="nl-BE"/>
              </w:rPr>
              <w:t>vanaf september 2018:</w:t>
            </w:r>
            <w:r w:rsidRPr="002C1BE2">
              <w:rPr>
                <w:rFonts w:eastAsia="Times New Roman" w:cstheme="minorHAnsi"/>
                <w:color w:val="000000"/>
                <w:sz w:val="18"/>
                <w:szCs w:val="18"/>
                <w:lang w:eastAsia="nl-BE"/>
              </w:rPr>
              <w:br/>
              <w:t>maandelijkse</w:t>
            </w:r>
            <w:r w:rsidRPr="002C1BE2">
              <w:rPr>
                <w:rFonts w:eastAsia="Times New Roman" w:cstheme="minorHAnsi"/>
                <w:color w:val="000000"/>
                <w:sz w:val="18"/>
                <w:szCs w:val="18"/>
                <w:lang w:eastAsia="nl-BE"/>
              </w:rPr>
              <w:br/>
              <w:t>afrekeningen (met staart)</w:t>
            </w:r>
          </w:p>
        </w:tc>
        <w:tc>
          <w:tcPr>
            <w:tcW w:w="1581" w:type="dxa"/>
            <w:tcBorders>
              <w:top w:val="nil"/>
              <w:left w:val="nil"/>
              <w:bottom w:val="single" w:sz="4" w:space="0" w:color="auto"/>
              <w:right w:val="single" w:sz="4" w:space="0" w:color="auto"/>
            </w:tcBorders>
            <w:shd w:val="clear" w:color="auto" w:fill="auto"/>
            <w:vAlign w:val="center"/>
            <w:hideMark/>
          </w:tcPr>
          <w:p w14:paraId="0FD9A889" w14:textId="77777777" w:rsidR="00481098" w:rsidRPr="002C1BE2" w:rsidRDefault="00481098" w:rsidP="001704EB">
            <w:pPr>
              <w:jc w:val="center"/>
              <w:rPr>
                <w:rFonts w:eastAsia="Times New Roman" w:cstheme="minorHAnsi"/>
                <w:color w:val="000000"/>
                <w:sz w:val="18"/>
                <w:szCs w:val="18"/>
                <w:lang w:eastAsia="nl-BE"/>
              </w:rPr>
            </w:pPr>
            <w:r w:rsidRPr="002C1BE2">
              <w:rPr>
                <w:rFonts w:eastAsia="Times New Roman" w:cstheme="minorHAnsi"/>
                <w:color w:val="000000"/>
                <w:sz w:val="18"/>
                <w:szCs w:val="18"/>
                <w:lang w:eastAsia="nl-BE"/>
              </w:rPr>
              <w:t>maandelijkse</w:t>
            </w:r>
            <w:r w:rsidRPr="002C1BE2">
              <w:rPr>
                <w:rFonts w:eastAsia="Times New Roman" w:cstheme="minorHAnsi"/>
                <w:color w:val="000000"/>
                <w:sz w:val="18"/>
                <w:szCs w:val="18"/>
                <w:lang w:eastAsia="nl-BE"/>
              </w:rPr>
              <w:br/>
              <w:t>afrekeningen</w:t>
            </w:r>
            <w:r w:rsidRPr="002C1BE2">
              <w:rPr>
                <w:rFonts w:eastAsia="Times New Roman" w:cstheme="minorHAnsi"/>
                <w:color w:val="000000"/>
                <w:sz w:val="18"/>
                <w:szCs w:val="18"/>
                <w:lang w:eastAsia="nl-BE"/>
              </w:rPr>
              <w:br/>
              <w:t>(met staart)</w:t>
            </w:r>
          </w:p>
        </w:tc>
      </w:tr>
      <w:tr w:rsidR="00481098" w:rsidRPr="002C1BE2" w14:paraId="2973AE46" w14:textId="77777777" w:rsidTr="001704EB">
        <w:trPr>
          <w:trHeight w:val="288"/>
        </w:trPr>
        <w:tc>
          <w:tcPr>
            <w:tcW w:w="1306" w:type="dxa"/>
            <w:vMerge/>
            <w:tcBorders>
              <w:top w:val="nil"/>
              <w:left w:val="single" w:sz="4" w:space="0" w:color="auto"/>
              <w:bottom w:val="single" w:sz="4" w:space="0" w:color="000000"/>
              <w:right w:val="single" w:sz="4" w:space="0" w:color="auto"/>
            </w:tcBorders>
            <w:vAlign w:val="center"/>
            <w:hideMark/>
          </w:tcPr>
          <w:p w14:paraId="62A91919" w14:textId="77777777" w:rsidR="00481098" w:rsidRPr="002C1BE2" w:rsidRDefault="00481098" w:rsidP="001704EB">
            <w:pPr>
              <w:rPr>
                <w:rFonts w:eastAsia="Times New Roman" w:cstheme="minorHAnsi"/>
                <w:b/>
                <w:bCs/>
                <w:color w:val="000000"/>
                <w:sz w:val="18"/>
                <w:szCs w:val="18"/>
                <w:lang w:eastAsia="nl-BE"/>
              </w:rPr>
            </w:pPr>
          </w:p>
        </w:tc>
        <w:tc>
          <w:tcPr>
            <w:tcW w:w="1580" w:type="dxa"/>
            <w:tcBorders>
              <w:top w:val="nil"/>
              <w:left w:val="nil"/>
              <w:bottom w:val="single" w:sz="4" w:space="0" w:color="auto"/>
              <w:right w:val="single" w:sz="4" w:space="0" w:color="auto"/>
            </w:tcBorders>
            <w:shd w:val="clear" w:color="000000" w:fill="D9D9D9"/>
            <w:noWrap/>
            <w:vAlign w:val="center"/>
            <w:hideMark/>
          </w:tcPr>
          <w:p w14:paraId="0C34AEE6" w14:textId="77777777" w:rsidR="00481098" w:rsidRPr="002C1BE2" w:rsidRDefault="00481098" w:rsidP="001704EB">
            <w:pPr>
              <w:jc w:val="center"/>
              <w:rPr>
                <w:rFonts w:eastAsia="Times New Roman" w:cstheme="minorHAnsi"/>
                <w:color w:val="000000"/>
                <w:sz w:val="18"/>
                <w:szCs w:val="18"/>
                <w:lang w:eastAsia="nl-BE"/>
              </w:rPr>
            </w:pPr>
            <w:r w:rsidRPr="002C1BE2">
              <w:rPr>
                <w:rFonts w:eastAsia="Times New Roman" w:cstheme="minorHAnsi"/>
                <w:color w:val="000000"/>
                <w:sz w:val="18"/>
                <w:szCs w:val="18"/>
                <w:lang w:eastAsia="nl-BE"/>
              </w:rPr>
              <w:t> </w:t>
            </w:r>
          </w:p>
        </w:tc>
        <w:tc>
          <w:tcPr>
            <w:tcW w:w="1581" w:type="dxa"/>
            <w:tcBorders>
              <w:top w:val="nil"/>
              <w:left w:val="nil"/>
              <w:bottom w:val="single" w:sz="4" w:space="0" w:color="auto"/>
              <w:right w:val="single" w:sz="4" w:space="0" w:color="auto"/>
            </w:tcBorders>
            <w:shd w:val="clear" w:color="000000" w:fill="D9D9D9"/>
            <w:noWrap/>
            <w:vAlign w:val="center"/>
            <w:hideMark/>
          </w:tcPr>
          <w:p w14:paraId="5C2666B9" w14:textId="77777777" w:rsidR="00481098" w:rsidRPr="002C1BE2" w:rsidRDefault="00481098" w:rsidP="001704EB">
            <w:pPr>
              <w:jc w:val="center"/>
              <w:rPr>
                <w:rFonts w:eastAsia="Times New Roman" w:cstheme="minorHAnsi"/>
                <w:color w:val="000000"/>
                <w:sz w:val="18"/>
                <w:szCs w:val="18"/>
                <w:lang w:eastAsia="nl-BE"/>
              </w:rPr>
            </w:pPr>
            <w:r w:rsidRPr="002C1BE2">
              <w:rPr>
                <w:rFonts w:eastAsia="Times New Roman" w:cstheme="minorHAnsi"/>
                <w:color w:val="000000"/>
                <w:sz w:val="18"/>
                <w:szCs w:val="18"/>
                <w:lang w:eastAsia="nl-BE"/>
              </w:rPr>
              <w:t> </w:t>
            </w:r>
          </w:p>
        </w:tc>
        <w:tc>
          <w:tcPr>
            <w:tcW w:w="1580" w:type="dxa"/>
            <w:tcBorders>
              <w:top w:val="nil"/>
              <w:left w:val="nil"/>
              <w:bottom w:val="single" w:sz="4" w:space="0" w:color="auto"/>
              <w:right w:val="single" w:sz="4" w:space="0" w:color="auto"/>
            </w:tcBorders>
            <w:shd w:val="clear" w:color="000000" w:fill="FFFF99"/>
            <w:vAlign w:val="center"/>
            <w:hideMark/>
          </w:tcPr>
          <w:p w14:paraId="483FB7C0" w14:textId="77777777" w:rsidR="00481098" w:rsidRPr="002C1BE2" w:rsidRDefault="00481098" w:rsidP="001704EB">
            <w:pPr>
              <w:jc w:val="center"/>
              <w:rPr>
                <w:rFonts w:eastAsia="Times New Roman" w:cstheme="minorHAnsi"/>
                <w:b/>
                <w:bCs/>
                <w:color w:val="000000"/>
                <w:sz w:val="18"/>
                <w:szCs w:val="18"/>
                <w:lang w:eastAsia="nl-BE"/>
              </w:rPr>
            </w:pPr>
            <w:r w:rsidRPr="002C1BE2">
              <w:rPr>
                <w:rFonts w:eastAsia="Times New Roman" w:cstheme="minorHAnsi"/>
                <w:b/>
                <w:bCs/>
                <w:color w:val="000000"/>
                <w:sz w:val="18"/>
                <w:szCs w:val="18"/>
                <w:lang w:eastAsia="nl-BE"/>
              </w:rPr>
              <w:t>5.735.015.627,06</w:t>
            </w:r>
          </w:p>
        </w:tc>
        <w:tc>
          <w:tcPr>
            <w:tcW w:w="1581" w:type="dxa"/>
            <w:tcBorders>
              <w:top w:val="nil"/>
              <w:left w:val="nil"/>
              <w:bottom w:val="single" w:sz="4" w:space="0" w:color="auto"/>
              <w:right w:val="single" w:sz="4" w:space="0" w:color="auto"/>
            </w:tcBorders>
            <w:shd w:val="clear" w:color="000000" w:fill="FFFF99"/>
            <w:vAlign w:val="center"/>
            <w:hideMark/>
          </w:tcPr>
          <w:p w14:paraId="4F7913D8" w14:textId="77777777" w:rsidR="00481098" w:rsidRPr="002C1BE2" w:rsidRDefault="00481098" w:rsidP="001704EB">
            <w:pPr>
              <w:jc w:val="center"/>
              <w:rPr>
                <w:rFonts w:eastAsia="Times New Roman" w:cstheme="minorHAnsi"/>
                <w:b/>
                <w:bCs/>
                <w:color w:val="000000"/>
                <w:sz w:val="18"/>
                <w:szCs w:val="18"/>
                <w:lang w:eastAsia="nl-BE"/>
              </w:rPr>
            </w:pPr>
            <w:r w:rsidRPr="002C1BE2">
              <w:rPr>
                <w:rFonts w:eastAsia="Times New Roman" w:cstheme="minorHAnsi"/>
                <w:b/>
                <w:bCs/>
                <w:color w:val="000000"/>
                <w:sz w:val="18"/>
                <w:szCs w:val="18"/>
                <w:lang w:eastAsia="nl-BE"/>
              </w:rPr>
              <w:t>169.152.911,70</w:t>
            </w:r>
          </w:p>
        </w:tc>
        <w:tc>
          <w:tcPr>
            <w:tcW w:w="1581" w:type="dxa"/>
            <w:tcBorders>
              <w:top w:val="nil"/>
              <w:left w:val="nil"/>
              <w:bottom w:val="single" w:sz="4" w:space="0" w:color="auto"/>
              <w:right w:val="single" w:sz="4" w:space="0" w:color="auto"/>
            </w:tcBorders>
            <w:shd w:val="clear" w:color="000000" w:fill="FFCCCC"/>
            <w:vAlign w:val="center"/>
            <w:hideMark/>
          </w:tcPr>
          <w:p w14:paraId="72FB302A" w14:textId="53FC76DE" w:rsidR="00481098" w:rsidRPr="002C1BE2" w:rsidRDefault="002C1BE2" w:rsidP="002C1BE2">
            <w:pPr>
              <w:jc w:val="center"/>
              <w:rPr>
                <w:rFonts w:cstheme="minorHAnsi"/>
                <w:b/>
                <w:bCs/>
                <w:color w:val="000000"/>
                <w:sz w:val="18"/>
                <w:szCs w:val="18"/>
              </w:rPr>
            </w:pPr>
            <w:r w:rsidRPr="002C1BE2">
              <w:rPr>
                <w:rFonts w:cstheme="minorHAnsi"/>
                <w:b/>
                <w:bCs/>
                <w:color w:val="000000"/>
                <w:sz w:val="18"/>
                <w:szCs w:val="18"/>
              </w:rPr>
              <w:t>26.392.826,90</w:t>
            </w:r>
          </w:p>
        </w:tc>
      </w:tr>
      <w:tr w:rsidR="00481098" w:rsidRPr="002C1BE2" w14:paraId="7895D5C5" w14:textId="77777777" w:rsidTr="001704EB">
        <w:trPr>
          <w:trHeight w:val="864"/>
        </w:trPr>
        <w:tc>
          <w:tcPr>
            <w:tcW w:w="130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5F18660" w14:textId="77777777" w:rsidR="00481098" w:rsidRPr="002C1BE2" w:rsidRDefault="00481098" w:rsidP="001704EB">
            <w:pPr>
              <w:rPr>
                <w:rFonts w:eastAsia="Times New Roman" w:cstheme="minorHAnsi"/>
                <w:b/>
                <w:bCs/>
                <w:color w:val="000000"/>
                <w:sz w:val="18"/>
                <w:szCs w:val="18"/>
                <w:lang w:eastAsia="nl-BE"/>
              </w:rPr>
            </w:pPr>
            <w:r w:rsidRPr="002C1BE2">
              <w:rPr>
                <w:rFonts w:eastAsia="Times New Roman" w:cstheme="minorHAnsi"/>
                <w:b/>
                <w:bCs/>
                <w:color w:val="000000"/>
                <w:sz w:val="18"/>
                <w:szCs w:val="18"/>
                <w:lang w:eastAsia="nl-BE"/>
              </w:rPr>
              <w:t>M.b.t. AJ 2018</w:t>
            </w:r>
          </w:p>
        </w:tc>
        <w:tc>
          <w:tcPr>
            <w:tcW w:w="1580" w:type="dxa"/>
            <w:tcBorders>
              <w:top w:val="nil"/>
              <w:left w:val="nil"/>
              <w:bottom w:val="single" w:sz="4" w:space="0" w:color="auto"/>
              <w:right w:val="single" w:sz="4" w:space="0" w:color="auto"/>
            </w:tcBorders>
            <w:shd w:val="clear" w:color="000000" w:fill="D9D9D9"/>
            <w:noWrap/>
            <w:vAlign w:val="center"/>
            <w:hideMark/>
          </w:tcPr>
          <w:p w14:paraId="2DBCEDA3" w14:textId="77777777" w:rsidR="00481098" w:rsidRPr="002C1BE2" w:rsidRDefault="00481098" w:rsidP="001704EB">
            <w:pPr>
              <w:jc w:val="center"/>
              <w:rPr>
                <w:rFonts w:eastAsia="Times New Roman" w:cstheme="minorHAnsi"/>
                <w:color w:val="000000"/>
                <w:sz w:val="18"/>
                <w:szCs w:val="18"/>
                <w:lang w:eastAsia="nl-BE"/>
              </w:rPr>
            </w:pPr>
            <w:r w:rsidRPr="002C1BE2">
              <w:rPr>
                <w:rFonts w:eastAsia="Times New Roman" w:cstheme="minorHAnsi"/>
                <w:color w:val="000000"/>
                <w:sz w:val="18"/>
                <w:szCs w:val="18"/>
                <w:lang w:eastAsia="nl-BE"/>
              </w:rPr>
              <w:t> </w:t>
            </w:r>
          </w:p>
        </w:tc>
        <w:tc>
          <w:tcPr>
            <w:tcW w:w="1581" w:type="dxa"/>
            <w:tcBorders>
              <w:top w:val="nil"/>
              <w:left w:val="nil"/>
              <w:bottom w:val="single" w:sz="4" w:space="0" w:color="auto"/>
              <w:right w:val="single" w:sz="4" w:space="0" w:color="auto"/>
            </w:tcBorders>
            <w:shd w:val="clear" w:color="000000" w:fill="D9D9D9"/>
            <w:noWrap/>
            <w:vAlign w:val="center"/>
            <w:hideMark/>
          </w:tcPr>
          <w:p w14:paraId="43F55B1C" w14:textId="77777777" w:rsidR="00481098" w:rsidRPr="002C1BE2" w:rsidRDefault="00481098" w:rsidP="001704EB">
            <w:pPr>
              <w:jc w:val="center"/>
              <w:rPr>
                <w:rFonts w:eastAsia="Times New Roman" w:cstheme="minorHAnsi"/>
                <w:color w:val="000000"/>
                <w:sz w:val="18"/>
                <w:szCs w:val="18"/>
                <w:lang w:eastAsia="nl-BE"/>
              </w:rPr>
            </w:pPr>
            <w:r w:rsidRPr="002C1BE2">
              <w:rPr>
                <w:rFonts w:eastAsia="Times New Roman" w:cstheme="minorHAnsi"/>
                <w:color w:val="000000"/>
                <w:sz w:val="18"/>
                <w:szCs w:val="18"/>
                <w:lang w:eastAsia="nl-BE"/>
              </w:rPr>
              <w:t> </w:t>
            </w:r>
          </w:p>
        </w:tc>
        <w:tc>
          <w:tcPr>
            <w:tcW w:w="1580" w:type="dxa"/>
            <w:tcBorders>
              <w:top w:val="nil"/>
              <w:left w:val="nil"/>
              <w:bottom w:val="single" w:sz="4" w:space="0" w:color="auto"/>
              <w:right w:val="single" w:sz="4" w:space="0" w:color="auto"/>
            </w:tcBorders>
            <w:shd w:val="clear" w:color="000000" w:fill="D9D9D9"/>
            <w:noWrap/>
            <w:vAlign w:val="center"/>
            <w:hideMark/>
          </w:tcPr>
          <w:p w14:paraId="36B5134B" w14:textId="77777777" w:rsidR="00481098" w:rsidRPr="002C1BE2" w:rsidRDefault="00481098" w:rsidP="001704EB">
            <w:pPr>
              <w:jc w:val="center"/>
              <w:rPr>
                <w:rFonts w:eastAsia="Times New Roman" w:cstheme="minorHAnsi"/>
                <w:color w:val="000000"/>
                <w:sz w:val="18"/>
                <w:szCs w:val="18"/>
                <w:lang w:eastAsia="nl-BE"/>
              </w:rPr>
            </w:pPr>
            <w:r w:rsidRPr="002C1BE2">
              <w:rPr>
                <w:rFonts w:eastAsia="Times New Roman" w:cstheme="minorHAnsi"/>
                <w:color w:val="000000"/>
                <w:sz w:val="18"/>
                <w:szCs w:val="18"/>
                <w:lang w:eastAsia="nl-BE"/>
              </w:rPr>
              <w:t> </w:t>
            </w:r>
          </w:p>
        </w:tc>
        <w:tc>
          <w:tcPr>
            <w:tcW w:w="1581" w:type="dxa"/>
            <w:tcBorders>
              <w:top w:val="nil"/>
              <w:left w:val="nil"/>
              <w:bottom w:val="single" w:sz="4" w:space="0" w:color="auto"/>
              <w:right w:val="single" w:sz="4" w:space="0" w:color="auto"/>
            </w:tcBorders>
            <w:shd w:val="clear" w:color="auto" w:fill="auto"/>
            <w:vAlign w:val="center"/>
            <w:hideMark/>
          </w:tcPr>
          <w:p w14:paraId="5BB20115" w14:textId="77777777" w:rsidR="00481098" w:rsidRPr="002C1BE2" w:rsidRDefault="00481098" w:rsidP="001704EB">
            <w:pPr>
              <w:jc w:val="center"/>
              <w:rPr>
                <w:rFonts w:eastAsia="Times New Roman" w:cstheme="minorHAnsi"/>
                <w:color w:val="000000"/>
                <w:sz w:val="18"/>
                <w:szCs w:val="18"/>
                <w:lang w:eastAsia="nl-BE"/>
              </w:rPr>
            </w:pPr>
            <w:r w:rsidRPr="002C1BE2">
              <w:rPr>
                <w:rFonts w:eastAsia="Times New Roman" w:cstheme="minorHAnsi"/>
                <w:color w:val="000000"/>
                <w:sz w:val="18"/>
                <w:szCs w:val="18"/>
                <w:lang w:eastAsia="nl-BE"/>
              </w:rPr>
              <w:t>voorschotten</w:t>
            </w:r>
            <w:r w:rsidRPr="002C1BE2">
              <w:rPr>
                <w:rFonts w:eastAsia="Times New Roman" w:cstheme="minorHAnsi"/>
                <w:color w:val="000000"/>
                <w:sz w:val="18"/>
                <w:szCs w:val="18"/>
                <w:lang w:eastAsia="nl-BE"/>
              </w:rPr>
              <w:br/>
              <w:t>(twaalfden)</w:t>
            </w:r>
            <w:r w:rsidRPr="002C1BE2">
              <w:rPr>
                <w:rFonts w:eastAsia="Times New Roman" w:cstheme="minorHAnsi"/>
                <w:color w:val="000000"/>
                <w:sz w:val="18"/>
                <w:szCs w:val="18"/>
                <w:lang w:eastAsia="nl-BE"/>
              </w:rPr>
              <w:br/>
              <w:t>(aan 99,17%)</w:t>
            </w:r>
          </w:p>
        </w:tc>
        <w:tc>
          <w:tcPr>
            <w:tcW w:w="1581" w:type="dxa"/>
            <w:tcBorders>
              <w:top w:val="nil"/>
              <w:left w:val="nil"/>
              <w:bottom w:val="single" w:sz="4" w:space="0" w:color="auto"/>
              <w:right w:val="single" w:sz="4" w:space="0" w:color="auto"/>
            </w:tcBorders>
            <w:shd w:val="clear" w:color="auto" w:fill="auto"/>
            <w:vAlign w:val="center"/>
            <w:hideMark/>
          </w:tcPr>
          <w:p w14:paraId="56E05E7D" w14:textId="77777777" w:rsidR="00481098" w:rsidRPr="002C1BE2" w:rsidRDefault="00481098" w:rsidP="001704EB">
            <w:pPr>
              <w:jc w:val="center"/>
              <w:rPr>
                <w:rFonts w:eastAsia="Times New Roman" w:cstheme="minorHAnsi"/>
                <w:color w:val="000000"/>
                <w:sz w:val="18"/>
                <w:szCs w:val="18"/>
                <w:lang w:eastAsia="nl-BE"/>
              </w:rPr>
            </w:pPr>
            <w:r w:rsidRPr="002C1BE2">
              <w:rPr>
                <w:rFonts w:eastAsia="Times New Roman" w:cstheme="minorHAnsi"/>
                <w:color w:val="000000"/>
                <w:sz w:val="18"/>
                <w:szCs w:val="18"/>
                <w:lang w:eastAsia="nl-BE"/>
              </w:rPr>
              <w:t>vanaf september 2019:</w:t>
            </w:r>
            <w:r w:rsidRPr="002C1BE2">
              <w:rPr>
                <w:rFonts w:eastAsia="Times New Roman" w:cstheme="minorHAnsi"/>
                <w:color w:val="000000"/>
                <w:sz w:val="18"/>
                <w:szCs w:val="18"/>
                <w:lang w:eastAsia="nl-BE"/>
              </w:rPr>
              <w:br/>
              <w:t>maandelijkse</w:t>
            </w:r>
            <w:r w:rsidRPr="002C1BE2">
              <w:rPr>
                <w:rFonts w:eastAsia="Times New Roman" w:cstheme="minorHAnsi"/>
                <w:color w:val="000000"/>
                <w:sz w:val="18"/>
                <w:szCs w:val="18"/>
                <w:lang w:eastAsia="nl-BE"/>
              </w:rPr>
              <w:br/>
              <w:t>afrekeningen (met staart)</w:t>
            </w:r>
          </w:p>
        </w:tc>
      </w:tr>
      <w:tr w:rsidR="00481098" w:rsidRPr="002C1BE2" w14:paraId="3DE6FDA8" w14:textId="77777777" w:rsidTr="001704EB">
        <w:trPr>
          <w:trHeight w:val="288"/>
        </w:trPr>
        <w:tc>
          <w:tcPr>
            <w:tcW w:w="1306" w:type="dxa"/>
            <w:vMerge/>
            <w:tcBorders>
              <w:top w:val="nil"/>
              <w:left w:val="single" w:sz="4" w:space="0" w:color="auto"/>
              <w:bottom w:val="single" w:sz="4" w:space="0" w:color="auto"/>
              <w:right w:val="single" w:sz="4" w:space="0" w:color="auto"/>
            </w:tcBorders>
            <w:vAlign w:val="center"/>
            <w:hideMark/>
          </w:tcPr>
          <w:p w14:paraId="2736EA24" w14:textId="77777777" w:rsidR="00481098" w:rsidRPr="002C1BE2" w:rsidRDefault="00481098" w:rsidP="001704EB">
            <w:pPr>
              <w:rPr>
                <w:rFonts w:eastAsia="Times New Roman" w:cstheme="minorHAnsi"/>
                <w:b/>
                <w:bCs/>
                <w:color w:val="000000"/>
                <w:sz w:val="18"/>
                <w:szCs w:val="18"/>
                <w:lang w:eastAsia="nl-BE"/>
              </w:rPr>
            </w:pPr>
          </w:p>
        </w:tc>
        <w:tc>
          <w:tcPr>
            <w:tcW w:w="1580" w:type="dxa"/>
            <w:tcBorders>
              <w:top w:val="nil"/>
              <w:left w:val="nil"/>
              <w:bottom w:val="single" w:sz="4" w:space="0" w:color="auto"/>
              <w:right w:val="single" w:sz="4" w:space="0" w:color="auto"/>
            </w:tcBorders>
            <w:shd w:val="clear" w:color="000000" w:fill="D9D9D9"/>
            <w:noWrap/>
            <w:vAlign w:val="center"/>
            <w:hideMark/>
          </w:tcPr>
          <w:p w14:paraId="00C13F6C" w14:textId="77777777" w:rsidR="00481098" w:rsidRPr="002C1BE2" w:rsidRDefault="00481098" w:rsidP="001704EB">
            <w:pPr>
              <w:jc w:val="center"/>
              <w:rPr>
                <w:rFonts w:eastAsia="Times New Roman" w:cstheme="minorHAnsi"/>
                <w:color w:val="000000"/>
                <w:sz w:val="18"/>
                <w:szCs w:val="18"/>
                <w:lang w:eastAsia="nl-BE"/>
              </w:rPr>
            </w:pPr>
            <w:r w:rsidRPr="002C1BE2">
              <w:rPr>
                <w:rFonts w:eastAsia="Times New Roman" w:cstheme="minorHAnsi"/>
                <w:color w:val="000000"/>
                <w:sz w:val="18"/>
                <w:szCs w:val="18"/>
                <w:lang w:eastAsia="nl-BE"/>
              </w:rPr>
              <w:t> </w:t>
            </w:r>
          </w:p>
        </w:tc>
        <w:tc>
          <w:tcPr>
            <w:tcW w:w="1581" w:type="dxa"/>
            <w:tcBorders>
              <w:top w:val="nil"/>
              <w:left w:val="nil"/>
              <w:bottom w:val="single" w:sz="4" w:space="0" w:color="auto"/>
              <w:right w:val="single" w:sz="4" w:space="0" w:color="auto"/>
            </w:tcBorders>
            <w:shd w:val="clear" w:color="000000" w:fill="D9D9D9"/>
            <w:noWrap/>
            <w:vAlign w:val="center"/>
            <w:hideMark/>
          </w:tcPr>
          <w:p w14:paraId="10AACBA2" w14:textId="77777777" w:rsidR="00481098" w:rsidRPr="002C1BE2" w:rsidRDefault="00481098" w:rsidP="001704EB">
            <w:pPr>
              <w:jc w:val="center"/>
              <w:rPr>
                <w:rFonts w:eastAsia="Times New Roman" w:cstheme="minorHAnsi"/>
                <w:color w:val="000000"/>
                <w:sz w:val="18"/>
                <w:szCs w:val="18"/>
                <w:lang w:eastAsia="nl-BE"/>
              </w:rPr>
            </w:pPr>
            <w:r w:rsidRPr="002C1BE2">
              <w:rPr>
                <w:rFonts w:eastAsia="Times New Roman" w:cstheme="minorHAnsi"/>
                <w:color w:val="000000"/>
                <w:sz w:val="18"/>
                <w:szCs w:val="18"/>
                <w:lang w:eastAsia="nl-BE"/>
              </w:rPr>
              <w:t> </w:t>
            </w:r>
          </w:p>
        </w:tc>
        <w:tc>
          <w:tcPr>
            <w:tcW w:w="1580" w:type="dxa"/>
            <w:tcBorders>
              <w:top w:val="nil"/>
              <w:left w:val="nil"/>
              <w:bottom w:val="single" w:sz="4" w:space="0" w:color="auto"/>
              <w:right w:val="single" w:sz="4" w:space="0" w:color="auto"/>
            </w:tcBorders>
            <w:shd w:val="clear" w:color="000000" w:fill="D9D9D9"/>
            <w:noWrap/>
            <w:vAlign w:val="center"/>
            <w:hideMark/>
          </w:tcPr>
          <w:p w14:paraId="0352BE94" w14:textId="77777777" w:rsidR="00481098" w:rsidRPr="002C1BE2" w:rsidRDefault="00481098" w:rsidP="001704EB">
            <w:pPr>
              <w:jc w:val="center"/>
              <w:rPr>
                <w:rFonts w:eastAsia="Times New Roman" w:cstheme="minorHAnsi"/>
                <w:color w:val="000000"/>
                <w:sz w:val="18"/>
                <w:szCs w:val="18"/>
                <w:lang w:eastAsia="nl-BE"/>
              </w:rPr>
            </w:pPr>
            <w:r w:rsidRPr="002C1BE2">
              <w:rPr>
                <w:rFonts w:eastAsia="Times New Roman" w:cstheme="minorHAnsi"/>
                <w:color w:val="000000"/>
                <w:sz w:val="18"/>
                <w:szCs w:val="18"/>
                <w:lang w:eastAsia="nl-BE"/>
              </w:rPr>
              <w:t> </w:t>
            </w:r>
          </w:p>
        </w:tc>
        <w:tc>
          <w:tcPr>
            <w:tcW w:w="1581" w:type="dxa"/>
            <w:tcBorders>
              <w:top w:val="nil"/>
              <w:left w:val="nil"/>
              <w:bottom w:val="single" w:sz="4" w:space="0" w:color="auto"/>
              <w:right w:val="single" w:sz="4" w:space="0" w:color="auto"/>
            </w:tcBorders>
            <w:shd w:val="clear" w:color="000000" w:fill="FFFF99"/>
            <w:vAlign w:val="center"/>
            <w:hideMark/>
          </w:tcPr>
          <w:p w14:paraId="1865DFA4" w14:textId="77777777" w:rsidR="00481098" w:rsidRPr="002C1BE2" w:rsidRDefault="00481098" w:rsidP="001704EB">
            <w:pPr>
              <w:jc w:val="center"/>
              <w:rPr>
                <w:rFonts w:eastAsia="Times New Roman" w:cstheme="minorHAnsi"/>
                <w:b/>
                <w:bCs/>
                <w:color w:val="000000"/>
                <w:sz w:val="18"/>
                <w:szCs w:val="18"/>
                <w:lang w:eastAsia="nl-BE"/>
              </w:rPr>
            </w:pPr>
            <w:r w:rsidRPr="002C1BE2">
              <w:rPr>
                <w:rFonts w:eastAsia="Times New Roman" w:cstheme="minorHAnsi"/>
                <w:b/>
                <w:bCs/>
                <w:color w:val="000000"/>
                <w:sz w:val="18"/>
                <w:szCs w:val="18"/>
                <w:lang w:eastAsia="nl-BE"/>
              </w:rPr>
              <w:t>5.676.471.071,18</w:t>
            </w:r>
          </w:p>
        </w:tc>
        <w:tc>
          <w:tcPr>
            <w:tcW w:w="1581" w:type="dxa"/>
            <w:tcBorders>
              <w:top w:val="nil"/>
              <w:left w:val="nil"/>
              <w:bottom w:val="single" w:sz="4" w:space="0" w:color="auto"/>
              <w:right w:val="single" w:sz="4" w:space="0" w:color="auto"/>
            </w:tcBorders>
            <w:shd w:val="clear" w:color="000000" w:fill="FFCCCC"/>
            <w:vAlign w:val="center"/>
            <w:hideMark/>
          </w:tcPr>
          <w:p w14:paraId="17414454" w14:textId="1897CB86" w:rsidR="00481098" w:rsidRPr="002C1BE2" w:rsidRDefault="002C1BE2" w:rsidP="002C1BE2">
            <w:pPr>
              <w:jc w:val="center"/>
              <w:rPr>
                <w:rFonts w:cstheme="minorHAnsi"/>
                <w:b/>
                <w:bCs/>
                <w:color w:val="000000"/>
                <w:sz w:val="18"/>
                <w:szCs w:val="18"/>
              </w:rPr>
            </w:pPr>
            <w:r w:rsidRPr="002C1BE2">
              <w:rPr>
                <w:rFonts w:cstheme="minorHAnsi"/>
                <w:b/>
                <w:bCs/>
                <w:color w:val="000000"/>
                <w:sz w:val="18"/>
                <w:szCs w:val="18"/>
              </w:rPr>
              <w:t>232.223.567,51</w:t>
            </w:r>
          </w:p>
        </w:tc>
      </w:tr>
      <w:tr w:rsidR="00481098" w:rsidRPr="002C1BE2" w14:paraId="1EDD73BB" w14:textId="77777777" w:rsidTr="001704EB">
        <w:trPr>
          <w:trHeight w:val="864"/>
        </w:trPr>
        <w:tc>
          <w:tcPr>
            <w:tcW w:w="130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9DDB87" w14:textId="77777777" w:rsidR="00481098" w:rsidRPr="002C1BE2" w:rsidRDefault="00481098" w:rsidP="001704EB">
            <w:pPr>
              <w:rPr>
                <w:rFonts w:eastAsia="Times New Roman" w:cstheme="minorHAnsi"/>
                <w:b/>
                <w:bCs/>
                <w:color w:val="000000"/>
                <w:sz w:val="18"/>
                <w:szCs w:val="18"/>
                <w:lang w:eastAsia="nl-BE"/>
              </w:rPr>
            </w:pPr>
            <w:r w:rsidRPr="002C1BE2">
              <w:rPr>
                <w:rFonts w:eastAsia="Times New Roman" w:cstheme="minorHAnsi"/>
                <w:b/>
                <w:bCs/>
                <w:color w:val="000000"/>
                <w:sz w:val="18"/>
                <w:szCs w:val="18"/>
                <w:lang w:eastAsia="nl-BE"/>
              </w:rPr>
              <w:lastRenderedPageBreak/>
              <w:t>M.b.t. AJ 2019</w:t>
            </w:r>
          </w:p>
        </w:tc>
        <w:tc>
          <w:tcPr>
            <w:tcW w:w="1580" w:type="dxa"/>
            <w:tcBorders>
              <w:top w:val="nil"/>
              <w:left w:val="nil"/>
              <w:bottom w:val="single" w:sz="4" w:space="0" w:color="auto"/>
              <w:right w:val="single" w:sz="4" w:space="0" w:color="auto"/>
            </w:tcBorders>
            <w:shd w:val="clear" w:color="000000" w:fill="D9D9D9"/>
            <w:noWrap/>
            <w:vAlign w:val="center"/>
            <w:hideMark/>
          </w:tcPr>
          <w:p w14:paraId="7FFBA2C1" w14:textId="77777777" w:rsidR="00481098" w:rsidRPr="002C1BE2" w:rsidRDefault="00481098" w:rsidP="001704EB">
            <w:pPr>
              <w:jc w:val="center"/>
              <w:rPr>
                <w:rFonts w:eastAsia="Times New Roman" w:cstheme="minorHAnsi"/>
                <w:color w:val="000000"/>
                <w:sz w:val="18"/>
                <w:szCs w:val="18"/>
                <w:lang w:eastAsia="nl-BE"/>
              </w:rPr>
            </w:pPr>
            <w:r w:rsidRPr="002C1BE2">
              <w:rPr>
                <w:rFonts w:eastAsia="Times New Roman" w:cstheme="minorHAnsi"/>
                <w:color w:val="000000"/>
                <w:sz w:val="18"/>
                <w:szCs w:val="18"/>
                <w:lang w:eastAsia="nl-BE"/>
              </w:rPr>
              <w:t> </w:t>
            </w:r>
          </w:p>
        </w:tc>
        <w:tc>
          <w:tcPr>
            <w:tcW w:w="1581" w:type="dxa"/>
            <w:tcBorders>
              <w:top w:val="nil"/>
              <w:left w:val="nil"/>
              <w:bottom w:val="single" w:sz="4" w:space="0" w:color="auto"/>
              <w:right w:val="single" w:sz="4" w:space="0" w:color="auto"/>
            </w:tcBorders>
            <w:shd w:val="clear" w:color="000000" w:fill="D9D9D9"/>
            <w:noWrap/>
            <w:vAlign w:val="center"/>
            <w:hideMark/>
          </w:tcPr>
          <w:p w14:paraId="739FC8B6" w14:textId="77777777" w:rsidR="00481098" w:rsidRPr="002C1BE2" w:rsidRDefault="00481098" w:rsidP="001704EB">
            <w:pPr>
              <w:jc w:val="center"/>
              <w:rPr>
                <w:rFonts w:eastAsia="Times New Roman" w:cstheme="minorHAnsi"/>
                <w:color w:val="000000"/>
                <w:sz w:val="18"/>
                <w:szCs w:val="18"/>
                <w:lang w:eastAsia="nl-BE"/>
              </w:rPr>
            </w:pPr>
            <w:r w:rsidRPr="002C1BE2">
              <w:rPr>
                <w:rFonts w:eastAsia="Times New Roman" w:cstheme="minorHAnsi"/>
                <w:color w:val="000000"/>
                <w:sz w:val="18"/>
                <w:szCs w:val="18"/>
                <w:lang w:eastAsia="nl-BE"/>
              </w:rPr>
              <w:t> </w:t>
            </w:r>
          </w:p>
        </w:tc>
        <w:tc>
          <w:tcPr>
            <w:tcW w:w="1580" w:type="dxa"/>
            <w:tcBorders>
              <w:top w:val="nil"/>
              <w:left w:val="nil"/>
              <w:bottom w:val="single" w:sz="4" w:space="0" w:color="auto"/>
              <w:right w:val="single" w:sz="4" w:space="0" w:color="auto"/>
            </w:tcBorders>
            <w:shd w:val="clear" w:color="000000" w:fill="D9D9D9"/>
            <w:noWrap/>
            <w:vAlign w:val="center"/>
            <w:hideMark/>
          </w:tcPr>
          <w:p w14:paraId="53E3DF09" w14:textId="77777777" w:rsidR="00481098" w:rsidRPr="002C1BE2" w:rsidRDefault="00481098" w:rsidP="001704EB">
            <w:pPr>
              <w:jc w:val="center"/>
              <w:rPr>
                <w:rFonts w:eastAsia="Times New Roman" w:cstheme="minorHAnsi"/>
                <w:color w:val="000000"/>
                <w:sz w:val="18"/>
                <w:szCs w:val="18"/>
                <w:lang w:eastAsia="nl-BE"/>
              </w:rPr>
            </w:pPr>
            <w:r w:rsidRPr="002C1BE2">
              <w:rPr>
                <w:rFonts w:eastAsia="Times New Roman" w:cstheme="minorHAnsi"/>
                <w:color w:val="000000"/>
                <w:sz w:val="18"/>
                <w:szCs w:val="18"/>
                <w:lang w:eastAsia="nl-BE"/>
              </w:rPr>
              <w:t> </w:t>
            </w:r>
          </w:p>
        </w:tc>
        <w:tc>
          <w:tcPr>
            <w:tcW w:w="1581" w:type="dxa"/>
            <w:tcBorders>
              <w:top w:val="nil"/>
              <w:left w:val="nil"/>
              <w:bottom w:val="single" w:sz="4" w:space="0" w:color="auto"/>
              <w:right w:val="single" w:sz="4" w:space="0" w:color="auto"/>
            </w:tcBorders>
            <w:shd w:val="clear" w:color="000000" w:fill="D9D9D9"/>
            <w:noWrap/>
            <w:vAlign w:val="center"/>
            <w:hideMark/>
          </w:tcPr>
          <w:p w14:paraId="67F02BEB" w14:textId="77777777" w:rsidR="00481098" w:rsidRPr="002C1BE2" w:rsidRDefault="00481098" w:rsidP="001704EB">
            <w:pPr>
              <w:jc w:val="center"/>
              <w:rPr>
                <w:rFonts w:eastAsia="Times New Roman" w:cstheme="minorHAnsi"/>
                <w:color w:val="000000"/>
                <w:sz w:val="18"/>
                <w:szCs w:val="18"/>
                <w:lang w:eastAsia="nl-BE"/>
              </w:rPr>
            </w:pPr>
            <w:r w:rsidRPr="002C1BE2">
              <w:rPr>
                <w:rFonts w:eastAsia="Times New Roman" w:cstheme="minorHAnsi"/>
                <w:color w:val="000000"/>
                <w:sz w:val="18"/>
                <w:szCs w:val="18"/>
                <w:lang w:eastAsia="nl-BE"/>
              </w:rPr>
              <w:t> </w:t>
            </w:r>
          </w:p>
        </w:tc>
        <w:tc>
          <w:tcPr>
            <w:tcW w:w="1581" w:type="dxa"/>
            <w:tcBorders>
              <w:top w:val="nil"/>
              <w:left w:val="nil"/>
              <w:bottom w:val="single" w:sz="4" w:space="0" w:color="auto"/>
              <w:right w:val="single" w:sz="4" w:space="0" w:color="auto"/>
            </w:tcBorders>
            <w:shd w:val="clear" w:color="auto" w:fill="auto"/>
            <w:vAlign w:val="center"/>
            <w:hideMark/>
          </w:tcPr>
          <w:p w14:paraId="03D1B370" w14:textId="77777777" w:rsidR="00481098" w:rsidRPr="002C1BE2" w:rsidRDefault="00481098" w:rsidP="001704EB">
            <w:pPr>
              <w:jc w:val="center"/>
              <w:rPr>
                <w:rFonts w:eastAsia="Times New Roman" w:cstheme="minorHAnsi"/>
                <w:color w:val="000000"/>
                <w:sz w:val="18"/>
                <w:szCs w:val="18"/>
                <w:lang w:eastAsia="nl-BE"/>
              </w:rPr>
            </w:pPr>
            <w:r w:rsidRPr="002C1BE2">
              <w:rPr>
                <w:rFonts w:eastAsia="Times New Roman" w:cstheme="minorHAnsi"/>
                <w:color w:val="000000"/>
                <w:sz w:val="18"/>
                <w:szCs w:val="18"/>
                <w:lang w:eastAsia="nl-BE"/>
              </w:rPr>
              <w:t>voorschotten</w:t>
            </w:r>
            <w:r w:rsidRPr="002C1BE2">
              <w:rPr>
                <w:rFonts w:eastAsia="Times New Roman" w:cstheme="minorHAnsi"/>
                <w:color w:val="000000"/>
                <w:sz w:val="18"/>
                <w:szCs w:val="18"/>
                <w:lang w:eastAsia="nl-BE"/>
              </w:rPr>
              <w:br/>
              <w:t>(twaalfden)</w:t>
            </w:r>
            <w:r w:rsidRPr="002C1BE2">
              <w:rPr>
                <w:rFonts w:eastAsia="Times New Roman" w:cstheme="minorHAnsi"/>
                <w:color w:val="000000"/>
                <w:sz w:val="18"/>
                <w:szCs w:val="18"/>
                <w:lang w:eastAsia="nl-BE"/>
              </w:rPr>
              <w:br/>
              <w:t>(aan 99,37%)</w:t>
            </w:r>
          </w:p>
        </w:tc>
      </w:tr>
      <w:tr w:rsidR="00481098" w:rsidRPr="002C1BE2" w14:paraId="143F2996" w14:textId="77777777" w:rsidTr="001704EB">
        <w:trPr>
          <w:trHeight w:val="288"/>
        </w:trPr>
        <w:tc>
          <w:tcPr>
            <w:tcW w:w="1306" w:type="dxa"/>
            <w:vMerge/>
            <w:tcBorders>
              <w:top w:val="nil"/>
              <w:left w:val="single" w:sz="4" w:space="0" w:color="auto"/>
              <w:bottom w:val="single" w:sz="4" w:space="0" w:color="auto"/>
              <w:right w:val="single" w:sz="4" w:space="0" w:color="auto"/>
            </w:tcBorders>
            <w:vAlign w:val="center"/>
            <w:hideMark/>
          </w:tcPr>
          <w:p w14:paraId="30AD8E92" w14:textId="77777777" w:rsidR="00481098" w:rsidRPr="002C1BE2" w:rsidRDefault="00481098" w:rsidP="001704EB">
            <w:pPr>
              <w:rPr>
                <w:rFonts w:eastAsia="Times New Roman" w:cstheme="minorHAnsi"/>
                <w:b/>
                <w:bCs/>
                <w:color w:val="000000"/>
                <w:sz w:val="18"/>
                <w:szCs w:val="18"/>
                <w:lang w:eastAsia="nl-BE"/>
              </w:rPr>
            </w:pPr>
          </w:p>
        </w:tc>
        <w:tc>
          <w:tcPr>
            <w:tcW w:w="1580" w:type="dxa"/>
            <w:tcBorders>
              <w:top w:val="nil"/>
              <w:left w:val="nil"/>
              <w:bottom w:val="single" w:sz="4" w:space="0" w:color="auto"/>
              <w:right w:val="single" w:sz="4" w:space="0" w:color="auto"/>
            </w:tcBorders>
            <w:shd w:val="clear" w:color="000000" w:fill="D9D9D9"/>
            <w:noWrap/>
            <w:vAlign w:val="center"/>
            <w:hideMark/>
          </w:tcPr>
          <w:p w14:paraId="0D435561" w14:textId="77777777" w:rsidR="00481098" w:rsidRPr="002C1BE2" w:rsidRDefault="00481098" w:rsidP="001704EB">
            <w:pPr>
              <w:jc w:val="center"/>
              <w:rPr>
                <w:rFonts w:eastAsia="Times New Roman" w:cstheme="minorHAnsi"/>
                <w:color w:val="000000"/>
                <w:sz w:val="18"/>
                <w:szCs w:val="18"/>
                <w:lang w:eastAsia="nl-BE"/>
              </w:rPr>
            </w:pPr>
            <w:r w:rsidRPr="002C1BE2">
              <w:rPr>
                <w:rFonts w:eastAsia="Times New Roman" w:cstheme="minorHAnsi"/>
                <w:color w:val="000000"/>
                <w:sz w:val="18"/>
                <w:szCs w:val="18"/>
                <w:lang w:eastAsia="nl-BE"/>
              </w:rPr>
              <w:t> </w:t>
            </w:r>
          </w:p>
        </w:tc>
        <w:tc>
          <w:tcPr>
            <w:tcW w:w="1581" w:type="dxa"/>
            <w:tcBorders>
              <w:top w:val="nil"/>
              <w:left w:val="nil"/>
              <w:bottom w:val="single" w:sz="4" w:space="0" w:color="auto"/>
              <w:right w:val="single" w:sz="4" w:space="0" w:color="auto"/>
            </w:tcBorders>
            <w:shd w:val="clear" w:color="000000" w:fill="D9D9D9"/>
            <w:noWrap/>
            <w:vAlign w:val="center"/>
            <w:hideMark/>
          </w:tcPr>
          <w:p w14:paraId="6B2F11A6" w14:textId="77777777" w:rsidR="00481098" w:rsidRPr="002C1BE2" w:rsidRDefault="00481098" w:rsidP="001704EB">
            <w:pPr>
              <w:jc w:val="center"/>
              <w:rPr>
                <w:rFonts w:eastAsia="Times New Roman" w:cstheme="minorHAnsi"/>
                <w:color w:val="000000"/>
                <w:sz w:val="18"/>
                <w:szCs w:val="18"/>
                <w:lang w:eastAsia="nl-BE"/>
              </w:rPr>
            </w:pPr>
            <w:r w:rsidRPr="002C1BE2">
              <w:rPr>
                <w:rFonts w:eastAsia="Times New Roman" w:cstheme="minorHAnsi"/>
                <w:color w:val="000000"/>
                <w:sz w:val="18"/>
                <w:szCs w:val="18"/>
                <w:lang w:eastAsia="nl-BE"/>
              </w:rPr>
              <w:t> </w:t>
            </w:r>
          </w:p>
        </w:tc>
        <w:tc>
          <w:tcPr>
            <w:tcW w:w="1580" w:type="dxa"/>
            <w:tcBorders>
              <w:top w:val="nil"/>
              <w:left w:val="nil"/>
              <w:bottom w:val="single" w:sz="4" w:space="0" w:color="auto"/>
              <w:right w:val="single" w:sz="4" w:space="0" w:color="auto"/>
            </w:tcBorders>
            <w:shd w:val="clear" w:color="000000" w:fill="D9D9D9"/>
            <w:noWrap/>
            <w:vAlign w:val="center"/>
            <w:hideMark/>
          </w:tcPr>
          <w:p w14:paraId="07C4FBFA" w14:textId="77777777" w:rsidR="00481098" w:rsidRPr="002C1BE2" w:rsidRDefault="00481098" w:rsidP="001704EB">
            <w:pPr>
              <w:jc w:val="center"/>
              <w:rPr>
                <w:rFonts w:eastAsia="Times New Roman" w:cstheme="minorHAnsi"/>
                <w:color w:val="000000"/>
                <w:sz w:val="18"/>
                <w:szCs w:val="18"/>
                <w:lang w:eastAsia="nl-BE"/>
              </w:rPr>
            </w:pPr>
            <w:r w:rsidRPr="002C1BE2">
              <w:rPr>
                <w:rFonts w:eastAsia="Times New Roman" w:cstheme="minorHAnsi"/>
                <w:color w:val="000000"/>
                <w:sz w:val="18"/>
                <w:szCs w:val="18"/>
                <w:lang w:eastAsia="nl-BE"/>
              </w:rPr>
              <w:t> </w:t>
            </w:r>
          </w:p>
        </w:tc>
        <w:tc>
          <w:tcPr>
            <w:tcW w:w="1581" w:type="dxa"/>
            <w:tcBorders>
              <w:top w:val="nil"/>
              <w:left w:val="nil"/>
              <w:bottom w:val="single" w:sz="4" w:space="0" w:color="auto"/>
              <w:right w:val="single" w:sz="4" w:space="0" w:color="auto"/>
            </w:tcBorders>
            <w:shd w:val="clear" w:color="000000" w:fill="D9D9D9"/>
            <w:noWrap/>
            <w:vAlign w:val="center"/>
            <w:hideMark/>
          </w:tcPr>
          <w:p w14:paraId="2B03643D" w14:textId="77777777" w:rsidR="00481098" w:rsidRPr="002C1BE2" w:rsidRDefault="00481098" w:rsidP="001704EB">
            <w:pPr>
              <w:jc w:val="center"/>
              <w:rPr>
                <w:rFonts w:eastAsia="Times New Roman" w:cstheme="minorHAnsi"/>
                <w:color w:val="000000"/>
                <w:sz w:val="18"/>
                <w:szCs w:val="18"/>
                <w:lang w:eastAsia="nl-BE"/>
              </w:rPr>
            </w:pPr>
            <w:r w:rsidRPr="002C1BE2">
              <w:rPr>
                <w:rFonts w:eastAsia="Times New Roman" w:cstheme="minorHAnsi"/>
                <w:color w:val="000000"/>
                <w:sz w:val="18"/>
                <w:szCs w:val="18"/>
                <w:lang w:eastAsia="nl-BE"/>
              </w:rPr>
              <w:t> </w:t>
            </w:r>
          </w:p>
        </w:tc>
        <w:tc>
          <w:tcPr>
            <w:tcW w:w="1581" w:type="dxa"/>
            <w:tcBorders>
              <w:top w:val="nil"/>
              <w:left w:val="nil"/>
              <w:bottom w:val="single" w:sz="4" w:space="0" w:color="auto"/>
              <w:right w:val="single" w:sz="4" w:space="0" w:color="auto"/>
            </w:tcBorders>
            <w:shd w:val="clear" w:color="000000" w:fill="FFFF99"/>
            <w:vAlign w:val="center"/>
            <w:hideMark/>
          </w:tcPr>
          <w:p w14:paraId="3C293766" w14:textId="77777777" w:rsidR="00481098" w:rsidRPr="002C1BE2" w:rsidRDefault="00481098" w:rsidP="001704EB">
            <w:pPr>
              <w:jc w:val="center"/>
              <w:rPr>
                <w:rFonts w:eastAsia="Times New Roman" w:cstheme="minorHAnsi"/>
                <w:b/>
                <w:bCs/>
                <w:color w:val="000000"/>
                <w:sz w:val="18"/>
                <w:szCs w:val="18"/>
                <w:lang w:eastAsia="nl-BE"/>
              </w:rPr>
            </w:pPr>
            <w:r w:rsidRPr="002C1BE2">
              <w:rPr>
                <w:rFonts w:eastAsia="Times New Roman" w:cstheme="minorHAnsi"/>
                <w:b/>
                <w:bCs/>
                <w:color w:val="000000"/>
                <w:sz w:val="18"/>
                <w:szCs w:val="18"/>
                <w:lang w:eastAsia="nl-BE"/>
              </w:rPr>
              <w:t>5.904.828.809,72</w:t>
            </w:r>
          </w:p>
        </w:tc>
      </w:tr>
      <w:tr w:rsidR="00481098" w:rsidRPr="002C1BE2" w14:paraId="48AB1616" w14:textId="77777777" w:rsidTr="001704EB">
        <w:trPr>
          <w:trHeight w:val="288"/>
        </w:trPr>
        <w:tc>
          <w:tcPr>
            <w:tcW w:w="1306" w:type="dxa"/>
            <w:tcBorders>
              <w:top w:val="nil"/>
              <w:left w:val="single" w:sz="4" w:space="0" w:color="auto"/>
              <w:bottom w:val="single" w:sz="4" w:space="0" w:color="auto"/>
              <w:right w:val="single" w:sz="4" w:space="0" w:color="auto"/>
            </w:tcBorders>
            <w:shd w:val="clear" w:color="auto" w:fill="auto"/>
            <w:noWrap/>
            <w:vAlign w:val="center"/>
            <w:hideMark/>
          </w:tcPr>
          <w:p w14:paraId="562B17B0" w14:textId="77777777" w:rsidR="00481098" w:rsidRPr="002C1BE2" w:rsidRDefault="00481098" w:rsidP="001704EB">
            <w:pPr>
              <w:rPr>
                <w:rFonts w:eastAsia="Times New Roman" w:cstheme="minorHAnsi"/>
                <w:b/>
                <w:bCs/>
                <w:color w:val="000000"/>
                <w:sz w:val="18"/>
                <w:szCs w:val="18"/>
                <w:lang w:eastAsia="nl-BE"/>
              </w:rPr>
            </w:pPr>
            <w:r w:rsidRPr="002C1BE2">
              <w:rPr>
                <w:rFonts w:eastAsia="Times New Roman" w:cstheme="minorHAnsi"/>
                <w:b/>
                <w:bCs/>
                <w:color w:val="000000"/>
                <w:sz w:val="18"/>
                <w:szCs w:val="18"/>
                <w:lang w:eastAsia="nl-BE"/>
              </w:rPr>
              <w:t>TOTAAL</w:t>
            </w:r>
          </w:p>
        </w:tc>
        <w:tc>
          <w:tcPr>
            <w:tcW w:w="1580" w:type="dxa"/>
            <w:tcBorders>
              <w:top w:val="nil"/>
              <w:left w:val="nil"/>
              <w:bottom w:val="single" w:sz="4" w:space="0" w:color="auto"/>
              <w:right w:val="single" w:sz="4" w:space="0" w:color="auto"/>
            </w:tcBorders>
            <w:shd w:val="clear" w:color="000000" w:fill="FFFF99"/>
            <w:noWrap/>
            <w:vAlign w:val="center"/>
            <w:hideMark/>
          </w:tcPr>
          <w:p w14:paraId="4E389D9E" w14:textId="77777777" w:rsidR="00481098" w:rsidRPr="002C1BE2" w:rsidRDefault="00481098" w:rsidP="001704EB">
            <w:pPr>
              <w:jc w:val="center"/>
              <w:rPr>
                <w:rFonts w:eastAsia="Times New Roman" w:cstheme="minorHAnsi"/>
                <w:b/>
                <w:bCs/>
                <w:color w:val="000000"/>
                <w:sz w:val="18"/>
                <w:szCs w:val="18"/>
                <w:lang w:eastAsia="nl-BE"/>
              </w:rPr>
            </w:pPr>
            <w:r w:rsidRPr="002C1BE2">
              <w:rPr>
                <w:rFonts w:eastAsia="Times New Roman" w:cstheme="minorHAnsi"/>
                <w:b/>
                <w:bCs/>
                <w:color w:val="000000"/>
                <w:sz w:val="18"/>
                <w:szCs w:val="18"/>
                <w:lang w:eastAsia="nl-BE"/>
              </w:rPr>
              <w:t>5.601.138.495,34</w:t>
            </w:r>
          </w:p>
        </w:tc>
        <w:tc>
          <w:tcPr>
            <w:tcW w:w="1581" w:type="dxa"/>
            <w:tcBorders>
              <w:top w:val="nil"/>
              <w:left w:val="nil"/>
              <w:bottom w:val="single" w:sz="4" w:space="0" w:color="auto"/>
              <w:right w:val="single" w:sz="4" w:space="0" w:color="auto"/>
            </w:tcBorders>
            <w:shd w:val="clear" w:color="000000" w:fill="FFFF99"/>
            <w:noWrap/>
            <w:vAlign w:val="center"/>
            <w:hideMark/>
          </w:tcPr>
          <w:p w14:paraId="6D0398B4" w14:textId="77777777" w:rsidR="00481098" w:rsidRPr="002C1BE2" w:rsidRDefault="00481098" w:rsidP="001704EB">
            <w:pPr>
              <w:jc w:val="center"/>
              <w:rPr>
                <w:rFonts w:eastAsia="Times New Roman" w:cstheme="minorHAnsi"/>
                <w:b/>
                <w:bCs/>
                <w:color w:val="000000"/>
                <w:sz w:val="18"/>
                <w:szCs w:val="18"/>
                <w:lang w:eastAsia="nl-BE"/>
              </w:rPr>
            </w:pPr>
            <w:r w:rsidRPr="002C1BE2">
              <w:rPr>
                <w:rFonts w:eastAsia="Times New Roman" w:cstheme="minorHAnsi"/>
                <w:b/>
                <w:bCs/>
                <w:color w:val="000000"/>
                <w:sz w:val="18"/>
                <w:szCs w:val="18"/>
                <w:lang w:eastAsia="nl-BE"/>
              </w:rPr>
              <w:t>5.910.210.789,62</w:t>
            </w:r>
          </w:p>
        </w:tc>
        <w:tc>
          <w:tcPr>
            <w:tcW w:w="1580" w:type="dxa"/>
            <w:tcBorders>
              <w:top w:val="nil"/>
              <w:left w:val="nil"/>
              <w:bottom w:val="single" w:sz="4" w:space="0" w:color="auto"/>
              <w:right w:val="single" w:sz="4" w:space="0" w:color="auto"/>
            </w:tcBorders>
            <w:shd w:val="clear" w:color="000000" w:fill="FFFF99"/>
            <w:noWrap/>
            <w:vAlign w:val="center"/>
            <w:hideMark/>
          </w:tcPr>
          <w:p w14:paraId="3E061738" w14:textId="77777777" w:rsidR="00481098" w:rsidRPr="002C1BE2" w:rsidRDefault="00481098" w:rsidP="001704EB">
            <w:pPr>
              <w:jc w:val="center"/>
              <w:rPr>
                <w:rFonts w:eastAsia="Times New Roman" w:cstheme="minorHAnsi"/>
                <w:b/>
                <w:bCs/>
                <w:color w:val="000000"/>
                <w:sz w:val="18"/>
                <w:szCs w:val="18"/>
                <w:lang w:eastAsia="nl-BE"/>
              </w:rPr>
            </w:pPr>
            <w:r w:rsidRPr="002C1BE2">
              <w:rPr>
                <w:rFonts w:eastAsia="Times New Roman" w:cstheme="minorHAnsi"/>
                <w:b/>
                <w:bCs/>
                <w:color w:val="000000"/>
                <w:sz w:val="18"/>
                <w:szCs w:val="18"/>
                <w:lang w:eastAsia="nl-BE"/>
              </w:rPr>
              <w:t>5.938.745.878,00</w:t>
            </w:r>
          </w:p>
        </w:tc>
        <w:tc>
          <w:tcPr>
            <w:tcW w:w="1581" w:type="dxa"/>
            <w:tcBorders>
              <w:top w:val="nil"/>
              <w:left w:val="nil"/>
              <w:bottom w:val="single" w:sz="4" w:space="0" w:color="auto"/>
              <w:right w:val="single" w:sz="4" w:space="0" w:color="auto"/>
            </w:tcBorders>
            <w:shd w:val="clear" w:color="000000" w:fill="FFFF99"/>
            <w:noWrap/>
            <w:vAlign w:val="center"/>
            <w:hideMark/>
          </w:tcPr>
          <w:p w14:paraId="0AB5937E" w14:textId="77777777" w:rsidR="00481098" w:rsidRPr="002C1BE2" w:rsidRDefault="00481098" w:rsidP="001704EB">
            <w:pPr>
              <w:jc w:val="center"/>
              <w:rPr>
                <w:rFonts w:eastAsia="Times New Roman" w:cstheme="minorHAnsi"/>
                <w:b/>
                <w:bCs/>
                <w:color w:val="000000"/>
                <w:sz w:val="18"/>
                <w:szCs w:val="18"/>
                <w:lang w:eastAsia="nl-BE"/>
              </w:rPr>
            </w:pPr>
            <w:r w:rsidRPr="002C1BE2">
              <w:rPr>
                <w:rFonts w:eastAsia="Times New Roman" w:cstheme="minorHAnsi"/>
                <w:b/>
                <w:bCs/>
                <w:color w:val="000000"/>
                <w:sz w:val="18"/>
                <w:szCs w:val="18"/>
                <w:lang w:eastAsia="nl-BE"/>
              </w:rPr>
              <w:t>5.872.330.882,56</w:t>
            </w:r>
          </w:p>
        </w:tc>
        <w:tc>
          <w:tcPr>
            <w:tcW w:w="1581" w:type="dxa"/>
            <w:tcBorders>
              <w:top w:val="nil"/>
              <w:left w:val="nil"/>
              <w:bottom w:val="single" w:sz="4" w:space="0" w:color="auto"/>
              <w:right w:val="single" w:sz="4" w:space="0" w:color="auto"/>
            </w:tcBorders>
            <w:shd w:val="clear" w:color="000000" w:fill="FFCCCC"/>
            <w:noWrap/>
            <w:vAlign w:val="center"/>
            <w:hideMark/>
          </w:tcPr>
          <w:p w14:paraId="72E7FB92" w14:textId="655B3142" w:rsidR="00481098" w:rsidRPr="002C1BE2" w:rsidRDefault="002C1BE2" w:rsidP="002C1BE2">
            <w:pPr>
              <w:jc w:val="center"/>
              <w:rPr>
                <w:rFonts w:cstheme="minorHAnsi"/>
                <w:b/>
                <w:bCs/>
                <w:color w:val="000000"/>
                <w:sz w:val="18"/>
                <w:szCs w:val="18"/>
              </w:rPr>
            </w:pPr>
            <w:r w:rsidRPr="002C1BE2">
              <w:rPr>
                <w:rFonts w:cstheme="minorHAnsi"/>
                <w:b/>
                <w:bCs/>
                <w:color w:val="000000"/>
                <w:sz w:val="18"/>
                <w:szCs w:val="18"/>
              </w:rPr>
              <w:t>6.169.922.097,78</w:t>
            </w:r>
          </w:p>
        </w:tc>
      </w:tr>
    </w:tbl>
    <w:p w14:paraId="667B222E" w14:textId="77777777" w:rsidR="00481098" w:rsidRDefault="00481098" w:rsidP="00481098">
      <w:pPr>
        <w:spacing w:after="12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05"/>
        <w:gridCol w:w="7057"/>
      </w:tblGrid>
      <w:tr w:rsidR="00481098" w:rsidRPr="00A01C4C" w14:paraId="4693724D" w14:textId="77777777" w:rsidTr="001704EB">
        <w:trPr>
          <w:trHeight w:val="288"/>
        </w:trPr>
        <w:tc>
          <w:tcPr>
            <w:tcW w:w="1106" w:type="pct"/>
            <w:shd w:val="clear" w:color="auto" w:fill="FFFF99"/>
            <w:noWrap/>
            <w:vAlign w:val="center"/>
          </w:tcPr>
          <w:p w14:paraId="1CDB36E6" w14:textId="77777777" w:rsidR="00481098" w:rsidRPr="00A01C4C" w:rsidRDefault="00481098" w:rsidP="001704EB">
            <w:pPr>
              <w:rPr>
                <w:rFonts w:eastAsia="Times New Roman" w:cstheme="minorHAnsi"/>
                <w:bCs/>
                <w:color w:val="000000"/>
                <w:sz w:val="18"/>
                <w:szCs w:val="18"/>
                <w:lang w:eastAsia="nl-BE"/>
              </w:rPr>
            </w:pPr>
          </w:p>
        </w:tc>
        <w:tc>
          <w:tcPr>
            <w:tcW w:w="3894" w:type="pct"/>
            <w:shd w:val="clear" w:color="auto" w:fill="auto"/>
            <w:noWrap/>
            <w:vAlign w:val="center"/>
          </w:tcPr>
          <w:p w14:paraId="20D5D685" w14:textId="77777777" w:rsidR="00481098" w:rsidRPr="00A01C4C" w:rsidRDefault="00481098" w:rsidP="001704EB">
            <w:pPr>
              <w:rPr>
                <w:rFonts w:eastAsia="Times New Roman" w:cstheme="minorHAnsi"/>
                <w:bCs/>
                <w:color w:val="000000"/>
                <w:sz w:val="18"/>
                <w:szCs w:val="18"/>
                <w:lang w:eastAsia="nl-BE"/>
              </w:rPr>
            </w:pPr>
            <w:r w:rsidRPr="00A01C4C">
              <w:rPr>
                <w:rFonts w:eastAsia="Times New Roman" w:cstheme="minorHAnsi"/>
                <w:bCs/>
                <w:color w:val="000000"/>
                <w:sz w:val="18"/>
                <w:szCs w:val="18"/>
                <w:lang w:eastAsia="nl-BE"/>
              </w:rPr>
              <w:t>= realisatiecijfers</w:t>
            </w:r>
          </w:p>
        </w:tc>
      </w:tr>
      <w:tr w:rsidR="00481098" w:rsidRPr="00A01C4C" w14:paraId="00D714A7" w14:textId="77777777" w:rsidTr="001704EB">
        <w:trPr>
          <w:trHeight w:val="288"/>
        </w:trPr>
        <w:tc>
          <w:tcPr>
            <w:tcW w:w="1106" w:type="pct"/>
            <w:shd w:val="clear" w:color="auto" w:fill="FFCCCC"/>
            <w:noWrap/>
            <w:vAlign w:val="center"/>
          </w:tcPr>
          <w:p w14:paraId="2194C07A" w14:textId="77777777" w:rsidR="00481098" w:rsidRPr="00A01C4C" w:rsidRDefault="00481098" w:rsidP="001704EB">
            <w:pPr>
              <w:jc w:val="center"/>
              <w:rPr>
                <w:rFonts w:eastAsia="Times New Roman" w:cstheme="minorHAnsi"/>
                <w:bCs/>
                <w:color w:val="000000"/>
                <w:sz w:val="18"/>
                <w:szCs w:val="18"/>
                <w:lang w:eastAsia="nl-BE"/>
              </w:rPr>
            </w:pPr>
          </w:p>
        </w:tc>
        <w:tc>
          <w:tcPr>
            <w:tcW w:w="3894" w:type="pct"/>
            <w:shd w:val="clear" w:color="auto" w:fill="auto"/>
            <w:noWrap/>
            <w:vAlign w:val="center"/>
          </w:tcPr>
          <w:p w14:paraId="62A8CD41" w14:textId="77777777" w:rsidR="00481098" w:rsidRPr="00A01C4C" w:rsidRDefault="00481098" w:rsidP="001704EB">
            <w:pPr>
              <w:rPr>
                <w:rFonts w:eastAsia="Times New Roman" w:cstheme="minorHAnsi"/>
                <w:bCs/>
                <w:color w:val="000000"/>
                <w:sz w:val="18"/>
                <w:szCs w:val="18"/>
                <w:lang w:eastAsia="nl-BE"/>
              </w:rPr>
            </w:pPr>
            <w:r w:rsidRPr="00A01C4C">
              <w:rPr>
                <w:rFonts w:eastAsia="Times New Roman" w:cstheme="minorHAnsi"/>
                <w:bCs/>
                <w:color w:val="000000"/>
                <w:sz w:val="18"/>
                <w:szCs w:val="18"/>
                <w:lang w:eastAsia="nl-BE"/>
              </w:rPr>
              <w:t xml:space="preserve">= </w:t>
            </w:r>
            <w:r>
              <w:rPr>
                <w:rFonts w:eastAsia="Times New Roman" w:cstheme="minorHAnsi"/>
                <w:bCs/>
                <w:color w:val="000000"/>
                <w:sz w:val="18"/>
                <w:szCs w:val="18"/>
                <w:lang w:eastAsia="nl-BE"/>
              </w:rPr>
              <w:t xml:space="preserve">realisatiecijfers aangevuld met </w:t>
            </w:r>
            <w:r w:rsidRPr="00A01C4C">
              <w:rPr>
                <w:rFonts w:eastAsia="Times New Roman" w:cstheme="minorHAnsi"/>
                <w:bCs/>
                <w:color w:val="000000"/>
                <w:sz w:val="18"/>
                <w:szCs w:val="18"/>
                <w:lang w:eastAsia="nl-BE"/>
              </w:rPr>
              <w:t>raming</w:t>
            </w:r>
            <w:r>
              <w:rPr>
                <w:rFonts w:eastAsia="Times New Roman" w:cstheme="minorHAnsi"/>
                <w:bCs/>
                <w:color w:val="000000"/>
                <w:sz w:val="18"/>
                <w:szCs w:val="18"/>
                <w:lang w:eastAsia="nl-BE"/>
              </w:rPr>
              <w:t>en voor de resterende maanden</w:t>
            </w:r>
          </w:p>
        </w:tc>
      </w:tr>
    </w:tbl>
    <w:p w14:paraId="09251BB1" w14:textId="6BF68981" w:rsidR="00481098" w:rsidRDefault="00481098" w:rsidP="00F64761">
      <w:pPr>
        <w:pStyle w:val="Lijstalinea"/>
        <w:ind w:left="0"/>
        <w:jc w:val="both"/>
      </w:pPr>
    </w:p>
    <w:p w14:paraId="4A5C5E02" w14:textId="77777777" w:rsidR="005801B3" w:rsidRDefault="005801B3" w:rsidP="00F64761">
      <w:pPr>
        <w:jc w:val="both"/>
      </w:pPr>
    </w:p>
    <w:p w14:paraId="5562CC8D" w14:textId="3B3F9D55" w:rsidR="00E924DC" w:rsidRDefault="00F64761" w:rsidP="00F64761">
      <w:pPr>
        <w:jc w:val="both"/>
      </w:pPr>
      <w:r w:rsidRPr="0066005A">
        <w:t>Ten opzichte van de begrotings</w:t>
      </w:r>
      <w:r w:rsidR="00EC2028" w:rsidRPr="0066005A">
        <w:t>aanpassing</w:t>
      </w:r>
      <w:r w:rsidR="00A87822" w:rsidRPr="0066005A">
        <w:t xml:space="preserve"> </w:t>
      </w:r>
      <w:r w:rsidRPr="0066005A">
        <w:t>201</w:t>
      </w:r>
      <w:r w:rsidR="00A87822" w:rsidRPr="0066005A">
        <w:t>9</w:t>
      </w:r>
      <w:r w:rsidRPr="0066005A">
        <w:t xml:space="preserve"> is er een </w:t>
      </w:r>
      <w:r w:rsidR="0071286B">
        <w:t>meer</w:t>
      </w:r>
      <w:r w:rsidRPr="0066005A">
        <w:t xml:space="preserve">ontvangst van </w:t>
      </w:r>
      <w:r w:rsidR="0071286B">
        <w:t>1,6</w:t>
      </w:r>
      <w:r w:rsidRPr="0066005A">
        <w:t xml:space="preserve"> miljoen euro. </w:t>
      </w:r>
      <w:r w:rsidR="003C744A" w:rsidRPr="0066005A">
        <w:t>Zie</w:t>
      </w:r>
      <w:r w:rsidR="003C744A" w:rsidRPr="006C4BEF">
        <w:t xml:space="preserve"> tabel</w:t>
      </w:r>
      <w:r w:rsidR="003C744A">
        <w:t xml:space="preserve"> 5</w:t>
      </w:r>
      <w:r w:rsidR="00D82180">
        <w:t xml:space="preserve">. </w:t>
      </w:r>
      <w:r>
        <w:t xml:space="preserve">Hierbij dient vermeld dat in het voorliggende </w:t>
      </w:r>
      <w:r w:rsidR="0071286B">
        <w:t>uitvoerings</w:t>
      </w:r>
      <w:r>
        <w:t xml:space="preserve">rapport de uitvoering van de fiscale uitgaven </w:t>
      </w:r>
      <w:r w:rsidR="00230E7B">
        <w:t xml:space="preserve">in de uitgavenbegroting </w:t>
      </w:r>
      <w:r>
        <w:t xml:space="preserve">op </w:t>
      </w:r>
      <w:r w:rsidR="00614AD4">
        <w:t xml:space="preserve">het niveau van de federale begrotingscontrole </w:t>
      </w:r>
      <w:r w:rsidR="00230E7B">
        <w:t xml:space="preserve">2019 </w:t>
      </w:r>
      <w:r>
        <w:t xml:space="preserve">wordt geplaatst </w:t>
      </w:r>
      <w:r w:rsidR="00230E7B">
        <w:t xml:space="preserve">(1.752,381 miljoen euro </w:t>
      </w:r>
      <w:r w:rsidR="00CB095F">
        <w:t xml:space="preserve">na toepassing van </w:t>
      </w:r>
      <w:r w:rsidR="00230E7B">
        <w:t>het voorschottenpercentage van 99,37%</w:t>
      </w:r>
      <w:r w:rsidR="00E924DC">
        <w:t>; om de link met de doorgestorte voorschotten te behouden</w:t>
      </w:r>
      <w:r w:rsidR="00230E7B">
        <w:t>)</w:t>
      </w:r>
      <w:r w:rsidR="00E924DC">
        <w:t>.</w:t>
      </w:r>
    </w:p>
    <w:p w14:paraId="3FB79550" w14:textId="516786C2" w:rsidR="00E924DC" w:rsidRDefault="00E924DC" w:rsidP="00F64761">
      <w:pPr>
        <w:jc w:val="both"/>
      </w:pPr>
    </w:p>
    <w:p w14:paraId="7E8CDF7D" w14:textId="1F5E6F49" w:rsidR="005E789A" w:rsidRDefault="00E924DC" w:rsidP="00481098">
      <w:pPr>
        <w:jc w:val="both"/>
      </w:pPr>
      <w:r w:rsidRPr="0066005A">
        <w:t xml:space="preserve">De </w:t>
      </w:r>
      <w:r w:rsidR="0071286B">
        <w:t>meer</w:t>
      </w:r>
      <w:r w:rsidRPr="0066005A">
        <w:t xml:space="preserve">ontvangst aan netto-opcentiemen van </w:t>
      </w:r>
      <w:r w:rsidR="0071286B">
        <w:t>5,0</w:t>
      </w:r>
      <w:r w:rsidRPr="0066005A">
        <w:t xml:space="preserve"> miljoen euro </w:t>
      </w:r>
      <w:r w:rsidR="00B15D2E" w:rsidRPr="0066005A">
        <w:t>(ten opzichte van de nota van</w:t>
      </w:r>
      <w:r w:rsidR="00B15D2E">
        <w:t xml:space="preserve"> </w:t>
      </w:r>
      <w:r w:rsidR="0071286B">
        <w:t>december</w:t>
      </w:r>
      <w:r w:rsidR="00B15D2E">
        <w:t xml:space="preserve"> 2019) </w:t>
      </w:r>
      <w:r w:rsidR="005E789A">
        <w:t xml:space="preserve">wordt verklaard doordat in </w:t>
      </w:r>
      <w:r w:rsidR="0071286B">
        <w:t>het</w:t>
      </w:r>
      <w:r w:rsidR="005E789A">
        <w:t xml:space="preserve"> voorliggende </w:t>
      </w:r>
      <w:r w:rsidR="0071286B">
        <w:t>uitvoeringsrapport</w:t>
      </w:r>
      <w:r w:rsidR="005E789A">
        <w:t xml:space="preserve"> uitvoeringscijfers tot en met </w:t>
      </w:r>
      <w:r w:rsidR="0071286B">
        <w:t>december</w:t>
      </w:r>
      <w:r w:rsidR="005E789A">
        <w:t xml:space="preserve"> 2019 zijn verwerkt, terwijl het in de nota van </w:t>
      </w:r>
      <w:r w:rsidR="0071286B">
        <w:t>december</w:t>
      </w:r>
      <w:r w:rsidR="005E789A">
        <w:t xml:space="preserve"> </w:t>
      </w:r>
      <w:r w:rsidR="00481098">
        <w:t xml:space="preserve">2019 </w:t>
      </w:r>
      <w:r w:rsidR="005E789A">
        <w:t xml:space="preserve">om uitvoeringscijfers tot en met </w:t>
      </w:r>
      <w:r w:rsidR="0071286B">
        <w:t>oktober</w:t>
      </w:r>
      <w:r w:rsidR="005E789A">
        <w:t xml:space="preserve"> 2019 ging. In concreto werd de ‘staartperiode’ met </w:t>
      </w:r>
      <w:r w:rsidR="0071286B">
        <w:t>twee</w:t>
      </w:r>
      <w:r w:rsidR="005E789A">
        <w:t xml:space="preserve"> maand</w:t>
      </w:r>
      <w:r w:rsidR="0071286B">
        <w:t>en</w:t>
      </w:r>
      <w:r w:rsidR="005E789A">
        <w:t xml:space="preserve"> verlengd en werd de prognose v</w:t>
      </w:r>
      <w:r w:rsidR="0071286B">
        <w:t xml:space="preserve">oor de maanden november en december </w:t>
      </w:r>
      <w:r w:rsidR="005E789A">
        <w:t>2019 (uit de vorige nota) vervangen door effectieve realisatiecijfers.</w:t>
      </w:r>
    </w:p>
    <w:p w14:paraId="3AD75645" w14:textId="77777777" w:rsidR="00A01C4C" w:rsidRDefault="00A01C4C" w:rsidP="00481098">
      <w:pPr>
        <w:jc w:val="both"/>
      </w:pPr>
    </w:p>
    <w:p w14:paraId="3C7A5E60" w14:textId="397E3D73" w:rsidR="00A77E9B" w:rsidRDefault="00F23FBC" w:rsidP="00481098">
      <w:pPr>
        <w:jc w:val="both"/>
      </w:pPr>
      <w:r>
        <w:t>De samenhang tussen bruto-opcentiemen, fiscale uitgaven en netto-opcentiemen wordt geïllustreerd in tabel 5.</w:t>
      </w:r>
    </w:p>
    <w:p w14:paraId="25A1C198" w14:textId="0947B26B" w:rsidR="0049252B" w:rsidRDefault="0049252B" w:rsidP="00481098">
      <w:pPr>
        <w:jc w:val="both"/>
      </w:pPr>
    </w:p>
    <w:p w14:paraId="1E9461A1" w14:textId="77777777" w:rsidR="0049252B" w:rsidRDefault="0049252B" w:rsidP="00481098">
      <w:pPr>
        <w:jc w:val="both"/>
      </w:pPr>
    </w:p>
    <w:p w14:paraId="72C56B4A" w14:textId="1184C3B0" w:rsidR="00A77E9B" w:rsidRDefault="00A77E9B" w:rsidP="00A77E9B">
      <w:pPr>
        <w:spacing w:after="120"/>
        <w:jc w:val="both"/>
      </w:pPr>
      <w:r w:rsidRPr="0055725D">
        <w:t xml:space="preserve">Tabel </w:t>
      </w:r>
      <w:r w:rsidR="003C744A">
        <w:t>5</w:t>
      </w:r>
      <w:r w:rsidRPr="0055725D">
        <w:t xml:space="preserve">. </w:t>
      </w:r>
      <w:r>
        <w:t xml:space="preserve">Bruto-opcentiemen, fiscale uitgaven en </w:t>
      </w:r>
      <w:r w:rsidRPr="0055725D">
        <w:t>netto-opcentiemen</w:t>
      </w:r>
      <w:r>
        <w:t xml:space="preserve"> (in euro)</w:t>
      </w:r>
    </w:p>
    <w:tbl>
      <w:tblPr>
        <w:tblW w:w="9043" w:type="dxa"/>
        <w:tblCellMar>
          <w:left w:w="70" w:type="dxa"/>
          <w:right w:w="70" w:type="dxa"/>
        </w:tblCellMar>
        <w:tblLook w:val="04A0" w:firstRow="1" w:lastRow="0" w:firstColumn="1" w:lastColumn="0" w:noHBand="0" w:noVBand="1"/>
      </w:tblPr>
      <w:tblGrid>
        <w:gridCol w:w="2774"/>
        <w:gridCol w:w="1169"/>
        <w:gridCol w:w="1700"/>
        <w:gridCol w:w="1700"/>
        <w:gridCol w:w="1700"/>
      </w:tblGrid>
      <w:tr w:rsidR="001E6C97" w:rsidRPr="001E6C97" w14:paraId="0D5E6902" w14:textId="77777777" w:rsidTr="001E6C97">
        <w:trPr>
          <w:trHeight w:val="288"/>
          <w:tblHeader/>
        </w:trPr>
        <w:tc>
          <w:tcPr>
            <w:tcW w:w="27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5E205F" w14:textId="435F956A" w:rsidR="001E6C97" w:rsidRPr="001E6C97" w:rsidRDefault="001E6C97" w:rsidP="001E6C97">
            <w:pPr>
              <w:rPr>
                <w:rFonts w:eastAsia="Times New Roman" w:cstheme="minorHAnsi"/>
                <w:b/>
                <w:bCs/>
                <w:color w:val="000000"/>
                <w:sz w:val="18"/>
                <w:szCs w:val="18"/>
                <w:lang w:eastAsia="nl-BE"/>
              </w:rPr>
            </w:pPr>
            <w:r w:rsidRPr="001E6C97">
              <w:rPr>
                <w:rFonts w:eastAsia="Times New Roman" w:cstheme="minorHAnsi"/>
                <w:b/>
                <w:bCs/>
                <w:color w:val="000000"/>
                <w:sz w:val="18"/>
                <w:szCs w:val="18"/>
                <w:lang w:eastAsia="nl-BE"/>
              </w:rPr>
              <w:t>HRF</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14:paraId="1AEC6A70" w14:textId="77777777" w:rsidR="001E6C97" w:rsidRPr="001E6C97" w:rsidRDefault="001E6C97" w:rsidP="001E6C97">
            <w:pPr>
              <w:jc w:val="center"/>
              <w:rPr>
                <w:rFonts w:eastAsia="Times New Roman" w:cstheme="minorHAnsi"/>
                <w:b/>
                <w:bCs/>
                <w:color w:val="000000"/>
                <w:sz w:val="18"/>
                <w:szCs w:val="18"/>
                <w:lang w:eastAsia="nl-BE"/>
              </w:rPr>
            </w:pPr>
            <w:r w:rsidRPr="001E6C97">
              <w:rPr>
                <w:rFonts w:eastAsia="Times New Roman" w:cstheme="minorHAnsi"/>
                <w:b/>
                <w:bCs/>
                <w:color w:val="000000"/>
                <w:sz w:val="18"/>
                <w:szCs w:val="18"/>
                <w:lang w:eastAsia="nl-BE"/>
              </w:rPr>
              <w:t>Kredietsoort</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14:paraId="1AC74F46" w14:textId="77777777" w:rsidR="001E6C97" w:rsidRPr="001E6C97" w:rsidRDefault="001E6C97" w:rsidP="001E6C97">
            <w:pPr>
              <w:jc w:val="right"/>
              <w:rPr>
                <w:rFonts w:eastAsia="Times New Roman" w:cstheme="minorHAnsi"/>
                <w:b/>
                <w:bCs/>
                <w:color w:val="000000"/>
                <w:sz w:val="18"/>
                <w:szCs w:val="18"/>
                <w:lang w:eastAsia="nl-BE"/>
              </w:rPr>
            </w:pPr>
            <w:r w:rsidRPr="001E6C97">
              <w:rPr>
                <w:rFonts w:eastAsia="Times New Roman" w:cstheme="minorHAnsi"/>
                <w:b/>
                <w:bCs/>
                <w:color w:val="000000"/>
                <w:sz w:val="18"/>
                <w:szCs w:val="18"/>
                <w:lang w:eastAsia="nl-BE"/>
              </w:rPr>
              <w:t>Begroting HRF</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14:paraId="6B38FD61" w14:textId="77777777" w:rsidR="001E6C97" w:rsidRPr="001E6C97" w:rsidRDefault="001E6C97" w:rsidP="001E6C97">
            <w:pPr>
              <w:jc w:val="right"/>
              <w:rPr>
                <w:rFonts w:eastAsia="Times New Roman" w:cstheme="minorHAnsi"/>
                <w:b/>
                <w:bCs/>
                <w:color w:val="000000"/>
                <w:sz w:val="18"/>
                <w:szCs w:val="18"/>
                <w:lang w:eastAsia="nl-BE"/>
              </w:rPr>
            </w:pPr>
            <w:r w:rsidRPr="001E6C97">
              <w:rPr>
                <w:rFonts w:eastAsia="Times New Roman" w:cstheme="minorHAnsi"/>
                <w:b/>
                <w:bCs/>
                <w:color w:val="000000"/>
                <w:sz w:val="18"/>
                <w:szCs w:val="18"/>
                <w:lang w:eastAsia="nl-BE"/>
              </w:rPr>
              <w:t>Uitvoering HRF</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14:paraId="045D60FC" w14:textId="77777777" w:rsidR="001E6C97" w:rsidRPr="001E6C97" w:rsidRDefault="001E6C97" w:rsidP="001E6C97">
            <w:pPr>
              <w:jc w:val="right"/>
              <w:rPr>
                <w:rFonts w:eastAsia="Times New Roman" w:cstheme="minorHAnsi"/>
                <w:b/>
                <w:bCs/>
                <w:color w:val="000000"/>
                <w:sz w:val="18"/>
                <w:szCs w:val="18"/>
                <w:lang w:eastAsia="nl-BE"/>
              </w:rPr>
            </w:pPr>
            <w:r w:rsidRPr="001E6C97">
              <w:rPr>
                <w:rFonts w:eastAsia="Times New Roman" w:cstheme="minorHAnsi"/>
                <w:b/>
                <w:bCs/>
                <w:color w:val="000000"/>
                <w:sz w:val="18"/>
                <w:szCs w:val="18"/>
                <w:lang w:eastAsia="nl-BE"/>
              </w:rPr>
              <w:t>BGU - BGA</w:t>
            </w:r>
          </w:p>
        </w:tc>
      </w:tr>
      <w:tr w:rsidR="001E6C97" w:rsidRPr="001E6C97" w14:paraId="064DA8CB" w14:textId="77777777" w:rsidTr="001E6C97">
        <w:trPr>
          <w:trHeight w:val="288"/>
        </w:trPr>
        <w:tc>
          <w:tcPr>
            <w:tcW w:w="2774" w:type="dxa"/>
            <w:tcBorders>
              <w:top w:val="nil"/>
              <w:left w:val="single" w:sz="4" w:space="0" w:color="auto"/>
              <w:bottom w:val="single" w:sz="4" w:space="0" w:color="auto"/>
              <w:right w:val="single" w:sz="4" w:space="0" w:color="auto"/>
            </w:tcBorders>
            <w:shd w:val="clear" w:color="auto" w:fill="auto"/>
            <w:noWrap/>
            <w:vAlign w:val="center"/>
            <w:hideMark/>
          </w:tcPr>
          <w:p w14:paraId="79EF33CF" w14:textId="77777777" w:rsidR="001E6C97" w:rsidRPr="001E6C97" w:rsidRDefault="001E6C97" w:rsidP="001E6C97">
            <w:pPr>
              <w:rPr>
                <w:rFonts w:eastAsia="Times New Roman" w:cstheme="minorHAnsi"/>
                <w:b/>
                <w:bCs/>
                <w:color w:val="000000"/>
                <w:sz w:val="18"/>
                <w:szCs w:val="18"/>
                <w:lang w:eastAsia="nl-BE"/>
              </w:rPr>
            </w:pPr>
            <w:r w:rsidRPr="001E6C97">
              <w:rPr>
                <w:rFonts w:eastAsia="Times New Roman" w:cstheme="minorHAnsi"/>
                <w:b/>
                <w:bCs/>
                <w:color w:val="000000"/>
                <w:sz w:val="18"/>
                <w:szCs w:val="18"/>
                <w:lang w:eastAsia="nl-BE"/>
              </w:rPr>
              <w:t>Bruto opcentiemen</w:t>
            </w:r>
          </w:p>
        </w:tc>
        <w:tc>
          <w:tcPr>
            <w:tcW w:w="1169" w:type="dxa"/>
            <w:tcBorders>
              <w:top w:val="nil"/>
              <w:left w:val="nil"/>
              <w:bottom w:val="single" w:sz="4" w:space="0" w:color="auto"/>
              <w:right w:val="single" w:sz="4" w:space="0" w:color="auto"/>
            </w:tcBorders>
            <w:shd w:val="clear" w:color="auto" w:fill="auto"/>
            <w:noWrap/>
            <w:vAlign w:val="center"/>
            <w:hideMark/>
          </w:tcPr>
          <w:p w14:paraId="29E98D07" w14:textId="77777777" w:rsidR="001E6C97" w:rsidRPr="001E6C97" w:rsidRDefault="001E6C97" w:rsidP="001E6C97">
            <w:pPr>
              <w:jc w:val="center"/>
              <w:rPr>
                <w:rFonts w:eastAsia="Times New Roman" w:cstheme="minorHAnsi"/>
                <w:color w:val="000000"/>
                <w:sz w:val="18"/>
                <w:szCs w:val="18"/>
                <w:lang w:eastAsia="nl-BE"/>
              </w:rPr>
            </w:pPr>
            <w:r w:rsidRPr="001E6C97">
              <w:rPr>
                <w:rFonts w:eastAsia="Times New Roman" w:cstheme="minorHAnsi"/>
                <w:color w:val="000000"/>
                <w:sz w:val="18"/>
                <w:szCs w:val="18"/>
                <w:lang w:eastAsia="nl-BE"/>
              </w:rPr>
              <w:t>AO</w:t>
            </w:r>
          </w:p>
        </w:tc>
        <w:tc>
          <w:tcPr>
            <w:tcW w:w="1700" w:type="dxa"/>
            <w:tcBorders>
              <w:top w:val="nil"/>
              <w:left w:val="nil"/>
              <w:bottom w:val="single" w:sz="4" w:space="0" w:color="auto"/>
              <w:right w:val="single" w:sz="4" w:space="0" w:color="auto"/>
            </w:tcBorders>
            <w:shd w:val="clear" w:color="auto" w:fill="auto"/>
            <w:noWrap/>
            <w:vAlign w:val="center"/>
            <w:hideMark/>
          </w:tcPr>
          <w:p w14:paraId="059CDD1C" w14:textId="77777777" w:rsidR="001E6C97" w:rsidRPr="001E6C97" w:rsidRDefault="001E6C97" w:rsidP="001E6C97">
            <w:pPr>
              <w:jc w:val="right"/>
              <w:rPr>
                <w:rFonts w:eastAsia="Times New Roman" w:cstheme="minorHAnsi"/>
                <w:color w:val="000000"/>
                <w:sz w:val="18"/>
                <w:szCs w:val="18"/>
                <w:lang w:eastAsia="nl-BE"/>
              </w:rPr>
            </w:pPr>
            <w:r w:rsidRPr="001E6C97">
              <w:rPr>
                <w:rFonts w:eastAsia="Times New Roman" w:cstheme="minorHAnsi"/>
                <w:color w:val="000000"/>
                <w:sz w:val="18"/>
                <w:szCs w:val="18"/>
                <w:lang w:eastAsia="nl-BE"/>
              </w:rPr>
              <w:t>7.920.717.000,00</w:t>
            </w:r>
          </w:p>
        </w:tc>
        <w:tc>
          <w:tcPr>
            <w:tcW w:w="1700" w:type="dxa"/>
            <w:tcBorders>
              <w:top w:val="nil"/>
              <w:left w:val="nil"/>
              <w:bottom w:val="single" w:sz="4" w:space="0" w:color="auto"/>
              <w:right w:val="single" w:sz="4" w:space="0" w:color="auto"/>
            </w:tcBorders>
            <w:shd w:val="clear" w:color="auto" w:fill="auto"/>
            <w:noWrap/>
            <w:vAlign w:val="center"/>
            <w:hideMark/>
          </w:tcPr>
          <w:p w14:paraId="6DDB1FF6" w14:textId="77777777" w:rsidR="001E6C97" w:rsidRPr="001E6C97" w:rsidRDefault="001E6C97" w:rsidP="001E6C97">
            <w:pPr>
              <w:jc w:val="right"/>
              <w:rPr>
                <w:rFonts w:eastAsia="Times New Roman" w:cstheme="minorHAnsi"/>
                <w:color w:val="000000"/>
                <w:sz w:val="18"/>
                <w:szCs w:val="18"/>
                <w:lang w:eastAsia="nl-BE"/>
              </w:rPr>
            </w:pPr>
            <w:r w:rsidRPr="001E6C97">
              <w:rPr>
                <w:rFonts w:eastAsia="Times New Roman" w:cstheme="minorHAnsi"/>
                <w:color w:val="000000"/>
                <w:sz w:val="18"/>
                <w:szCs w:val="18"/>
                <w:lang w:eastAsia="nl-BE"/>
              </w:rPr>
              <w:t>7.922.303.097,78</w:t>
            </w:r>
          </w:p>
        </w:tc>
        <w:tc>
          <w:tcPr>
            <w:tcW w:w="1700" w:type="dxa"/>
            <w:tcBorders>
              <w:top w:val="nil"/>
              <w:left w:val="nil"/>
              <w:bottom w:val="single" w:sz="4" w:space="0" w:color="auto"/>
              <w:right w:val="single" w:sz="4" w:space="0" w:color="auto"/>
            </w:tcBorders>
            <w:shd w:val="clear" w:color="auto" w:fill="auto"/>
            <w:noWrap/>
            <w:vAlign w:val="center"/>
            <w:hideMark/>
          </w:tcPr>
          <w:p w14:paraId="0A660154" w14:textId="77777777" w:rsidR="001E6C97" w:rsidRPr="001E6C97" w:rsidRDefault="001E6C97" w:rsidP="001E6C97">
            <w:pPr>
              <w:jc w:val="right"/>
              <w:rPr>
                <w:rFonts w:eastAsia="Times New Roman" w:cstheme="minorHAnsi"/>
                <w:color w:val="000000"/>
                <w:sz w:val="18"/>
                <w:szCs w:val="18"/>
                <w:lang w:eastAsia="nl-BE"/>
              </w:rPr>
            </w:pPr>
            <w:r w:rsidRPr="001E6C97">
              <w:rPr>
                <w:rFonts w:eastAsia="Times New Roman" w:cstheme="minorHAnsi"/>
                <w:color w:val="000000"/>
                <w:sz w:val="18"/>
                <w:szCs w:val="18"/>
                <w:lang w:eastAsia="nl-BE"/>
              </w:rPr>
              <w:t>1.586.097,78</w:t>
            </w:r>
          </w:p>
        </w:tc>
      </w:tr>
      <w:tr w:rsidR="001E6C97" w:rsidRPr="001E6C97" w14:paraId="61786A6E" w14:textId="77777777" w:rsidTr="001E6C97">
        <w:trPr>
          <w:trHeight w:val="288"/>
        </w:trPr>
        <w:tc>
          <w:tcPr>
            <w:tcW w:w="2774" w:type="dxa"/>
            <w:vMerge w:val="restart"/>
            <w:tcBorders>
              <w:top w:val="nil"/>
              <w:left w:val="single" w:sz="4" w:space="0" w:color="auto"/>
              <w:right w:val="single" w:sz="4" w:space="0" w:color="auto"/>
            </w:tcBorders>
            <w:shd w:val="clear" w:color="auto" w:fill="auto"/>
            <w:noWrap/>
            <w:vAlign w:val="center"/>
            <w:hideMark/>
          </w:tcPr>
          <w:p w14:paraId="663427AD" w14:textId="48AC04EF" w:rsidR="001E6C97" w:rsidRPr="001E6C97" w:rsidRDefault="001E6C97" w:rsidP="001E6C97">
            <w:pPr>
              <w:rPr>
                <w:rFonts w:eastAsia="Times New Roman" w:cstheme="minorHAnsi"/>
                <w:b/>
                <w:bCs/>
                <w:color w:val="000000"/>
                <w:sz w:val="18"/>
                <w:szCs w:val="18"/>
                <w:lang w:eastAsia="nl-BE"/>
              </w:rPr>
            </w:pPr>
            <w:r w:rsidRPr="001E6C97">
              <w:rPr>
                <w:rFonts w:eastAsia="Times New Roman" w:cstheme="minorHAnsi"/>
                <w:b/>
                <w:bCs/>
                <w:color w:val="000000"/>
                <w:sz w:val="18"/>
                <w:szCs w:val="18"/>
                <w:lang w:eastAsia="nl-BE"/>
              </w:rPr>
              <w:t>Fiscale uitgaven Woon (99,37%)</w:t>
            </w:r>
          </w:p>
        </w:tc>
        <w:tc>
          <w:tcPr>
            <w:tcW w:w="1169" w:type="dxa"/>
            <w:tcBorders>
              <w:top w:val="nil"/>
              <w:left w:val="nil"/>
              <w:bottom w:val="single" w:sz="4" w:space="0" w:color="auto"/>
              <w:right w:val="single" w:sz="4" w:space="0" w:color="auto"/>
            </w:tcBorders>
            <w:shd w:val="clear" w:color="auto" w:fill="auto"/>
            <w:noWrap/>
            <w:vAlign w:val="center"/>
            <w:hideMark/>
          </w:tcPr>
          <w:p w14:paraId="5CFB77F9" w14:textId="77777777" w:rsidR="001E6C97" w:rsidRPr="001E6C97" w:rsidRDefault="001E6C97" w:rsidP="001E6C97">
            <w:pPr>
              <w:jc w:val="center"/>
              <w:rPr>
                <w:rFonts w:eastAsia="Times New Roman" w:cstheme="minorHAnsi"/>
                <w:color w:val="000000"/>
                <w:sz w:val="18"/>
                <w:szCs w:val="18"/>
                <w:lang w:eastAsia="nl-BE"/>
              </w:rPr>
            </w:pPr>
            <w:r w:rsidRPr="001E6C97">
              <w:rPr>
                <w:rFonts w:eastAsia="Times New Roman" w:cstheme="minorHAnsi"/>
                <w:color w:val="000000"/>
                <w:sz w:val="18"/>
                <w:szCs w:val="18"/>
                <w:lang w:eastAsia="nl-BE"/>
              </w:rPr>
              <w:t>VAK</w:t>
            </w:r>
          </w:p>
        </w:tc>
        <w:tc>
          <w:tcPr>
            <w:tcW w:w="1700" w:type="dxa"/>
            <w:tcBorders>
              <w:top w:val="nil"/>
              <w:left w:val="nil"/>
              <w:bottom w:val="single" w:sz="4" w:space="0" w:color="auto"/>
              <w:right w:val="single" w:sz="4" w:space="0" w:color="auto"/>
            </w:tcBorders>
            <w:shd w:val="clear" w:color="auto" w:fill="auto"/>
            <w:noWrap/>
            <w:vAlign w:val="center"/>
            <w:hideMark/>
          </w:tcPr>
          <w:p w14:paraId="639BDAF5" w14:textId="77777777" w:rsidR="001E6C97" w:rsidRPr="001E6C97" w:rsidRDefault="001E6C97" w:rsidP="001E6C97">
            <w:pPr>
              <w:jc w:val="right"/>
              <w:rPr>
                <w:rFonts w:eastAsia="Times New Roman" w:cstheme="minorHAnsi"/>
                <w:color w:val="000000"/>
                <w:sz w:val="18"/>
                <w:szCs w:val="18"/>
                <w:lang w:eastAsia="nl-BE"/>
              </w:rPr>
            </w:pPr>
            <w:r w:rsidRPr="001E6C97">
              <w:rPr>
                <w:rFonts w:eastAsia="Times New Roman" w:cstheme="minorHAnsi"/>
                <w:color w:val="000000"/>
                <w:sz w:val="18"/>
                <w:szCs w:val="18"/>
                <w:lang w:eastAsia="nl-BE"/>
              </w:rPr>
              <w:t>1.555.032.000,00</w:t>
            </w:r>
          </w:p>
        </w:tc>
        <w:tc>
          <w:tcPr>
            <w:tcW w:w="1700" w:type="dxa"/>
            <w:tcBorders>
              <w:top w:val="nil"/>
              <w:left w:val="nil"/>
              <w:bottom w:val="single" w:sz="4" w:space="0" w:color="auto"/>
              <w:right w:val="single" w:sz="4" w:space="0" w:color="auto"/>
            </w:tcBorders>
            <w:shd w:val="clear" w:color="auto" w:fill="auto"/>
            <w:noWrap/>
            <w:vAlign w:val="center"/>
            <w:hideMark/>
          </w:tcPr>
          <w:p w14:paraId="6D2BC2EA" w14:textId="77777777" w:rsidR="001E6C97" w:rsidRPr="001E6C97" w:rsidRDefault="001E6C97" w:rsidP="001E6C97">
            <w:pPr>
              <w:jc w:val="right"/>
              <w:rPr>
                <w:rFonts w:eastAsia="Times New Roman" w:cstheme="minorHAnsi"/>
                <w:color w:val="000000"/>
                <w:sz w:val="18"/>
                <w:szCs w:val="18"/>
                <w:lang w:eastAsia="nl-BE"/>
              </w:rPr>
            </w:pPr>
            <w:r w:rsidRPr="001E6C97">
              <w:rPr>
                <w:rFonts w:eastAsia="Times New Roman" w:cstheme="minorHAnsi"/>
                <w:color w:val="000000"/>
                <w:sz w:val="18"/>
                <w:szCs w:val="18"/>
                <w:lang w:eastAsia="nl-BE"/>
              </w:rPr>
              <w:t>1.555.032.000,00</w:t>
            </w:r>
          </w:p>
        </w:tc>
        <w:tc>
          <w:tcPr>
            <w:tcW w:w="1700" w:type="dxa"/>
            <w:tcBorders>
              <w:top w:val="nil"/>
              <w:left w:val="nil"/>
              <w:bottom w:val="single" w:sz="4" w:space="0" w:color="auto"/>
              <w:right w:val="single" w:sz="4" w:space="0" w:color="auto"/>
            </w:tcBorders>
            <w:shd w:val="clear" w:color="auto" w:fill="auto"/>
            <w:noWrap/>
            <w:vAlign w:val="center"/>
            <w:hideMark/>
          </w:tcPr>
          <w:p w14:paraId="42E18A03" w14:textId="77777777" w:rsidR="001E6C97" w:rsidRPr="001E6C97" w:rsidRDefault="001E6C97" w:rsidP="001E6C97">
            <w:pPr>
              <w:jc w:val="right"/>
              <w:rPr>
                <w:rFonts w:eastAsia="Times New Roman" w:cstheme="minorHAnsi"/>
                <w:color w:val="000000"/>
                <w:sz w:val="18"/>
                <w:szCs w:val="18"/>
                <w:lang w:eastAsia="nl-BE"/>
              </w:rPr>
            </w:pPr>
            <w:r w:rsidRPr="001E6C97">
              <w:rPr>
                <w:rFonts w:eastAsia="Times New Roman" w:cstheme="minorHAnsi"/>
                <w:color w:val="000000"/>
                <w:sz w:val="18"/>
                <w:szCs w:val="18"/>
                <w:lang w:eastAsia="nl-BE"/>
              </w:rPr>
              <w:t>0,00</w:t>
            </w:r>
          </w:p>
        </w:tc>
      </w:tr>
      <w:tr w:rsidR="001E6C97" w:rsidRPr="001E6C97" w14:paraId="54FFE25D" w14:textId="77777777" w:rsidTr="001E6C97">
        <w:trPr>
          <w:trHeight w:val="288"/>
        </w:trPr>
        <w:tc>
          <w:tcPr>
            <w:tcW w:w="2774" w:type="dxa"/>
            <w:vMerge/>
            <w:tcBorders>
              <w:left w:val="single" w:sz="4" w:space="0" w:color="auto"/>
              <w:bottom w:val="single" w:sz="4" w:space="0" w:color="auto"/>
              <w:right w:val="single" w:sz="4" w:space="0" w:color="auto"/>
            </w:tcBorders>
            <w:shd w:val="clear" w:color="auto" w:fill="auto"/>
            <w:noWrap/>
            <w:vAlign w:val="center"/>
            <w:hideMark/>
          </w:tcPr>
          <w:p w14:paraId="6397F9E4" w14:textId="1A872B4A" w:rsidR="001E6C97" w:rsidRPr="001E6C97" w:rsidRDefault="001E6C97" w:rsidP="001E6C97">
            <w:pPr>
              <w:rPr>
                <w:rFonts w:eastAsia="Times New Roman" w:cstheme="minorHAnsi"/>
                <w:b/>
                <w:bCs/>
                <w:color w:val="000000"/>
                <w:sz w:val="18"/>
                <w:szCs w:val="18"/>
                <w:lang w:eastAsia="nl-BE"/>
              </w:rPr>
            </w:pPr>
          </w:p>
        </w:tc>
        <w:tc>
          <w:tcPr>
            <w:tcW w:w="1169" w:type="dxa"/>
            <w:tcBorders>
              <w:top w:val="nil"/>
              <w:left w:val="nil"/>
              <w:bottom w:val="single" w:sz="4" w:space="0" w:color="auto"/>
              <w:right w:val="single" w:sz="4" w:space="0" w:color="auto"/>
            </w:tcBorders>
            <w:shd w:val="clear" w:color="auto" w:fill="auto"/>
            <w:noWrap/>
            <w:vAlign w:val="center"/>
            <w:hideMark/>
          </w:tcPr>
          <w:p w14:paraId="3F5626DD" w14:textId="77777777" w:rsidR="001E6C97" w:rsidRPr="001E6C97" w:rsidRDefault="001E6C97" w:rsidP="001E6C97">
            <w:pPr>
              <w:jc w:val="center"/>
              <w:rPr>
                <w:rFonts w:eastAsia="Times New Roman" w:cstheme="minorHAnsi"/>
                <w:color w:val="000000"/>
                <w:sz w:val="18"/>
                <w:szCs w:val="18"/>
                <w:lang w:eastAsia="nl-BE"/>
              </w:rPr>
            </w:pPr>
            <w:r w:rsidRPr="001E6C97">
              <w:rPr>
                <w:rFonts w:eastAsia="Times New Roman" w:cstheme="minorHAnsi"/>
                <w:color w:val="000000"/>
                <w:sz w:val="18"/>
                <w:szCs w:val="18"/>
                <w:lang w:eastAsia="nl-BE"/>
              </w:rPr>
              <w:t>VEK</w:t>
            </w:r>
          </w:p>
        </w:tc>
        <w:tc>
          <w:tcPr>
            <w:tcW w:w="1700" w:type="dxa"/>
            <w:tcBorders>
              <w:top w:val="nil"/>
              <w:left w:val="nil"/>
              <w:bottom w:val="single" w:sz="4" w:space="0" w:color="auto"/>
              <w:right w:val="single" w:sz="4" w:space="0" w:color="auto"/>
            </w:tcBorders>
            <w:shd w:val="clear" w:color="auto" w:fill="auto"/>
            <w:noWrap/>
            <w:vAlign w:val="center"/>
            <w:hideMark/>
          </w:tcPr>
          <w:p w14:paraId="7B803438" w14:textId="77777777" w:rsidR="001E6C97" w:rsidRPr="001E6C97" w:rsidRDefault="001E6C97" w:rsidP="001E6C97">
            <w:pPr>
              <w:jc w:val="right"/>
              <w:rPr>
                <w:rFonts w:eastAsia="Times New Roman" w:cstheme="minorHAnsi"/>
                <w:color w:val="000000"/>
                <w:sz w:val="18"/>
                <w:szCs w:val="18"/>
                <w:lang w:eastAsia="nl-BE"/>
              </w:rPr>
            </w:pPr>
            <w:r w:rsidRPr="001E6C97">
              <w:rPr>
                <w:rFonts w:eastAsia="Times New Roman" w:cstheme="minorHAnsi"/>
                <w:color w:val="000000"/>
                <w:sz w:val="18"/>
                <w:szCs w:val="18"/>
                <w:lang w:eastAsia="nl-BE"/>
              </w:rPr>
              <w:t>1.555.032.000,00</w:t>
            </w:r>
          </w:p>
        </w:tc>
        <w:tc>
          <w:tcPr>
            <w:tcW w:w="1700" w:type="dxa"/>
            <w:tcBorders>
              <w:top w:val="nil"/>
              <w:left w:val="nil"/>
              <w:bottom w:val="single" w:sz="4" w:space="0" w:color="auto"/>
              <w:right w:val="single" w:sz="4" w:space="0" w:color="auto"/>
            </w:tcBorders>
            <w:shd w:val="clear" w:color="auto" w:fill="auto"/>
            <w:noWrap/>
            <w:vAlign w:val="center"/>
            <w:hideMark/>
          </w:tcPr>
          <w:p w14:paraId="0060318C" w14:textId="77777777" w:rsidR="001E6C97" w:rsidRPr="001E6C97" w:rsidRDefault="001E6C97" w:rsidP="001E6C97">
            <w:pPr>
              <w:jc w:val="right"/>
              <w:rPr>
                <w:rFonts w:eastAsia="Times New Roman" w:cstheme="minorHAnsi"/>
                <w:color w:val="000000"/>
                <w:sz w:val="18"/>
                <w:szCs w:val="18"/>
                <w:lang w:eastAsia="nl-BE"/>
              </w:rPr>
            </w:pPr>
            <w:r w:rsidRPr="001E6C97">
              <w:rPr>
                <w:rFonts w:eastAsia="Times New Roman" w:cstheme="minorHAnsi"/>
                <w:color w:val="000000"/>
                <w:sz w:val="18"/>
                <w:szCs w:val="18"/>
                <w:lang w:eastAsia="nl-BE"/>
              </w:rPr>
              <w:t>1.555.032.000,00</w:t>
            </w:r>
          </w:p>
        </w:tc>
        <w:tc>
          <w:tcPr>
            <w:tcW w:w="1700" w:type="dxa"/>
            <w:tcBorders>
              <w:top w:val="nil"/>
              <w:left w:val="nil"/>
              <w:bottom w:val="single" w:sz="4" w:space="0" w:color="auto"/>
              <w:right w:val="single" w:sz="4" w:space="0" w:color="auto"/>
            </w:tcBorders>
            <w:shd w:val="clear" w:color="auto" w:fill="auto"/>
            <w:noWrap/>
            <w:vAlign w:val="center"/>
            <w:hideMark/>
          </w:tcPr>
          <w:p w14:paraId="05597C3D" w14:textId="77777777" w:rsidR="001E6C97" w:rsidRPr="001E6C97" w:rsidRDefault="001E6C97" w:rsidP="001E6C97">
            <w:pPr>
              <w:jc w:val="right"/>
              <w:rPr>
                <w:rFonts w:eastAsia="Times New Roman" w:cstheme="minorHAnsi"/>
                <w:color w:val="000000"/>
                <w:sz w:val="18"/>
                <w:szCs w:val="18"/>
                <w:lang w:eastAsia="nl-BE"/>
              </w:rPr>
            </w:pPr>
            <w:r w:rsidRPr="001E6C97">
              <w:rPr>
                <w:rFonts w:eastAsia="Times New Roman" w:cstheme="minorHAnsi"/>
                <w:color w:val="000000"/>
                <w:sz w:val="18"/>
                <w:szCs w:val="18"/>
                <w:lang w:eastAsia="nl-BE"/>
              </w:rPr>
              <w:t>0,00</w:t>
            </w:r>
          </w:p>
        </w:tc>
      </w:tr>
      <w:tr w:rsidR="001E6C97" w:rsidRPr="001E6C97" w14:paraId="24B6DD2E" w14:textId="77777777" w:rsidTr="001E6C97">
        <w:trPr>
          <w:trHeight w:val="288"/>
        </w:trPr>
        <w:tc>
          <w:tcPr>
            <w:tcW w:w="2774" w:type="dxa"/>
            <w:vMerge w:val="restart"/>
            <w:tcBorders>
              <w:top w:val="nil"/>
              <w:left w:val="single" w:sz="4" w:space="0" w:color="auto"/>
              <w:right w:val="single" w:sz="4" w:space="0" w:color="auto"/>
            </w:tcBorders>
            <w:shd w:val="clear" w:color="auto" w:fill="auto"/>
            <w:noWrap/>
            <w:vAlign w:val="center"/>
            <w:hideMark/>
          </w:tcPr>
          <w:p w14:paraId="31556749" w14:textId="228CA84A" w:rsidR="001E6C97" w:rsidRPr="001E6C97" w:rsidRDefault="001E6C97" w:rsidP="001E6C97">
            <w:pPr>
              <w:rPr>
                <w:rFonts w:eastAsia="Times New Roman" w:cstheme="minorHAnsi"/>
                <w:b/>
                <w:bCs/>
                <w:color w:val="000000"/>
                <w:sz w:val="18"/>
                <w:szCs w:val="18"/>
                <w:lang w:eastAsia="nl-BE"/>
              </w:rPr>
            </w:pPr>
            <w:r w:rsidRPr="001E6C97">
              <w:rPr>
                <w:rFonts w:eastAsia="Times New Roman" w:cstheme="minorHAnsi"/>
                <w:b/>
                <w:bCs/>
                <w:color w:val="000000"/>
                <w:sz w:val="18"/>
                <w:szCs w:val="18"/>
                <w:lang w:eastAsia="nl-BE"/>
              </w:rPr>
              <w:t>Fiscale uitgaven Werk (99,37%)</w:t>
            </w:r>
          </w:p>
        </w:tc>
        <w:tc>
          <w:tcPr>
            <w:tcW w:w="1169" w:type="dxa"/>
            <w:tcBorders>
              <w:top w:val="nil"/>
              <w:left w:val="nil"/>
              <w:bottom w:val="single" w:sz="4" w:space="0" w:color="auto"/>
              <w:right w:val="single" w:sz="4" w:space="0" w:color="auto"/>
            </w:tcBorders>
            <w:shd w:val="clear" w:color="auto" w:fill="auto"/>
            <w:noWrap/>
            <w:vAlign w:val="center"/>
            <w:hideMark/>
          </w:tcPr>
          <w:p w14:paraId="7ED593A3" w14:textId="77777777" w:rsidR="001E6C97" w:rsidRPr="001E6C97" w:rsidRDefault="001E6C97" w:rsidP="001E6C97">
            <w:pPr>
              <w:jc w:val="center"/>
              <w:rPr>
                <w:rFonts w:eastAsia="Times New Roman" w:cstheme="minorHAnsi"/>
                <w:color w:val="000000"/>
                <w:sz w:val="18"/>
                <w:szCs w:val="18"/>
                <w:lang w:eastAsia="nl-BE"/>
              </w:rPr>
            </w:pPr>
            <w:r w:rsidRPr="001E6C97">
              <w:rPr>
                <w:rFonts w:eastAsia="Times New Roman" w:cstheme="minorHAnsi"/>
                <w:color w:val="000000"/>
                <w:sz w:val="18"/>
                <w:szCs w:val="18"/>
                <w:lang w:eastAsia="nl-BE"/>
              </w:rPr>
              <w:t>VAK</w:t>
            </w:r>
          </w:p>
        </w:tc>
        <w:tc>
          <w:tcPr>
            <w:tcW w:w="1700" w:type="dxa"/>
            <w:tcBorders>
              <w:top w:val="nil"/>
              <w:left w:val="nil"/>
              <w:bottom w:val="single" w:sz="4" w:space="0" w:color="auto"/>
              <w:right w:val="single" w:sz="4" w:space="0" w:color="auto"/>
            </w:tcBorders>
            <w:shd w:val="clear" w:color="auto" w:fill="auto"/>
            <w:noWrap/>
            <w:vAlign w:val="center"/>
            <w:hideMark/>
          </w:tcPr>
          <w:p w14:paraId="73941BCA" w14:textId="77777777" w:rsidR="001E6C97" w:rsidRPr="001E6C97" w:rsidRDefault="001E6C97" w:rsidP="001E6C97">
            <w:pPr>
              <w:jc w:val="right"/>
              <w:rPr>
                <w:rFonts w:eastAsia="Times New Roman" w:cstheme="minorHAnsi"/>
                <w:color w:val="000000"/>
                <w:sz w:val="18"/>
                <w:szCs w:val="18"/>
                <w:lang w:eastAsia="nl-BE"/>
              </w:rPr>
            </w:pPr>
            <w:r w:rsidRPr="001E6C97">
              <w:rPr>
                <w:rFonts w:eastAsia="Times New Roman" w:cstheme="minorHAnsi"/>
                <w:color w:val="000000"/>
                <w:sz w:val="18"/>
                <w:szCs w:val="18"/>
                <w:lang w:eastAsia="nl-BE"/>
              </w:rPr>
              <w:t>192.778.000,00</w:t>
            </w:r>
          </w:p>
        </w:tc>
        <w:tc>
          <w:tcPr>
            <w:tcW w:w="1700" w:type="dxa"/>
            <w:tcBorders>
              <w:top w:val="nil"/>
              <w:left w:val="nil"/>
              <w:bottom w:val="single" w:sz="4" w:space="0" w:color="auto"/>
              <w:right w:val="single" w:sz="4" w:space="0" w:color="auto"/>
            </w:tcBorders>
            <w:shd w:val="clear" w:color="auto" w:fill="auto"/>
            <w:noWrap/>
            <w:vAlign w:val="center"/>
            <w:hideMark/>
          </w:tcPr>
          <w:p w14:paraId="13FB023B" w14:textId="77777777" w:rsidR="001E6C97" w:rsidRPr="001E6C97" w:rsidRDefault="001E6C97" w:rsidP="001E6C97">
            <w:pPr>
              <w:jc w:val="right"/>
              <w:rPr>
                <w:rFonts w:eastAsia="Times New Roman" w:cstheme="minorHAnsi"/>
                <w:color w:val="000000"/>
                <w:sz w:val="18"/>
                <w:szCs w:val="18"/>
                <w:lang w:eastAsia="nl-BE"/>
              </w:rPr>
            </w:pPr>
            <w:r w:rsidRPr="001E6C97">
              <w:rPr>
                <w:rFonts w:eastAsia="Times New Roman" w:cstheme="minorHAnsi"/>
                <w:color w:val="000000"/>
                <w:sz w:val="18"/>
                <w:szCs w:val="18"/>
                <w:lang w:eastAsia="nl-BE"/>
              </w:rPr>
              <w:t>192.778.000,00</w:t>
            </w:r>
          </w:p>
        </w:tc>
        <w:tc>
          <w:tcPr>
            <w:tcW w:w="1700" w:type="dxa"/>
            <w:tcBorders>
              <w:top w:val="nil"/>
              <w:left w:val="nil"/>
              <w:bottom w:val="single" w:sz="4" w:space="0" w:color="auto"/>
              <w:right w:val="single" w:sz="4" w:space="0" w:color="auto"/>
            </w:tcBorders>
            <w:shd w:val="clear" w:color="auto" w:fill="auto"/>
            <w:noWrap/>
            <w:vAlign w:val="center"/>
            <w:hideMark/>
          </w:tcPr>
          <w:p w14:paraId="1F915000" w14:textId="77777777" w:rsidR="001E6C97" w:rsidRPr="001E6C97" w:rsidRDefault="001E6C97" w:rsidP="001E6C97">
            <w:pPr>
              <w:jc w:val="right"/>
              <w:rPr>
                <w:rFonts w:eastAsia="Times New Roman" w:cstheme="minorHAnsi"/>
                <w:color w:val="000000"/>
                <w:sz w:val="18"/>
                <w:szCs w:val="18"/>
                <w:lang w:eastAsia="nl-BE"/>
              </w:rPr>
            </w:pPr>
            <w:r w:rsidRPr="001E6C97">
              <w:rPr>
                <w:rFonts w:eastAsia="Times New Roman" w:cstheme="minorHAnsi"/>
                <w:color w:val="000000"/>
                <w:sz w:val="18"/>
                <w:szCs w:val="18"/>
                <w:lang w:eastAsia="nl-BE"/>
              </w:rPr>
              <w:t>0,00</w:t>
            </w:r>
          </w:p>
        </w:tc>
      </w:tr>
      <w:tr w:rsidR="001E6C97" w:rsidRPr="001E6C97" w14:paraId="56AC0E2E" w14:textId="77777777" w:rsidTr="001E6C97">
        <w:trPr>
          <w:trHeight w:val="288"/>
        </w:trPr>
        <w:tc>
          <w:tcPr>
            <w:tcW w:w="2774" w:type="dxa"/>
            <w:vMerge/>
            <w:tcBorders>
              <w:left w:val="single" w:sz="4" w:space="0" w:color="auto"/>
              <w:bottom w:val="single" w:sz="4" w:space="0" w:color="auto"/>
              <w:right w:val="single" w:sz="4" w:space="0" w:color="auto"/>
            </w:tcBorders>
            <w:shd w:val="clear" w:color="auto" w:fill="auto"/>
            <w:noWrap/>
            <w:vAlign w:val="center"/>
            <w:hideMark/>
          </w:tcPr>
          <w:p w14:paraId="164FE4A3" w14:textId="5FE31020" w:rsidR="001E6C97" w:rsidRPr="001E6C97" w:rsidRDefault="001E6C97" w:rsidP="001E6C97">
            <w:pPr>
              <w:rPr>
                <w:rFonts w:eastAsia="Times New Roman" w:cstheme="minorHAnsi"/>
                <w:b/>
                <w:bCs/>
                <w:color w:val="000000"/>
                <w:sz w:val="18"/>
                <w:szCs w:val="18"/>
                <w:lang w:eastAsia="nl-BE"/>
              </w:rPr>
            </w:pPr>
          </w:p>
        </w:tc>
        <w:tc>
          <w:tcPr>
            <w:tcW w:w="1169" w:type="dxa"/>
            <w:tcBorders>
              <w:top w:val="nil"/>
              <w:left w:val="nil"/>
              <w:bottom w:val="single" w:sz="4" w:space="0" w:color="auto"/>
              <w:right w:val="single" w:sz="4" w:space="0" w:color="auto"/>
            </w:tcBorders>
            <w:shd w:val="clear" w:color="auto" w:fill="auto"/>
            <w:noWrap/>
            <w:vAlign w:val="center"/>
            <w:hideMark/>
          </w:tcPr>
          <w:p w14:paraId="1FF08ADE" w14:textId="77777777" w:rsidR="001E6C97" w:rsidRPr="001E6C97" w:rsidRDefault="001E6C97" w:rsidP="001E6C97">
            <w:pPr>
              <w:jc w:val="center"/>
              <w:rPr>
                <w:rFonts w:eastAsia="Times New Roman" w:cstheme="minorHAnsi"/>
                <w:color w:val="000000"/>
                <w:sz w:val="18"/>
                <w:szCs w:val="18"/>
                <w:lang w:eastAsia="nl-BE"/>
              </w:rPr>
            </w:pPr>
            <w:r w:rsidRPr="001E6C97">
              <w:rPr>
                <w:rFonts w:eastAsia="Times New Roman" w:cstheme="minorHAnsi"/>
                <w:color w:val="000000"/>
                <w:sz w:val="18"/>
                <w:szCs w:val="18"/>
                <w:lang w:eastAsia="nl-BE"/>
              </w:rPr>
              <w:t>VEK</w:t>
            </w:r>
          </w:p>
        </w:tc>
        <w:tc>
          <w:tcPr>
            <w:tcW w:w="1700" w:type="dxa"/>
            <w:tcBorders>
              <w:top w:val="nil"/>
              <w:left w:val="nil"/>
              <w:bottom w:val="single" w:sz="4" w:space="0" w:color="auto"/>
              <w:right w:val="single" w:sz="4" w:space="0" w:color="auto"/>
            </w:tcBorders>
            <w:shd w:val="clear" w:color="auto" w:fill="auto"/>
            <w:noWrap/>
            <w:vAlign w:val="center"/>
            <w:hideMark/>
          </w:tcPr>
          <w:p w14:paraId="6FAEB423" w14:textId="77777777" w:rsidR="001E6C97" w:rsidRPr="001E6C97" w:rsidRDefault="001E6C97" w:rsidP="001E6C97">
            <w:pPr>
              <w:jc w:val="right"/>
              <w:rPr>
                <w:rFonts w:eastAsia="Times New Roman" w:cstheme="minorHAnsi"/>
                <w:color w:val="000000"/>
                <w:sz w:val="18"/>
                <w:szCs w:val="18"/>
                <w:lang w:eastAsia="nl-BE"/>
              </w:rPr>
            </w:pPr>
            <w:r w:rsidRPr="001E6C97">
              <w:rPr>
                <w:rFonts w:eastAsia="Times New Roman" w:cstheme="minorHAnsi"/>
                <w:color w:val="000000"/>
                <w:sz w:val="18"/>
                <w:szCs w:val="18"/>
                <w:lang w:eastAsia="nl-BE"/>
              </w:rPr>
              <w:t>192.778.000,00</w:t>
            </w:r>
          </w:p>
        </w:tc>
        <w:tc>
          <w:tcPr>
            <w:tcW w:w="1700" w:type="dxa"/>
            <w:tcBorders>
              <w:top w:val="nil"/>
              <w:left w:val="nil"/>
              <w:bottom w:val="single" w:sz="4" w:space="0" w:color="auto"/>
              <w:right w:val="single" w:sz="4" w:space="0" w:color="auto"/>
            </w:tcBorders>
            <w:shd w:val="clear" w:color="auto" w:fill="auto"/>
            <w:noWrap/>
            <w:vAlign w:val="center"/>
            <w:hideMark/>
          </w:tcPr>
          <w:p w14:paraId="1C418D0A" w14:textId="77777777" w:rsidR="001E6C97" w:rsidRPr="001E6C97" w:rsidRDefault="001E6C97" w:rsidP="001E6C97">
            <w:pPr>
              <w:jc w:val="right"/>
              <w:rPr>
                <w:rFonts w:eastAsia="Times New Roman" w:cstheme="minorHAnsi"/>
                <w:color w:val="000000"/>
                <w:sz w:val="18"/>
                <w:szCs w:val="18"/>
                <w:lang w:eastAsia="nl-BE"/>
              </w:rPr>
            </w:pPr>
            <w:r w:rsidRPr="001E6C97">
              <w:rPr>
                <w:rFonts w:eastAsia="Times New Roman" w:cstheme="minorHAnsi"/>
                <w:color w:val="000000"/>
                <w:sz w:val="18"/>
                <w:szCs w:val="18"/>
                <w:lang w:eastAsia="nl-BE"/>
              </w:rPr>
              <w:t>192.778.000,00</w:t>
            </w:r>
          </w:p>
        </w:tc>
        <w:tc>
          <w:tcPr>
            <w:tcW w:w="1700" w:type="dxa"/>
            <w:tcBorders>
              <w:top w:val="nil"/>
              <w:left w:val="nil"/>
              <w:bottom w:val="single" w:sz="4" w:space="0" w:color="auto"/>
              <w:right w:val="single" w:sz="4" w:space="0" w:color="auto"/>
            </w:tcBorders>
            <w:shd w:val="clear" w:color="auto" w:fill="auto"/>
            <w:noWrap/>
            <w:vAlign w:val="center"/>
            <w:hideMark/>
          </w:tcPr>
          <w:p w14:paraId="19CC88E2" w14:textId="77777777" w:rsidR="001E6C97" w:rsidRPr="001E6C97" w:rsidRDefault="001E6C97" w:rsidP="001E6C97">
            <w:pPr>
              <w:jc w:val="right"/>
              <w:rPr>
                <w:rFonts w:eastAsia="Times New Roman" w:cstheme="minorHAnsi"/>
                <w:color w:val="000000"/>
                <w:sz w:val="18"/>
                <w:szCs w:val="18"/>
                <w:lang w:eastAsia="nl-BE"/>
              </w:rPr>
            </w:pPr>
            <w:r w:rsidRPr="001E6C97">
              <w:rPr>
                <w:rFonts w:eastAsia="Times New Roman" w:cstheme="minorHAnsi"/>
                <w:color w:val="000000"/>
                <w:sz w:val="18"/>
                <w:szCs w:val="18"/>
                <w:lang w:eastAsia="nl-BE"/>
              </w:rPr>
              <w:t>0,00</w:t>
            </w:r>
          </w:p>
        </w:tc>
      </w:tr>
      <w:tr w:rsidR="001E6C97" w:rsidRPr="001E6C97" w14:paraId="2609B948" w14:textId="77777777" w:rsidTr="001E6C97">
        <w:trPr>
          <w:trHeight w:val="288"/>
        </w:trPr>
        <w:tc>
          <w:tcPr>
            <w:tcW w:w="2774" w:type="dxa"/>
            <w:vMerge w:val="restart"/>
            <w:tcBorders>
              <w:top w:val="nil"/>
              <w:left w:val="single" w:sz="4" w:space="0" w:color="auto"/>
              <w:right w:val="single" w:sz="4" w:space="0" w:color="auto"/>
            </w:tcBorders>
            <w:shd w:val="clear" w:color="auto" w:fill="auto"/>
            <w:noWrap/>
            <w:vAlign w:val="center"/>
            <w:hideMark/>
          </w:tcPr>
          <w:p w14:paraId="3F1CC13B" w14:textId="3A96C8D0" w:rsidR="001E6C97" w:rsidRPr="001E6C97" w:rsidRDefault="001E6C97" w:rsidP="001E6C97">
            <w:pPr>
              <w:rPr>
                <w:rFonts w:eastAsia="Times New Roman" w:cstheme="minorHAnsi"/>
                <w:b/>
                <w:bCs/>
                <w:color w:val="000000"/>
                <w:sz w:val="18"/>
                <w:szCs w:val="18"/>
                <w:lang w:eastAsia="nl-BE"/>
              </w:rPr>
            </w:pPr>
            <w:r w:rsidRPr="001E6C97">
              <w:rPr>
                <w:rFonts w:eastAsia="Times New Roman" w:cstheme="minorHAnsi"/>
                <w:b/>
                <w:bCs/>
                <w:color w:val="000000"/>
                <w:sz w:val="18"/>
                <w:szCs w:val="18"/>
                <w:lang w:eastAsia="nl-BE"/>
              </w:rPr>
              <w:t>Fiscale uitgaven Win win (99,37%)</w:t>
            </w:r>
          </w:p>
        </w:tc>
        <w:tc>
          <w:tcPr>
            <w:tcW w:w="1169" w:type="dxa"/>
            <w:tcBorders>
              <w:top w:val="nil"/>
              <w:left w:val="nil"/>
              <w:bottom w:val="single" w:sz="4" w:space="0" w:color="auto"/>
              <w:right w:val="single" w:sz="4" w:space="0" w:color="auto"/>
            </w:tcBorders>
            <w:shd w:val="clear" w:color="auto" w:fill="auto"/>
            <w:noWrap/>
            <w:vAlign w:val="center"/>
            <w:hideMark/>
          </w:tcPr>
          <w:p w14:paraId="69324283" w14:textId="77777777" w:rsidR="001E6C97" w:rsidRPr="001E6C97" w:rsidRDefault="001E6C97" w:rsidP="001E6C97">
            <w:pPr>
              <w:jc w:val="center"/>
              <w:rPr>
                <w:rFonts w:eastAsia="Times New Roman" w:cstheme="minorHAnsi"/>
                <w:color w:val="000000"/>
                <w:sz w:val="18"/>
                <w:szCs w:val="18"/>
                <w:lang w:eastAsia="nl-BE"/>
              </w:rPr>
            </w:pPr>
            <w:r w:rsidRPr="001E6C97">
              <w:rPr>
                <w:rFonts w:eastAsia="Times New Roman" w:cstheme="minorHAnsi"/>
                <w:color w:val="000000"/>
                <w:sz w:val="18"/>
                <w:szCs w:val="18"/>
                <w:lang w:eastAsia="nl-BE"/>
              </w:rPr>
              <w:t>VAK</w:t>
            </w:r>
          </w:p>
        </w:tc>
        <w:tc>
          <w:tcPr>
            <w:tcW w:w="1700" w:type="dxa"/>
            <w:tcBorders>
              <w:top w:val="nil"/>
              <w:left w:val="nil"/>
              <w:bottom w:val="single" w:sz="4" w:space="0" w:color="auto"/>
              <w:right w:val="single" w:sz="4" w:space="0" w:color="auto"/>
            </w:tcBorders>
            <w:shd w:val="clear" w:color="auto" w:fill="auto"/>
            <w:noWrap/>
            <w:vAlign w:val="center"/>
            <w:hideMark/>
          </w:tcPr>
          <w:p w14:paraId="3B2D79AF" w14:textId="77777777" w:rsidR="001E6C97" w:rsidRPr="001E6C97" w:rsidRDefault="001E6C97" w:rsidP="001E6C97">
            <w:pPr>
              <w:jc w:val="right"/>
              <w:rPr>
                <w:rFonts w:eastAsia="Times New Roman" w:cstheme="minorHAnsi"/>
                <w:color w:val="000000"/>
                <w:sz w:val="18"/>
                <w:szCs w:val="18"/>
                <w:lang w:eastAsia="nl-BE"/>
              </w:rPr>
            </w:pPr>
            <w:r w:rsidRPr="001E6C97">
              <w:rPr>
                <w:rFonts w:eastAsia="Times New Roman" w:cstheme="minorHAnsi"/>
                <w:color w:val="000000"/>
                <w:sz w:val="18"/>
                <w:szCs w:val="18"/>
                <w:lang w:eastAsia="nl-BE"/>
              </w:rPr>
              <w:t>4.571.000,00</w:t>
            </w:r>
          </w:p>
        </w:tc>
        <w:tc>
          <w:tcPr>
            <w:tcW w:w="1700" w:type="dxa"/>
            <w:tcBorders>
              <w:top w:val="nil"/>
              <w:left w:val="nil"/>
              <w:bottom w:val="single" w:sz="4" w:space="0" w:color="auto"/>
              <w:right w:val="single" w:sz="4" w:space="0" w:color="auto"/>
            </w:tcBorders>
            <w:shd w:val="clear" w:color="auto" w:fill="auto"/>
            <w:noWrap/>
            <w:vAlign w:val="center"/>
            <w:hideMark/>
          </w:tcPr>
          <w:p w14:paraId="5AA1F887" w14:textId="77777777" w:rsidR="001E6C97" w:rsidRPr="001E6C97" w:rsidRDefault="001E6C97" w:rsidP="001E6C97">
            <w:pPr>
              <w:jc w:val="right"/>
              <w:rPr>
                <w:rFonts w:eastAsia="Times New Roman" w:cstheme="minorHAnsi"/>
                <w:color w:val="000000"/>
                <w:sz w:val="18"/>
                <w:szCs w:val="18"/>
                <w:lang w:eastAsia="nl-BE"/>
              </w:rPr>
            </w:pPr>
            <w:r w:rsidRPr="001E6C97">
              <w:rPr>
                <w:rFonts w:eastAsia="Times New Roman" w:cstheme="minorHAnsi"/>
                <w:color w:val="000000"/>
                <w:sz w:val="18"/>
                <w:szCs w:val="18"/>
                <w:lang w:eastAsia="nl-BE"/>
              </w:rPr>
              <w:t>4.571.000,00</w:t>
            </w:r>
          </w:p>
        </w:tc>
        <w:tc>
          <w:tcPr>
            <w:tcW w:w="1700" w:type="dxa"/>
            <w:tcBorders>
              <w:top w:val="nil"/>
              <w:left w:val="nil"/>
              <w:bottom w:val="single" w:sz="4" w:space="0" w:color="auto"/>
              <w:right w:val="single" w:sz="4" w:space="0" w:color="auto"/>
            </w:tcBorders>
            <w:shd w:val="clear" w:color="auto" w:fill="auto"/>
            <w:noWrap/>
            <w:vAlign w:val="center"/>
            <w:hideMark/>
          </w:tcPr>
          <w:p w14:paraId="12C8379A" w14:textId="77777777" w:rsidR="001E6C97" w:rsidRPr="001E6C97" w:rsidRDefault="001E6C97" w:rsidP="001E6C97">
            <w:pPr>
              <w:jc w:val="right"/>
              <w:rPr>
                <w:rFonts w:eastAsia="Times New Roman" w:cstheme="minorHAnsi"/>
                <w:color w:val="000000"/>
                <w:sz w:val="18"/>
                <w:szCs w:val="18"/>
                <w:lang w:eastAsia="nl-BE"/>
              </w:rPr>
            </w:pPr>
            <w:r w:rsidRPr="001E6C97">
              <w:rPr>
                <w:rFonts w:eastAsia="Times New Roman" w:cstheme="minorHAnsi"/>
                <w:color w:val="000000"/>
                <w:sz w:val="18"/>
                <w:szCs w:val="18"/>
                <w:lang w:eastAsia="nl-BE"/>
              </w:rPr>
              <w:t>0,00</w:t>
            </w:r>
          </w:p>
        </w:tc>
      </w:tr>
      <w:tr w:rsidR="001E6C97" w:rsidRPr="001E6C97" w14:paraId="33D7C8C8" w14:textId="77777777" w:rsidTr="001E6C97">
        <w:trPr>
          <w:trHeight w:val="288"/>
        </w:trPr>
        <w:tc>
          <w:tcPr>
            <w:tcW w:w="2774" w:type="dxa"/>
            <w:vMerge/>
            <w:tcBorders>
              <w:left w:val="single" w:sz="4" w:space="0" w:color="auto"/>
              <w:bottom w:val="single" w:sz="4" w:space="0" w:color="auto"/>
              <w:right w:val="single" w:sz="4" w:space="0" w:color="auto"/>
            </w:tcBorders>
            <w:shd w:val="clear" w:color="auto" w:fill="auto"/>
            <w:noWrap/>
            <w:vAlign w:val="center"/>
            <w:hideMark/>
          </w:tcPr>
          <w:p w14:paraId="5E15CAAF" w14:textId="43F5EBEF" w:rsidR="001E6C97" w:rsidRPr="001E6C97" w:rsidRDefault="001E6C97" w:rsidP="001E6C97">
            <w:pPr>
              <w:rPr>
                <w:rFonts w:eastAsia="Times New Roman" w:cstheme="minorHAnsi"/>
                <w:b/>
                <w:bCs/>
                <w:color w:val="000000"/>
                <w:sz w:val="18"/>
                <w:szCs w:val="18"/>
                <w:lang w:eastAsia="nl-BE"/>
              </w:rPr>
            </w:pPr>
          </w:p>
        </w:tc>
        <w:tc>
          <w:tcPr>
            <w:tcW w:w="1169" w:type="dxa"/>
            <w:tcBorders>
              <w:top w:val="nil"/>
              <w:left w:val="nil"/>
              <w:bottom w:val="single" w:sz="4" w:space="0" w:color="auto"/>
              <w:right w:val="single" w:sz="4" w:space="0" w:color="auto"/>
            </w:tcBorders>
            <w:shd w:val="clear" w:color="auto" w:fill="auto"/>
            <w:noWrap/>
            <w:vAlign w:val="center"/>
            <w:hideMark/>
          </w:tcPr>
          <w:p w14:paraId="165ED9DB" w14:textId="77777777" w:rsidR="001E6C97" w:rsidRPr="001E6C97" w:rsidRDefault="001E6C97" w:rsidP="001E6C97">
            <w:pPr>
              <w:jc w:val="center"/>
              <w:rPr>
                <w:rFonts w:eastAsia="Times New Roman" w:cstheme="minorHAnsi"/>
                <w:color w:val="000000"/>
                <w:sz w:val="18"/>
                <w:szCs w:val="18"/>
                <w:lang w:eastAsia="nl-BE"/>
              </w:rPr>
            </w:pPr>
            <w:r w:rsidRPr="001E6C97">
              <w:rPr>
                <w:rFonts w:eastAsia="Times New Roman" w:cstheme="minorHAnsi"/>
                <w:color w:val="000000"/>
                <w:sz w:val="18"/>
                <w:szCs w:val="18"/>
                <w:lang w:eastAsia="nl-BE"/>
              </w:rPr>
              <w:t>VEK</w:t>
            </w:r>
          </w:p>
        </w:tc>
        <w:tc>
          <w:tcPr>
            <w:tcW w:w="1700" w:type="dxa"/>
            <w:tcBorders>
              <w:top w:val="nil"/>
              <w:left w:val="nil"/>
              <w:bottom w:val="single" w:sz="4" w:space="0" w:color="auto"/>
              <w:right w:val="single" w:sz="4" w:space="0" w:color="auto"/>
            </w:tcBorders>
            <w:shd w:val="clear" w:color="auto" w:fill="auto"/>
            <w:noWrap/>
            <w:vAlign w:val="center"/>
            <w:hideMark/>
          </w:tcPr>
          <w:p w14:paraId="3AFA11D2" w14:textId="77777777" w:rsidR="001E6C97" w:rsidRPr="001E6C97" w:rsidRDefault="001E6C97" w:rsidP="001E6C97">
            <w:pPr>
              <w:jc w:val="right"/>
              <w:rPr>
                <w:rFonts w:eastAsia="Times New Roman" w:cstheme="minorHAnsi"/>
                <w:color w:val="000000"/>
                <w:sz w:val="18"/>
                <w:szCs w:val="18"/>
                <w:lang w:eastAsia="nl-BE"/>
              </w:rPr>
            </w:pPr>
            <w:r w:rsidRPr="001E6C97">
              <w:rPr>
                <w:rFonts w:eastAsia="Times New Roman" w:cstheme="minorHAnsi"/>
                <w:color w:val="000000"/>
                <w:sz w:val="18"/>
                <w:szCs w:val="18"/>
                <w:lang w:eastAsia="nl-BE"/>
              </w:rPr>
              <w:t>4.571.000,00</w:t>
            </w:r>
          </w:p>
        </w:tc>
        <w:tc>
          <w:tcPr>
            <w:tcW w:w="1700" w:type="dxa"/>
            <w:tcBorders>
              <w:top w:val="nil"/>
              <w:left w:val="nil"/>
              <w:bottom w:val="single" w:sz="4" w:space="0" w:color="auto"/>
              <w:right w:val="single" w:sz="4" w:space="0" w:color="auto"/>
            </w:tcBorders>
            <w:shd w:val="clear" w:color="auto" w:fill="auto"/>
            <w:noWrap/>
            <w:vAlign w:val="center"/>
            <w:hideMark/>
          </w:tcPr>
          <w:p w14:paraId="268A758A" w14:textId="77777777" w:rsidR="001E6C97" w:rsidRPr="001E6C97" w:rsidRDefault="001E6C97" w:rsidP="001E6C97">
            <w:pPr>
              <w:jc w:val="right"/>
              <w:rPr>
                <w:rFonts w:eastAsia="Times New Roman" w:cstheme="minorHAnsi"/>
                <w:color w:val="000000"/>
                <w:sz w:val="18"/>
                <w:szCs w:val="18"/>
                <w:lang w:eastAsia="nl-BE"/>
              </w:rPr>
            </w:pPr>
            <w:r w:rsidRPr="001E6C97">
              <w:rPr>
                <w:rFonts w:eastAsia="Times New Roman" w:cstheme="minorHAnsi"/>
                <w:color w:val="000000"/>
                <w:sz w:val="18"/>
                <w:szCs w:val="18"/>
                <w:lang w:eastAsia="nl-BE"/>
              </w:rPr>
              <w:t>4.571.000,00</w:t>
            </w:r>
          </w:p>
        </w:tc>
        <w:tc>
          <w:tcPr>
            <w:tcW w:w="1700" w:type="dxa"/>
            <w:tcBorders>
              <w:top w:val="nil"/>
              <w:left w:val="nil"/>
              <w:bottom w:val="single" w:sz="4" w:space="0" w:color="auto"/>
              <w:right w:val="single" w:sz="4" w:space="0" w:color="auto"/>
            </w:tcBorders>
            <w:shd w:val="clear" w:color="auto" w:fill="auto"/>
            <w:noWrap/>
            <w:vAlign w:val="center"/>
            <w:hideMark/>
          </w:tcPr>
          <w:p w14:paraId="28CBF737" w14:textId="77777777" w:rsidR="001E6C97" w:rsidRPr="001E6C97" w:rsidRDefault="001E6C97" w:rsidP="001E6C97">
            <w:pPr>
              <w:jc w:val="right"/>
              <w:rPr>
                <w:rFonts w:eastAsia="Times New Roman" w:cstheme="minorHAnsi"/>
                <w:color w:val="000000"/>
                <w:sz w:val="18"/>
                <w:szCs w:val="18"/>
                <w:lang w:eastAsia="nl-BE"/>
              </w:rPr>
            </w:pPr>
            <w:r w:rsidRPr="001E6C97">
              <w:rPr>
                <w:rFonts w:eastAsia="Times New Roman" w:cstheme="minorHAnsi"/>
                <w:color w:val="000000"/>
                <w:sz w:val="18"/>
                <w:szCs w:val="18"/>
                <w:lang w:eastAsia="nl-BE"/>
              </w:rPr>
              <w:t>0,00</w:t>
            </w:r>
          </w:p>
        </w:tc>
      </w:tr>
      <w:tr w:rsidR="001E6C97" w:rsidRPr="001E6C97" w14:paraId="306F4CA8" w14:textId="77777777" w:rsidTr="001E6C97">
        <w:trPr>
          <w:trHeight w:val="288"/>
        </w:trPr>
        <w:tc>
          <w:tcPr>
            <w:tcW w:w="2774" w:type="dxa"/>
            <w:tcBorders>
              <w:top w:val="nil"/>
              <w:left w:val="single" w:sz="4" w:space="0" w:color="auto"/>
              <w:bottom w:val="single" w:sz="4" w:space="0" w:color="auto"/>
              <w:right w:val="single" w:sz="4" w:space="0" w:color="auto"/>
            </w:tcBorders>
            <w:shd w:val="clear" w:color="auto" w:fill="auto"/>
            <w:noWrap/>
            <w:vAlign w:val="center"/>
            <w:hideMark/>
          </w:tcPr>
          <w:p w14:paraId="2D5F1D39" w14:textId="77777777" w:rsidR="001E6C97" w:rsidRPr="001E6C97" w:rsidRDefault="001E6C97" w:rsidP="001E6C97">
            <w:pPr>
              <w:rPr>
                <w:rFonts w:eastAsia="Times New Roman" w:cstheme="minorHAnsi"/>
                <w:b/>
                <w:bCs/>
                <w:color w:val="000000"/>
                <w:sz w:val="18"/>
                <w:szCs w:val="18"/>
                <w:lang w:eastAsia="nl-BE"/>
              </w:rPr>
            </w:pPr>
            <w:r w:rsidRPr="001E6C97">
              <w:rPr>
                <w:rFonts w:eastAsia="Times New Roman" w:cstheme="minorHAnsi"/>
                <w:b/>
                <w:bCs/>
                <w:color w:val="000000"/>
                <w:sz w:val="18"/>
                <w:szCs w:val="18"/>
                <w:lang w:eastAsia="nl-BE"/>
              </w:rPr>
              <w:t>Netto-opcentiemen</w:t>
            </w:r>
          </w:p>
        </w:tc>
        <w:tc>
          <w:tcPr>
            <w:tcW w:w="1169" w:type="dxa"/>
            <w:tcBorders>
              <w:top w:val="nil"/>
              <w:left w:val="nil"/>
              <w:bottom w:val="single" w:sz="4" w:space="0" w:color="auto"/>
              <w:right w:val="single" w:sz="4" w:space="0" w:color="auto"/>
            </w:tcBorders>
            <w:shd w:val="clear" w:color="auto" w:fill="auto"/>
            <w:noWrap/>
            <w:vAlign w:val="center"/>
            <w:hideMark/>
          </w:tcPr>
          <w:p w14:paraId="6F51831A" w14:textId="77777777" w:rsidR="001E6C97" w:rsidRPr="001E6C97" w:rsidRDefault="001E6C97" w:rsidP="001E6C97">
            <w:pPr>
              <w:jc w:val="center"/>
              <w:rPr>
                <w:rFonts w:eastAsia="Times New Roman" w:cstheme="minorHAnsi"/>
                <w:color w:val="000000"/>
                <w:sz w:val="18"/>
                <w:szCs w:val="18"/>
                <w:lang w:eastAsia="nl-BE"/>
              </w:rPr>
            </w:pPr>
            <w:r w:rsidRPr="001E6C97">
              <w:rPr>
                <w:rFonts w:eastAsia="Times New Roman" w:cstheme="minorHAnsi"/>
                <w:color w:val="000000"/>
                <w:sz w:val="18"/>
                <w:szCs w:val="18"/>
                <w:lang w:eastAsia="nl-BE"/>
              </w:rPr>
              <w:t> </w:t>
            </w:r>
          </w:p>
        </w:tc>
        <w:tc>
          <w:tcPr>
            <w:tcW w:w="1700" w:type="dxa"/>
            <w:tcBorders>
              <w:top w:val="nil"/>
              <w:left w:val="nil"/>
              <w:bottom w:val="single" w:sz="4" w:space="0" w:color="auto"/>
              <w:right w:val="single" w:sz="4" w:space="0" w:color="auto"/>
            </w:tcBorders>
            <w:shd w:val="clear" w:color="auto" w:fill="auto"/>
            <w:noWrap/>
            <w:vAlign w:val="center"/>
            <w:hideMark/>
          </w:tcPr>
          <w:p w14:paraId="4023CA56" w14:textId="77777777" w:rsidR="001E6C97" w:rsidRPr="001E6C97" w:rsidRDefault="001E6C97" w:rsidP="001E6C97">
            <w:pPr>
              <w:jc w:val="right"/>
              <w:rPr>
                <w:rFonts w:eastAsia="Times New Roman" w:cstheme="minorHAnsi"/>
                <w:color w:val="000000"/>
                <w:sz w:val="18"/>
                <w:szCs w:val="18"/>
                <w:lang w:eastAsia="nl-BE"/>
              </w:rPr>
            </w:pPr>
            <w:r w:rsidRPr="001E6C97">
              <w:rPr>
                <w:rFonts w:eastAsia="Times New Roman" w:cstheme="minorHAnsi"/>
                <w:color w:val="000000"/>
                <w:sz w:val="18"/>
                <w:szCs w:val="18"/>
                <w:lang w:eastAsia="nl-BE"/>
              </w:rPr>
              <w:t>6.168.336.000,00</w:t>
            </w:r>
          </w:p>
        </w:tc>
        <w:tc>
          <w:tcPr>
            <w:tcW w:w="1700" w:type="dxa"/>
            <w:tcBorders>
              <w:top w:val="nil"/>
              <w:left w:val="nil"/>
              <w:bottom w:val="single" w:sz="4" w:space="0" w:color="auto"/>
              <w:right w:val="single" w:sz="4" w:space="0" w:color="auto"/>
            </w:tcBorders>
            <w:shd w:val="clear" w:color="auto" w:fill="auto"/>
            <w:noWrap/>
            <w:vAlign w:val="center"/>
            <w:hideMark/>
          </w:tcPr>
          <w:p w14:paraId="381618B7" w14:textId="77777777" w:rsidR="001E6C97" w:rsidRPr="001E6C97" w:rsidRDefault="001E6C97" w:rsidP="001E6C97">
            <w:pPr>
              <w:jc w:val="right"/>
              <w:rPr>
                <w:rFonts w:eastAsia="Times New Roman" w:cstheme="minorHAnsi"/>
                <w:color w:val="000000"/>
                <w:sz w:val="18"/>
                <w:szCs w:val="18"/>
                <w:lang w:eastAsia="nl-BE"/>
              </w:rPr>
            </w:pPr>
            <w:r w:rsidRPr="001E6C97">
              <w:rPr>
                <w:rFonts w:eastAsia="Times New Roman" w:cstheme="minorHAnsi"/>
                <w:color w:val="000000"/>
                <w:sz w:val="18"/>
                <w:szCs w:val="18"/>
                <w:lang w:eastAsia="nl-BE"/>
              </w:rPr>
              <w:t>6.169.922.097,78</w:t>
            </w:r>
          </w:p>
        </w:tc>
        <w:tc>
          <w:tcPr>
            <w:tcW w:w="1700" w:type="dxa"/>
            <w:tcBorders>
              <w:top w:val="nil"/>
              <w:left w:val="nil"/>
              <w:bottom w:val="single" w:sz="4" w:space="0" w:color="auto"/>
              <w:right w:val="single" w:sz="4" w:space="0" w:color="auto"/>
            </w:tcBorders>
            <w:shd w:val="clear" w:color="auto" w:fill="auto"/>
            <w:noWrap/>
            <w:vAlign w:val="center"/>
            <w:hideMark/>
          </w:tcPr>
          <w:p w14:paraId="42BEE54B" w14:textId="77777777" w:rsidR="001E6C97" w:rsidRPr="001E6C97" w:rsidRDefault="001E6C97" w:rsidP="001E6C97">
            <w:pPr>
              <w:jc w:val="right"/>
              <w:rPr>
                <w:rFonts w:eastAsia="Times New Roman" w:cstheme="minorHAnsi"/>
                <w:color w:val="000000"/>
                <w:sz w:val="18"/>
                <w:szCs w:val="18"/>
                <w:lang w:eastAsia="nl-BE"/>
              </w:rPr>
            </w:pPr>
            <w:r w:rsidRPr="001E6C97">
              <w:rPr>
                <w:rFonts w:eastAsia="Times New Roman" w:cstheme="minorHAnsi"/>
                <w:color w:val="000000"/>
                <w:sz w:val="18"/>
                <w:szCs w:val="18"/>
                <w:lang w:eastAsia="nl-BE"/>
              </w:rPr>
              <w:t>1.586.097,78</w:t>
            </w:r>
          </w:p>
        </w:tc>
      </w:tr>
    </w:tbl>
    <w:p w14:paraId="09630A05" w14:textId="74315C8B" w:rsidR="00C35145" w:rsidRDefault="00C35145" w:rsidP="00F64761">
      <w:pPr>
        <w:spacing w:after="120"/>
        <w:jc w:val="both"/>
      </w:pPr>
    </w:p>
    <w:p w14:paraId="24B823EE" w14:textId="77777777" w:rsidR="009D7FF0" w:rsidRDefault="009D7FF0" w:rsidP="00F64761">
      <w:pPr>
        <w:spacing w:after="120"/>
        <w:jc w:val="both"/>
      </w:pPr>
    </w:p>
    <w:p w14:paraId="18C1660A" w14:textId="52768D68" w:rsidR="00F94295" w:rsidRPr="0045709D" w:rsidRDefault="00F94295" w:rsidP="00F94295">
      <w:pPr>
        <w:pStyle w:val="Kop3"/>
        <w:numPr>
          <w:ilvl w:val="1"/>
          <w:numId w:val="24"/>
        </w:numPr>
      </w:pPr>
      <w:r w:rsidRPr="0045709D">
        <w:t>Middelen BFW (</w:t>
      </w:r>
      <w:r w:rsidR="00532D99" w:rsidRPr="0045709D">
        <w:t>+0,</w:t>
      </w:r>
      <w:r w:rsidR="00FB4B51" w:rsidRPr="0045709D">
        <w:t>1</w:t>
      </w:r>
      <w:r w:rsidR="00532D99" w:rsidRPr="0045709D">
        <w:t xml:space="preserve"> </w:t>
      </w:r>
      <w:r w:rsidRPr="0045709D">
        <w:t>miljoen t.o.v. B</w:t>
      </w:r>
      <w:r w:rsidR="00532D99" w:rsidRPr="0045709D">
        <w:t>A</w:t>
      </w:r>
      <w:r w:rsidRPr="0045709D">
        <w:t xml:space="preserve"> 201</w:t>
      </w:r>
      <w:r w:rsidR="00AD57F8" w:rsidRPr="0045709D">
        <w:t>9</w:t>
      </w:r>
      <w:r w:rsidR="006B5931" w:rsidRPr="0045709D">
        <w:t xml:space="preserve">; +0,0 miljoen t.o.v. </w:t>
      </w:r>
      <w:r w:rsidR="006D65C2" w:rsidRPr="0045709D">
        <w:t>december</w:t>
      </w:r>
      <w:r w:rsidRPr="0045709D">
        <w:t>)</w:t>
      </w:r>
    </w:p>
    <w:p w14:paraId="4E744322" w14:textId="77777777" w:rsidR="00F94295" w:rsidRDefault="00F94295" w:rsidP="00F94295">
      <w:pPr>
        <w:pStyle w:val="Lijstalinea"/>
        <w:ind w:left="0"/>
        <w:jc w:val="both"/>
      </w:pPr>
    </w:p>
    <w:p w14:paraId="0A3420F0" w14:textId="25E7FB29" w:rsidR="00532D99" w:rsidRDefault="00F94295" w:rsidP="00F94295">
      <w:pPr>
        <w:pStyle w:val="Lijstalinea"/>
        <w:ind w:left="0"/>
        <w:jc w:val="both"/>
      </w:pPr>
      <w:r w:rsidRPr="006017B1">
        <w:t xml:space="preserve">De </w:t>
      </w:r>
      <w:r>
        <w:t xml:space="preserve">uitvoering van de middelen uit de bijzondere financieringswet </w:t>
      </w:r>
      <w:r w:rsidR="00923FB1">
        <w:t>landt</w:t>
      </w:r>
      <w:r>
        <w:t xml:space="preserve"> in </w:t>
      </w:r>
      <w:r w:rsidR="00882F35">
        <w:t>het</w:t>
      </w:r>
      <w:r>
        <w:t xml:space="preserve"> voorliggende </w:t>
      </w:r>
      <w:r w:rsidR="00923FB1">
        <w:t>uitvoeringsrapport</w:t>
      </w:r>
      <w:r>
        <w:t xml:space="preserve"> op het niveau van de </w:t>
      </w:r>
      <w:r w:rsidR="00AD57F8">
        <w:t xml:space="preserve">federale begrotingscontrole 2019. </w:t>
      </w:r>
      <w:r w:rsidR="00AE0725">
        <w:t>Da</w:t>
      </w:r>
      <w:r w:rsidR="00532D99">
        <w:t xml:space="preserve">t was ook al het geval in de </w:t>
      </w:r>
      <w:r w:rsidR="00695B5B">
        <w:t xml:space="preserve">vorige </w:t>
      </w:r>
      <w:r w:rsidR="00532D99">
        <w:t>monitoringnota</w:t>
      </w:r>
      <w:r w:rsidR="006A091B">
        <w:t>’s</w:t>
      </w:r>
      <w:r w:rsidR="00532D99">
        <w:t xml:space="preserve"> 2019. </w:t>
      </w:r>
      <w:r w:rsidR="00695B5B">
        <w:t xml:space="preserve">De </w:t>
      </w:r>
      <w:r w:rsidR="00532D99">
        <w:t xml:space="preserve">ramingen van de Vlaamse begrotingsaanpassing 2019 </w:t>
      </w:r>
      <w:r w:rsidR="00695B5B">
        <w:t xml:space="preserve">zijn </w:t>
      </w:r>
      <w:r w:rsidR="00532D99">
        <w:t xml:space="preserve">afgestemd op de </w:t>
      </w:r>
      <w:r w:rsidR="00AD57F8">
        <w:t xml:space="preserve">ramingen van de federale begrotinscontrole 2019 </w:t>
      </w:r>
      <w:r w:rsidR="00532D99">
        <w:t xml:space="preserve">waardoor er aangaande de </w:t>
      </w:r>
      <w:r w:rsidR="00532D99">
        <w:lastRenderedPageBreak/>
        <w:t>middelen uit de bijzondere financieringswet geen verschillen meer optreden.</w:t>
      </w:r>
      <w:r w:rsidR="00695B5B">
        <w:t xml:space="preserve"> Voor de Lotto-gelden wordt er een kleine meerontvangst van 0,1 miljoen euro </w:t>
      </w:r>
      <w:r w:rsidR="00923FB1">
        <w:t>gerealiseerd</w:t>
      </w:r>
      <w:r w:rsidR="00695B5B">
        <w:t>.</w:t>
      </w:r>
    </w:p>
    <w:p w14:paraId="7866E8C8" w14:textId="77777777" w:rsidR="00532D99" w:rsidRDefault="00532D99" w:rsidP="00F94295">
      <w:pPr>
        <w:pStyle w:val="Lijstalinea"/>
        <w:ind w:left="0"/>
        <w:jc w:val="both"/>
      </w:pPr>
    </w:p>
    <w:p w14:paraId="5F20DA06" w14:textId="77777777" w:rsidR="009166F5" w:rsidRDefault="009166F5" w:rsidP="00D11AD9">
      <w:pPr>
        <w:jc w:val="both"/>
      </w:pPr>
    </w:p>
    <w:p w14:paraId="0470D6A0" w14:textId="1B7238EB" w:rsidR="00E2113F" w:rsidRPr="0045709D" w:rsidRDefault="0064774F" w:rsidP="00A10ED6">
      <w:pPr>
        <w:pStyle w:val="Kop3"/>
        <w:numPr>
          <w:ilvl w:val="1"/>
          <w:numId w:val="24"/>
        </w:numPr>
      </w:pPr>
      <w:r w:rsidRPr="0045709D">
        <w:t>Andere</w:t>
      </w:r>
      <w:r w:rsidR="00304AAF" w:rsidRPr="0045709D">
        <w:t xml:space="preserve"> ontvangsten</w:t>
      </w:r>
      <w:r w:rsidR="0053686A" w:rsidRPr="0045709D">
        <w:t xml:space="preserve"> (</w:t>
      </w:r>
      <w:r w:rsidR="00410A60" w:rsidRPr="0045709D">
        <w:t>+</w:t>
      </w:r>
      <w:r w:rsidR="006F580D" w:rsidRPr="0045709D">
        <w:t>3</w:t>
      </w:r>
      <w:r w:rsidR="00410A60" w:rsidRPr="0045709D">
        <w:t xml:space="preserve">8,7 </w:t>
      </w:r>
      <w:r w:rsidR="0053686A" w:rsidRPr="0045709D">
        <w:t>miljoen t.o.v. B</w:t>
      </w:r>
      <w:r w:rsidR="00BC2249" w:rsidRPr="0045709D">
        <w:t>A</w:t>
      </w:r>
      <w:r w:rsidR="0053686A" w:rsidRPr="0045709D">
        <w:t xml:space="preserve"> 201</w:t>
      </w:r>
      <w:r w:rsidR="0035336F" w:rsidRPr="0045709D">
        <w:t>9</w:t>
      </w:r>
      <w:r w:rsidR="00700608" w:rsidRPr="0045709D">
        <w:t xml:space="preserve">; </w:t>
      </w:r>
      <w:r w:rsidR="00495508" w:rsidRPr="0045709D">
        <w:t>+</w:t>
      </w:r>
      <w:r w:rsidR="006F580D" w:rsidRPr="0045709D">
        <w:t>6</w:t>
      </w:r>
      <w:r w:rsidR="00410A60" w:rsidRPr="0045709D">
        <w:t>8,7</w:t>
      </w:r>
      <w:r w:rsidR="00700608" w:rsidRPr="0045709D">
        <w:t xml:space="preserve"> miljoen t.o.v. </w:t>
      </w:r>
      <w:r w:rsidR="00410A60" w:rsidRPr="0045709D">
        <w:t>december</w:t>
      </w:r>
      <w:r w:rsidR="0053686A" w:rsidRPr="0045709D">
        <w:t>)</w:t>
      </w:r>
    </w:p>
    <w:p w14:paraId="77E67184" w14:textId="77777777" w:rsidR="008E428D" w:rsidRDefault="008E428D" w:rsidP="008E428D">
      <w:pPr>
        <w:pStyle w:val="Lijstalinea"/>
        <w:ind w:left="0"/>
        <w:jc w:val="both"/>
      </w:pPr>
    </w:p>
    <w:p w14:paraId="5E9DDA66" w14:textId="73501170" w:rsidR="008E428D" w:rsidRDefault="008E428D" w:rsidP="008E428D">
      <w:pPr>
        <w:pStyle w:val="Lijstalinea"/>
        <w:ind w:left="0"/>
        <w:jc w:val="both"/>
      </w:pPr>
      <w:r w:rsidRPr="006017B1">
        <w:t xml:space="preserve">De </w:t>
      </w:r>
      <w:r w:rsidR="002C28E0">
        <w:t xml:space="preserve">realisaties van de </w:t>
      </w:r>
      <w:r w:rsidRPr="006017B1">
        <w:t xml:space="preserve">overige ontvangsten op de algemene middelenbegroting </w:t>
      </w:r>
      <w:r w:rsidR="002C28E0">
        <w:t xml:space="preserve">bedragen </w:t>
      </w:r>
      <w:r w:rsidR="00B7687B">
        <w:t>3</w:t>
      </w:r>
      <w:r w:rsidR="002C28E0">
        <w:t>8,7</w:t>
      </w:r>
      <w:r w:rsidR="0002358F">
        <w:t xml:space="preserve"> </w:t>
      </w:r>
      <w:r w:rsidRPr="006017B1">
        <w:t xml:space="preserve">miljoen euro </w:t>
      </w:r>
      <w:r w:rsidR="002C28E0">
        <w:t xml:space="preserve">meer </w:t>
      </w:r>
      <w:r w:rsidRPr="006017B1">
        <w:t>dan begroot</w:t>
      </w:r>
      <w:r w:rsidR="0002358F">
        <w:t xml:space="preserve"> bij de </w:t>
      </w:r>
      <w:r w:rsidR="000575B5">
        <w:t xml:space="preserve">begrotingsaanpassing </w:t>
      </w:r>
      <w:r w:rsidR="0002358F">
        <w:t>2019</w:t>
      </w:r>
      <w:r w:rsidRPr="006017B1">
        <w:t>.</w:t>
      </w:r>
      <w:r w:rsidR="00933669">
        <w:t xml:space="preserve"> De belangrijkste afwijkingen worden hieronder kort aangehaald.</w:t>
      </w:r>
    </w:p>
    <w:p w14:paraId="68D06839" w14:textId="3C6172BE" w:rsidR="00A044C2" w:rsidRDefault="00A044C2" w:rsidP="008E428D">
      <w:pPr>
        <w:pStyle w:val="Lijstalinea"/>
        <w:ind w:left="0"/>
        <w:jc w:val="both"/>
      </w:pPr>
    </w:p>
    <w:p w14:paraId="017BC58F" w14:textId="014B38C3" w:rsidR="007918BC" w:rsidRDefault="007918BC" w:rsidP="008E428D">
      <w:pPr>
        <w:pStyle w:val="Lijstalinea"/>
        <w:ind w:left="0"/>
        <w:jc w:val="both"/>
      </w:pPr>
      <w:r>
        <w:t>Naar aanleiding van de b</w:t>
      </w:r>
      <w:r w:rsidR="00B30551">
        <w:t xml:space="preserve">egrotingsaanpassing 2019 </w:t>
      </w:r>
      <w:r w:rsidR="005A3393">
        <w:t>werd</w:t>
      </w:r>
      <w:r w:rsidR="00B30551">
        <w:t xml:space="preserve"> </w:t>
      </w:r>
      <w:r>
        <w:t xml:space="preserve">een </w:t>
      </w:r>
      <w:r w:rsidRPr="00307F30">
        <w:rPr>
          <w:b/>
        </w:rPr>
        <w:t>Ethias-dividend</w:t>
      </w:r>
      <w:r>
        <w:t xml:space="preserve"> begroot ten bedrage van 31,6 miljoen euro.</w:t>
      </w:r>
      <w:r w:rsidR="00104A52">
        <w:t xml:space="preserve"> </w:t>
      </w:r>
      <w:r w:rsidR="005A3393">
        <w:t xml:space="preserve">In 2019 werd er echter </w:t>
      </w:r>
      <w:r w:rsidR="00104A52">
        <w:t xml:space="preserve">geen </w:t>
      </w:r>
      <w:r w:rsidR="00F00970">
        <w:t>Ethias-</w:t>
      </w:r>
      <w:r w:rsidR="00104A52">
        <w:t>dividend uitgekeerd. Hierbij een korte situatieschets met be</w:t>
      </w:r>
      <w:r w:rsidR="008D6D8C">
        <w:t xml:space="preserve">trekking tot Ethias en Vitrufin (was ook opgenomen in de </w:t>
      </w:r>
      <w:r w:rsidR="000762D0">
        <w:t xml:space="preserve">vorige </w:t>
      </w:r>
      <w:r w:rsidR="008D6D8C">
        <w:t>monitoringnota</w:t>
      </w:r>
      <w:r w:rsidR="000762D0">
        <w:t xml:space="preserve">’s van </w:t>
      </w:r>
      <w:r w:rsidR="008D6D8C">
        <w:t>november</w:t>
      </w:r>
      <w:r w:rsidR="000762D0">
        <w:t xml:space="preserve"> en december</w:t>
      </w:r>
      <w:r w:rsidR="008D6D8C">
        <w:t>).</w:t>
      </w:r>
    </w:p>
    <w:p w14:paraId="08BE0F99" w14:textId="186426BA" w:rsidR="00104A52" w:rsidRPr="00104A52" w:rsidRDefault="00104A52" w:rsidP="00104A52">
      <w:pPr>
        <w:pStyle w:val="Lijstalinea"/>
        <w:ind w:left="0"/>
        <w:jc w:val="both"/>
        <w:rPr>
          <w:rFonts w:cstheme="minorHAnsi"/>
        </w:rPr>
      </w:pPr>
    </w:p>
    <w:p w14:paraId="5948D4D5" w14:textId="119579C5" w:rsidR="007F5BBB" w:rsidRDefault="00104A52" w:rsidP="00104A52">
      <w:pPr>
        <w:jc w:val="both"/>
        <w:rPr>
          <w:rFonts w:cstheme="minorHAnsi"/>
        </w:rPr>
      </w:pPr>
      <w:r>
        <w:rPr>
          <w:rFonts w:cstheme="minorHAnsi"/>
        </w:rPr>
        <w:t>Het h</w:t>
      </w:r>
      <w:r w:rsidRPr="00104A52">
        <w:rPr>
          <w:rFonts w:cstheme="minorHAnsi"/>
        </w:rPr>
        <w:t>uidig</w:t>
      </w:r>
      <w:r>
        <w:rPr>
          <w:rFonts w:cstheme="minorHAnsi"/>
        </w:rPr>
        <w:t>e</w:t>
      </w:r>
      <w:r w:rsidRPr="00104A52">
        <w:rPr>
          <w:rFonts w:cstheme="minorHAnsi"/>
        </w:rPr>
        <w:t xml:space="preserve"> aandeelhouderschap van </w:t>
      </w:r>
      <w:r>
        <w:rPr>
          <w:rFonts w:cstheme="minorHAnsi"/>
        </w:rPr>
        <w:t xml:space="preserve">het Vlaams Gewest </w:t>
      </w:r>
      <w:r w:rsidRPr="00104A52">
        <w:rPr>
          <w:rFonts w:cstheme="minorHAnsi"/>
        </w:rPr>
        <w:t xml:space="preserve">in Vitrufin </w:t>
      </w:r>
      <w:r>
        <w:rPr>
          <w:rFonts w:cstheme="minorHAnsi"/>
        </w:rPr>
        <w:t xml:space="preserve">bedraagt </w:t>
      </w:r>
      <w:r w:rsidRPr="00104A52">
        <w:rPr>
          <w:rFonts w:cstheme="minorHAnsi"/>
        </w:rPr>
        <w:t xml:space="preserve">31,67% (633.333 </w:t>
      </w:r>
      <w:r>
        <w:rPr>
          <w:rFonts w:cstheme="minorHAnsi"/>
        </w:rPr>
        <w:t>a</w:t>
      </w:r>
      <w:r w:rsidRPr="00104A52">
        <w:rPr>
          <w:rFonts w:cstheme="minorHAnsi"/>
        </w:rPr>
        <w:t xml:space="preserve">andelen op een totaal van 2 miljoen aandelen). Vitrufin </w:t>
      </w:r>
      <w:r>
        <w:rPr>
          <w:rFonts w:cstheme="minorHAnsi"/>
        </w:rPr>
        <w:t xml:space="preserve">is op zijn beurt </w:t>
      </w:r>
      <w:r w:rsidRPr="00104A52">
        <w:rPr>
          <w:rFonts w:cstheme="minorHAnsi"/>
        </w:rPr>
        <w:t>100% eigenaar van Ethias</w:t>
      </w:r>
      <w:r>
        <w:rPr>
          <w:rFonts w:cstheme="minorHAnsi"/>
        </w:rPr>
        <w:t xml:space="preserve">. </w:t>
      </w:r>
      <w:r w:rsidR="003768F6">
        <w:rPr>
          <w:rFonts w:cstheme="minorHAnsi"/>
        </w:rPr>
        <w:t>Vitrufin werd</w:t>
      </w:r>
      <w:r w:rsidRPr="00104A52">
        <w:rPr>
          <w:rFonts w:cstheme="minorHAnsi"/>
        </w:rPr>
        <w:t xml:space="preserve"> ontbonden en onmiddellijk vereffend tijdens de bijzondere algemene aandeelhoudersvergadering op vrijdag 25 oktober 2019 (te ontvangen som </w:t>
      </w:r>
      <w:r>
        <w:rPr>
          <w:rFonts w:cstheme="minorHAnsi"/>
        </w:rPr>
        <w:t xml:space="preserve">voor Vlaams </w:t>
      </w:r>
      <w:r w:rsidR="00675897">
        <w:rPr>
          <w:rFonts w:cstheme="minorHAnsi"/>
        </w:rPr>
        <w:t>G</w:t>
      </w:r>
      <w:r>
        <w:rPr>
          <w:rFonts w:cstheme="minorHAnsi"/>
        </w:rPr>
        <w:t xml:space="preserve">ewest: </w:t>
      </w:r>
      <w:r w:rsidRPr="00104A52">
        <w:rPr>
          <w:rFonts w:cstheme="minorHAnsi"/>
        </w:rPr>
        <w:t>+/- 450.000 euro</w:t>
      </w:r>
      <w:r w:rsidR="007F5BBB">
        <w:rPr>
          <w:rFonts w:cstheme="minorHAnsi"/>
        </w:rPr>
        <w:t xml:space="preserve"> – ESR 8</w:t>
      </w:r>
      <w:r w:rsidRPr="00104A52">
        <w:rPr>
          <w:rFonts w:cstheme="minorHAnsi"/>
        </w:rPr>
        <w:t>).</w:t>
      </w:r>
      <w:r w:rsidR="007F5BBB">
        <w:rPr>
          <w:rFonts w:cstheme="minorHAnsi"/>
        </w:rPr>
        <w:t xml:space="preserve"> </w:t>
      </w:r>
      <w:r w:rsidRPr="00104A52">
        <w:rPr>
          <w:rFonts w:cstheme="minorHAnsi"/>
        </w:rPr>
        <w:t xml:space="preserve">De Vlaamse Gemeenschap </w:t>
      </w:r>
      <w:r w:rsidR="007F5BBB">
        <w:rPr>
          <w:rFonts w:cstheme="minorHAnsi"/>
        </w:rPr>
        <w:t xml:space="preserve">(Gewest) </w:t>
      </w:r>
      <w:r w:rsidR="003768F6">
        <w:rPr>
          <w:rFonts w:cstheme="minorHAnsi"/>
        </w:rPr>
        <w:t>werd</w:t>
      </w:r>
      <w:r w:rsidRPr="00104A52">
        <w:rPr>
          <w:rFonts w:cstheme="minorHAnsi"/>
        </w:rPr>
        <w:t xml:space="preserve"> dus per 25 oktober rechtstreeks voor 31,67% eigenaar in Ethias.</w:t>
      </w:r>
    </w:p>
    <w:p w14:paraId="59278108" w14:textId="77777777" w:rsidR="007F5BBB" w:rsidRDefault="007F5BBB" w:rsidP="00104A52">
      <w:pPr>
        <w:jc w:val="both"/>
        <w:rPr>
          <w:rFonts w:cstheme="minorHAnsi"/>
        </w:rPr>
      </w:pPr>
    </w:p>
    <w:p w14:paraId="65ADFDB2" w14:textId="4A5BD105" w:rsidR="00104A52" w:rsidRPr="00104A52" w:rsidRDefault="00104A52" w:rsidP="00104A52">
      <w:pPr>
        <w:jc w:val="both"/>
        <w:rPr>
          <w:rFonts w:cstheme="minorHAnsi"/>
        </w:rPr>
      </w:pPr>
      <w:r w:rsidRPr="00104A52">
        <w:rPr>
          <w:rFonts w:cstheme="minorHAnsi"/>
        </w:rPr>
        <w:t>Op de algemene vergadering van Ethias op 16 mei 2018 werd beslist een dividend uit te keren van 150 miljoen euro over het boekjaar 2017. Er werd door de raad van bestuur van Ethias op 27 augustus 2018 ook een interimdividend 2018 aan Vitrufin toegekend van 118,4 miljoen euro. Dit interimdividend stemt overeen met het dividend over het boekjaar 2018</w:t>
      </w:r>
      <w:r w:rsidR="007F5BBB">
        <w:rPr>
          <w:rFonts w:cstheme="minorHAnsi"/>
        </w:rPr>
        <w:t xml:space="preserve"> en </w:t>
      </w:r>
      <w:r w:rsidRPr="00104A52">
        <w:rPr>
          <w:rFonts w:cstheme="minorHAnsi"/>
        </w:rPr>
        <w:t>werd uitgekeerd vóór de gewone Algemene Vergadering want dit was kasmatig nodig voor Vitrufin. Kas- en balansmatig werd dit bedrag in januari 2019 aangewend op eindvervaldag ter aflossing van de uitstaande obligatielening van 278 miljoen euro die op 16 januari 2012 werd geplaatst.</w:t>
      </w:r>
      <w:r w:rsidR="007F5BBB">
        <w:rPr>
          <w:rFonts w:cstheme="minorHAnsi"/>
        </w:rPr>
        <w:t xml:space="preserve"> </w:t>
      </w:r>
      <w:r w:rsidRPr="00104A52">
        <w:rPr>
          <w:rFonts w:cstheme="minorHAnsi"/>
        </w:rPr>
        <w:t xml:space="preserve">Er </w:t>
      </w:r>
      <w:r w:rsidR="000762D0">
        <w:rPr>
          <w:rFonts w:cstheme="minorHAnsi"/>
        </w:rPr>
        <w:t>werd</w:t>
      </w:r>
      <w:r w:rsidRPr="00104A52">
        <w:rPr>
          <w:rFonts w:cstheme="minorHAnsi"/>
        </w:rPr>
        <w:t xml:space="preserve"> </w:t>
      </w:r>
      <w:r w:rsidR="007F5BBB">
        <w:rPr>
          <w:rFonts w:cstheme="minorHAnsi"/>
        </w:rPr>
        <w:t xml:space="preserve">in 2019 </w:t>
      </w:r>
      <w:r w:rsidRPr="00104A52">
        <w:rPr>
          <w:rFonts w:cstheme="minorHAnsi"/>
        </w:rPr>
        <w:t xml:space="preserve">geen gewoon dividend </w:t>
      </w:r>
      <w:r w:rsidR="007F5BBB">
        <w:rPr>
          <w:rFonts w:cstheme="minorHAnsi"/>
        </w:rPr>
        <w:t xml:space="preserve">over het boekjaar </w:t>
      </w:r>
      <w:r w:rsidRPr="00104A52">
        <w:rPr>
          <w:rFonts w:cstheme="minorHAnsi"/>
        </w:rPr>
        <w:t xml:space="preserve">2018 </w:t>
      </w:r>
      <w:r w:rsidR="007F5BBB">
        <w:rPr>
          <w:rFonts w:cstheme="minorHAnsi"/>
        </w:rPr>
        <w:t xml:space="preserve">door </w:t>
      </w:r>
      <w:r w:rsidRPr="00104A52">
        <w:rPr>
          <w:rFonts w:cstheme="minorHAnsi"/>
        </w:rPr>
        <w:t>Ethias uitgekeerd aan Vitrufin</w:t>
      </w:r>
      <w:r w:rsidR="00AE0725">
        <w:rPr>
          <w:rStyle w:val="Voetnootmarkering"/>
          <w:rFonts w:cstheme="minorHAnsi"/>
        </w:rPr>
        <w:footnoteReference w:id="3"/>
      </w:r>
      <w:r w:rsidRPr="00104A52">
        <w:rPr>
          <w:rFonts w:cstheme="minorHAnsi"/>
        </w:rPr>
        <w:t>.</w:t>
      </w:r>
    </w:p>
    <w:p w14:paraId="5EEA94BE" w14:textId="5A16FEF0" w:rsidR="00104A52" w:rsidRDefault="00104A52" w:rsidP="00104A52">
      <w:pPr>
        <w:jc w:val="both"/>
        <w:rPr>
          <w:rFonts w:cstheme="minorHAnsi"/>
        </w:rPr>
      </w:pPr>
      <w:r w:rsidRPr="00104A52">
        <w:rPr>
          <w:rFonts w:cstheme="minorHAnsi"/>
        </w:rPr>
        <w:t xml:space="preserve">Er </w:t>
      </w:r>
      <w:r w:rsidR="000762D0">
        <w:rPr>
          <w:rFonts w:cstheme="minorHAnsi"/>
        </w:rPr>
        <w:t>werd</w:t>
      </w:r>
      <w:r w:rsidRPr="00104A52">
        <w:rPr>
          <w:rFonts w:cstheme="minorHAnsi"/>
        </w:rPr>
        <w:t xml:space="preserve"> </w:t>
      </w:r>
      <w:r w:rsidR="007F5BBB">
        <w:rPr>
          <w:rFonts w:cstheme="minorHAnsi"/>
        </w:rPr>
        <w:t xml:space="preserve">in 2019 </w:t>
      </w:r>
      <w:r w:rsidR="00675897">
        <w:rPr>
          <w:rFonts w:cstheme="minorHAnsi"/>
        </w:rPr>
        <w:t xml:space="preserve">ook </w:t>
      </w:r>
      <w:r w:rsidRPr="00104A52">
        <w:rPr>
          <w:rFonts w:cstheme="minorHAnsi"/>
        </w:rPr>
        <w:t xml:space="preserve">geen interimdividend 2019 door Ethias </w:t>
      </w:r>
      <w:r w:rsidR="000762D0">
        <w:rPr>
          <w:rFonts w:cstheme="minorHAnsi"/>
        </w:rPr>
        <w:t>uitgekeerd</w:t>
      </w:r>
      <w:r w:rsidRPr="00104A52">
        <w:rPr>
          <w:rFonts w:cstheme="minorHAnsi"/>
        </w:rPr>
        <w:t xml:space="preserve">. </w:t>
      </w:r>
      <w:r w:rsidR="007F5BBB">
        <w:rPr>
          <w:rFonts w:cstheme="minorHAnsi"/>
        </w:rPr>
        <w:t>Er wordt in 2020 w</w:t>
      </w:r>
      <w:r w:rsidRPr="00104A52">
        <w:rPr>
          <w:rFonts w:cstheme="minorHAnsi"/>
        </w:rPr>
        <w:t xml:space="preserve">el </w:t>
      </w:r>
      <w:r w:rsidR="007F5BBB">
        <w:rPr>
          <w:rFonts w:cstheme="minorHAnsi"/>
        </w:rPr>
        <w:t xml:space="preserve">een </w:t>
      </w:r>
      <w:r w:rsidRPr="00104A52">
        <w:rPr>
          <w:rFonts w:cstheme="minorHAnsi"/>
        </w:rPr>
        <w:t xml:space="preserve">gewoon dividend </w:t>
      </w:r>
      <w:r w:rsidR="007F5BBB">
        <w:rPr>
          <w:rFonts w:cstheme="minorHAnsi"/>
        </w:rPr>
        <w:t xml:space="preserve">over het boekjaar </w:t>
      </w:r>
      <w:r w:rsidRPr="00104A52">
        <w:rPr>
          <w:rFonts w:cstheme="minorHAnsi"/>
        </w:rPr>
        <w:t xml:space="preserve">2019 </w:t>
      </w:r>
      <w:r w:rsidR="007F5BBB">
        <w:rPr>
          <w:rFonts w:cstheme="minorHAnsi"/>
        </w:rPr>
        <w:t xml:space="preserve">voorzien, </w:t>
      </w:r>
      <w:r w:rsidRPr="00104A52">
        <w:rPr>
          <w:rFonts w:cstheme="minorHAnsi"/>
        </w:rPr>
        <w:t>te betalen in 2020.</w:t>
      </w:r>
    </w:p>
    <w:p w14:paraId="3F3F18D3" w14:textId="72A8361C" w:rsidR="00126E54" w:rsidRDefault="00126E54" w:rsidP="00104A52">
      <w:pPr>
        <w:jc w:val="both"/>
        <w:rPr>
          <w:rFonts w:cstheme="minorHAnsi"/>
        </w:rPr>
      </w:pPr>
    </w:p>
    <w:p w14:paraId="3A30B9BF" w14:textId="55A307FA" w:rsidR="00126E54" w:rsidRPr="00104A52" w:rsidRDefault="00126E54" w:rsidP="00104A52">
      <w:pPr>
        <w:jc w:val="both"/>
        <w:rPr>
          <w:rFonts w:cstheme="minorHAnsi"/>
        </w:rPr>
      </w:pPr>
      <w:r>
        <w:rPr>
          <w:rFonts w:cstheme="minorHAnsi"/>
        </w:rPr>
        <w:t xml:space="preserve">Het </w:t>
      </w:r>
      <w:r w:rsidRPr="00126E54">
        <w:rPr>
          <w:rFonts w:cstheme="minorHAnsi"/>
          <w:b/>
        </w:rPr>
        <w:t>VPM-dividend</w:t>
      </w:r>
      <w:r>
        <w:rPr>
          <w:rFonts w:cstheme="minorHAnsi"/>
        </w:rPr>
        <w:t xml:space="preserve"> bedraagt 20 miljoen euro, 10 miljoen meer dan begroot. De uitgaande dividendenstroom bij VPM bedraagt ook 20 miljoen euro.</w:t>
      </w:r>
    </w:p>
    <w:p w14:paraId="552E623E" w14:textId="31661789" w:rsidR="00104A52" w:rsidRDefault="00104A52" w:rsidP="00104A52">
      <w:pPr>
        <w:pStyle w:val="Lijstalinea"/>
        <w:ind w:left="0"/>
        <w:jc w:val="both"/>
        <w:rPr>
          <w:rFonts w:cstheme="minorHAnsi"/>
        </w:rPr>
      </w:pPr>
    </w:p>
    <w:p w14:paraId="1A3E88FB" w14:textId="5384C372" w:rsidR="00F00970" w:rsidRDefault="00F00970" w:rsidP="00104A52">
      <w:pPr>
        <w:pStyle w:val="Lijstalinea"/>
        <w:ind w:left="0"/>
        <w:jc w:val="both"/>
        <w:rPr>
          <w:rFonts w:cstheme="minorHAnsi"/>
        </w:rPr>
      </w:pPr>
      <w:r>
        <w:rPr>
          <w:rFonts w:cstheme="minorHAnsi"/>
        </w:rPr>
        <w:t xml:space="preserve">De </w:t>
      </w:r>
      <w:r w:rsidRPr="00307F30">
        <w:rPr>
          <w:rFonts w:cstheme="minorHAnsi"/>
        </w:rPr>
        <w:t>heffingen</w:t>
      </w:r>
      <w:r w:rsidRPr="00307F30">
        <w:rPr>
          <w:rFonts w:cstheme="minorHAnsi"/>
          <w:b/>
        </w:rPr>
        <w:t xml:space="preserve"> leegstand en verkrotting</w:t>
      </w:r>
      <w:r>
        <w:rPr>
          <w:rFonts w:cstheme="minorHAnsi"/>
        </w:rPr>
        <w:t xml:space="preserve"> </w:t>
      </w:r>
      <w:r w:rsidR="000762D0">
        <w:rPr>
          <w:rFonts w:cstheme="minorHAnsi"/>
        </w:rPr>
        <w:t xml:space="preserve">brachten 1,1 </w:t>
      </w:r>
      <w:r>
        <w:rPr>
          <w:rFonts w:cstheme="minorHAnsi"/>
        </w:rPr>
        <w:t xml:space="preserve">miljoen </w:t>
      </w:r>
      <w:r w:rsidR="00E5037A">
        <w:rPr>
          <w:rFonts w:cstheme="minorHAnsi"/>
        </w:rPr>
        <w:t xml:space="preserve">euro </w:t>
      </w:r>
      <w:r w:rsidR="000762D0">
        <w:rPr>
          <w:rFonts w:cstheme="minorHAnsi"/>
        </w:rPr>
        <w:t>meer op dan begroot.</w:t>
      </w:r>
    </w:p>
    <w:p w14:paraId="300CF619" w14:textId="74FC991B" w:rsidR="00D220CA" w:rsidRDefault="00D220CA" w:rsidP="00104A52">
      <w:pPr>
        <w:pStyle w:val="Lijstalinea"/>
        <w:ind w:left="0"/>
        <w:jc w:val="both"/>
        <w:rPr>
          <w:rFonts w:cstheme="minorHAnsi"/>
        </w:rPr>
      </w:pPr>
    </w:p>
    <w:p w14:paraId="198AA3C9" w14:textId="5980BD21" w:rsidR="00526328" w:rsidRDefault="00526328" w:rsidP="00104A52">
      <w:pPr>
        <w:pStyle w:val="Lijstalinea"/>
        <w:ind w:left="0"/>
        <w:jc w:val="both"/>
        <w:rPr>
          <w:rFonts w:cstheme="minorHAnsi"/>
        </w:rPr>
      </w:pPr>
      <w:r>
        <w:rPr>
          <w:rFonts w:cstheme="minorHAnsi"/>
        </w:rPr>
        <w:t xml:space="preserve">De ontvangsten uit de </w:t>
      </w:r>
      <w:r w:rsidRPr="00307F30">
        <w:rPr>
          <w:rFonts w:cstheme="minorHAnsi"/>
          <w:b/>
        </w:rPr>
        <w:t>Planbatenheffing</w:t>
      </w:r>
      <w:r>
        <w:rPr>
          <w:rFonts w:cstheme="minorHAnsi"/>
        </w:rPr>
        <w:t xml:space="preserve"> </w:t>
      </w:r>
      <w:r w:rsidR="009A1767">
        <w:rPr>
          <w:rFonts w:cstheme="minorHAnsi"/>
        </w:rPr>
        <w:t>liggen</w:t>
      </w:r>
      <w:r>
        <w:rPr>
          <w:rFonts w:cstheme="minorHAnsi"/>
        </w:rPr>
        <w:t xml:space="preserve"> 6,</w:t>
      </w:r>
      <w:r w:rsidR="009A1767">
        <w:rPr>
          <w:rFonts w:cstheme="minorHAnsi"/>
        </w:rPr>
        <w:t>1</w:t>
      </w:r>
      <w:r>
        <w:rPr>
          <w:rFonts w:cstheme="minorHAnsi"/>
        </w:rPr>
        <w:t xml:space="preserve"> miljoen euro hoger dan </w:t>
      </w:r>
      <w:r w:rsidR="009A1767">
        <w:rPr>
          <w:rFonts w:cstheme="minorHAnsi"/>
        </w:rPr>
        <w:t xml:space="preserve">geraamd </w:t>
      </w:r>
      <w:r>
        <w:rPr>
          <w:rFonts w:cstheme="minorHAnsi"/>
        </w:rPr>
        <w:t xml:space="preserve">bij de begrotingsaanpassing. Deze toename is hoofdzakelijk toe te schrijven aan de in november gerealiseerde ontvangst van 5,5 miljoen voor het RUP van de West-Vlaamse Intercommunale. </w:t>
      </w:r>
    </w:p>
    <w:p w14:paraId="7F6986D8" w14:textId="7A4E5737" w:rsidR="00526328" w:rsidRDefault="00526328" w:rsidP="00104A52">
      <w:pPr>
        <w:pStyle w:val="Lijstalinea"/>
        <w:ind w:left="0"/>
        <w:jc w:val="both"/>
        <w:rPr>
          <w:rFonts w:cstheme="minorHAnsi"/>
        </w:rPr>
      </w:pPr>
    </w:p>
    <w:p w14:paraId="2A74DFC7" w14:textId="24937FBF" w:rsidR="003F10D8" w:rsidRDefault="003F10D8" w:rsidP="00104A52">
      <w:pPr>
        <w:pStyle w:val="Lijstalinea"/>
        <w:ind w:left="0"/>
        <w:jc w:val="both"/>
        <w:rPr>
          <w:rFonts w:cstheme="minorHAnsi"/>
        </w:rPr>
      </w:pPr>
      <w:r>
        <w:rPr>
          <w:rFonts w:cstheme="minorHAnsi"/>
        </w:rPr>
        <w:t xml:space="preserve">De terugvorderingen van </w:t>
      </w:r>
      <w:r w:rsidRPr="00307F30">
        <w:rPr>
          <w:rFonts w:cstheme="minorHAnsi"/>
          <w:b/>
        </w:rPr>
        <w:t>studietoelagen</w:t>
      </w:r>
      <w:r>
        <w:rPr>
          <w:rFonts w:cstheme="minorHAnsi"/>
        </w:rPr>
        <w:t xml:space="preserve"> (Recuperatiefonds) </w:t>
      </w:r>
      <w:r w:rsidR="00241013">
        <w:rPr>
          <w:rFonts w:cstheme="minorHAnsi"/>
        </w:rPr>
        <w:t>bedragen</w:t>
      </w:r>
      <w:r>
        <w:rPr>
          <w:rFonts w:cstheme="minorHAnsi"/>
        </w:rPr>
        <w:t xml:space="preserve"> </w:t>
      </w:r>
      <w:r w:rsidR="00241013">
        <w:rPr>
          <w:rFonts w:cstheme="minorHAnsi"/>
        </w:rPr>
        <w:t>2,</w:t>
      </w:r>
      <w:r w:rsidR="002F7AD1">
        <w:rPr>
          <w:rFonts w:cstheme="minorHAnsi"/>
        </w:rPr>
        <w:t>6</w:t>
      </w:r>
      <w:r>
        <w:rPr>
          <w:rFonts w:cstheme="minorHAnsi"/>
        </w:rPr>
        <w:t xml:space="preserve"> miljoen meer dan begroot.</w:t>
      </w:r>
      <w:r w:rsidR="00495508">
        <w:rPr>
          <w:rFonts w:cstheme="minorHAnsi"/>
        </w:rPr>
        <w:t xml:space="preserve"> Voor het </w:t>
      </w:r>
      <w:r w:rsidR="00495508" w:rsidRPr="00495508">
        <w:rPr>
          <w:rFonts w:cstheme="minorHAnsi"/>
          <w:b/>
        </w:rPr>
        <w:t>salarisfonds</w:t>
      </w:r>
      <w:r w:rsidR="00495508">
        <w:rPr>
          <w:rFonts w:cstheme="minorHAnsi"/>
        </w:rPr>
        <w:t xml:space="preserve"> </w:t>
      </w:r>
      <w:r w:rsidR="002F7AD1">
        <w:rPr>
          <w:rFonts w:cstheme="minorHAnsi"/>
        </w:rPr>
        <w:t xml:space="preserve">bedragen de ontvangsten 14,8 miljoen meer </w:t>
      </w:r>
      <w:r w:rsidR="00495508">
        <w:rPr>
          <w:rFonts w:cstheme="minorHAnsi"/>
        </w:rPr>
        <w:t>dan geraamd bij de begrotingsaanpassing.</w:t>
      </w:r>
    </w:p>
    <w:p w14:paraId="255E2C1C" w14:textId="6F0C6207" w:rsidR="00526328" w:rsidRDefault="00526328" w:rsidP="00104A52">
      <w:pPr>
        <w:pStyle w:val="Lijstalinea"/>
        <w:ind w:left="0"/>
        <w:jc w:val="both"/>
        <w:rPr>
          <w:rFonts w:cstheme="minorHAnsi"/>
        </w:rPr>
      </w:pPr>
    </w:p>
    <w:p w14:paraId="4919A1F3" w14:textId="1B6A7A3E" w:rsidR="003F10D8" w:rsidRDefault="00B56D91" w:rsidP="00104A52">
      <w:pPr>
        <w:pStyle w:val="Lijstalinea"/>
        <w:ind w:left="0"/>
        <w:jc w:val="both"/>
        <w:rPr>
          <w:rFonts w:cstheme="minorHAnsi"/>
        </w:rPr>
      </w:pPr>
      <w:r>
        <w:rPr>
          <w:rFonts w:cstheme="minorHAnsi"/>
        </w:rPr>
        <w:lastRenderedPageBreak/>
        <w:t>H</w:t>
      </w:r>
      <w:r w:rsidR="003F10D8">
        <w:rPr>
          <w:rFonts w:cstheme="minorHAnsi"/>
        </w:rPr>
        <w:t xml:space="preserve">et </w:t>
      </w:r>
      <w:r w:rsidR="003F10D8" w:rsidRPr="00307F30">
        <w:rPr>
          <w:rFonts w:cstheme="minorHAnsi"/>
          <w:b/>
        </w:rPr>
        <w:t>Fonds Justitiehuizen</w:t>
      </w:r>
      <w:r w:rsidR="003F10D8">
        <w:rPr>
          <w:rFonts w:cstheme="minorHAnsi"/>
        </w:rPr>
        <w:t xml:space="preserve"> </w:t>
      </w:r>
      <w:r>
        <w:rPr>
          <w:rFonts w:cstheme="minorHAnsi"/>
        </w:rPr>
        <w:t>realiseerde in 2019 geen ontvangsten.</w:t>
      </w:r>
      <w:r w:rsidR="00912A95">
        <w:rPr>
          <w:rFonts w:cstheme="minorHAnsi"/>
        </w:rPr>
        <w:t xml:space="preserve"> Dit betek</w:t>
      </w:r>
      <w:r w:rsidR="003F10D8">
        <w:rPr>
          <w:rFonts w:cstheme="minorHAnsi"/>
        </w:rPr>
        <w:t xml:space="preserve">ent een negatieve afwijking ten opzichte van de begroting van 5,5 miljoen euro. De ontvangsten </w:t>
      </w:r>
      <w:r w:rsidR="00307F30">
        <w:rPr>
          <w:rFonts w:cstheme="minorHAnsi"/>
        </w:rPr>
        <w:t>zullen pas gerealiseerd worden na een wetswijziging op federaal niveau.</w:t>
      </w:r>
    </w:p>
    <w:p w14:paraId="1B6DD6C2" w14:textId="636F5A0E" w:rsidR="00BB7EC9" w:rsidRDefault="00BB7EC9" w:rsidP="00104A52">
      <w:pPr>
        <w:pStyle w:val="Lijstalinea"/>
        <w:ind w:left="0"/>
        <w:jc w:val="both"/>
        <w:rPr>
          <w:rFonts w:cstheme="minorHAnsi"/>
        </w:rPr>
      </w:pPr>
    </w:p>
    <w:p w14:paraId="41DEA8E5" w14:textId="64A05AC3" w:rsidR="00E014D5" w:rsidRDefault="00E014D5" w:rsidP="00104A52">
      <w:pPr>
        <w:pStyle w:val="Lijstalinea"/>
        <w:ind w:left="0"/>
        <w:jc w:val="both"/>
        <w:rPr>
          <w:rFonts w:cstheme="minorHAnsi"/>
        </w:rPr>
      </w:pPr>
      <w:r>
        <w:rPr>
          <w:rFonts w:cstheme="minorHAnsi"/>
        </w:rPr>
        <w:t xml:space="preserve">De ontvangsten </w:t>
      </w:r>
      <w:r w:rsidR="009D0F06">
        <w:rPr>
          <w:rFonts w:cstheme="minorHAnsi"/>
        </w:rPr>
        <w:t>van</w:t>
      </w:r>
      <w:r>
        <w:rPr>
          <w:rFonts w:cstheme="minorHAnsi"/>
        </w:rPr>
        <w:t xml:space="preserve"> </w:t>
      </w:r>
      <w:r w:rsidR="009D0F06">
        <w:rPr>
          <w:rFonts w:cstheme="minorHAnsi"/>
        </w:rPr>
        <w:t xml:space="preserve">Europese middelen inzake </w:t>
      </w:r>
      <w:r w:rsidR="009D0F06" w:rsidRPr="009D0F06">
        <w:rPr>
          <w:rFonts w:cstheme="minorHAnsi"/>
          <w:b/>
        </w:rPr>
        <w:t xml:space="preserve">technische bijstand voor ESF </w:t>
      </w:r>
      <w:r w:rsidRPr="009D0F06">
        <w:rPr>
          <w:rFonts w:cstheme="minorHAnsi"/>
          <w:b/>
        </w:rPr>
        <w:t>en AMIF</w:t>
      </w:r>
      <w:r>
        <w:rPr>
          <w:rFonts w:cstheme="minorHAnsi"/>
        </w:rPr>
        <w:t xml:space="preserve"> (beleidsdomein WSE) bedragen 4,5 miljoen meer dan begroot. </w:t>
      </w:r>
      <w:r w:rsidR="009D0F06">
        <w:rPr>
          <w:rFonts w:cstheme="minorHAnsi"/>
        </w:rPr>
        <w:t xml:space="preserve">De meeropbrengst heeft vooral betrekking op een inhaalbeweging inzake technische bijstand </w:t>
      </w:r>
      <w:r w:rsidR="000C29B4">
        <w:rPr>
          <w:rFonts w:cstheme="minorHAnsi"/>
        </w:rPr>
        <w:t xml:space="preserve">van </w:t>
      </w:r>
      <w:r w:rsidR="009D0F06">
        <w:rPr>
          <w:rFonts w:cstheme="minorHAnsi"/>
        </w:rPr>
        <w:t>2017 en 2018.</w:t>
      </w:r>
    </w:p>
    <w:p w14:paraId="56F4E8EA" w14:textId="77777777" w:rsidR="009D0F06" w:rsidRDefault="009D0F06" w:rsidP="00104A52">
      <w:pPr>
        <w:pStyle w:val="Lijstalinea"/>
        <w:ind w:left="0"/>
        <w:jc w:val="both"/>
        <w:rPr>
          <w:rFonts w:cstheme="minorHAnsi"/>
        </w:rPr>
      </w:pPr>
    </w:p>
    <w:p w14:paraId="6FE4AD7C" w14:textId="225C37D3" w:rsidR="00BB7EC9" w:rsidRDefault="00BB7EC9" w:rsidP="00104A52">
      <w:pPr>
        <w:pStyle w:val="Lijstalinea"/>
        <w:ind w:left="0"/>
        <w:jc w:val="both"/>
        <w:rPr>
          <w:rFonts w:cstheme="minorHAnsi"/>
        </w:rPr>
      </w:pPr>
      <w:r>
        <w:rPr>
          <w:rFonts w:cstheme="minorHAnsi"/>
        </w:rPr>
        <w:t xml:space="preserve">De </w:t>
      </w:r>
      <w:r w:rsidRPr="00BB7EC9">
        <w:rPr>
          <w:rFonts w:cstheme="minorHAnsi"/>
          <w:b/>
        </w:rPr>
        <w:t>schadeclaims</w:t>
      </w:r>
      <w:r>
        <w:rPr>
          <w:rFonts w:cstheme="minorHAnsi"/>
        </w:rPr>
        <w:t xml:space="preserve"> voortvloeiend uit het beheer van het openbaar domein (beleidsdomein MOW) </w:t>
      </w:r>
      <w:r w:rsidR="003B1C15">
        <w:rPr>
          <w:rFonts w:cstheme="minorHAnsi"/>
        </w:rPr>
        <w:t xml:space="preserve">bedragen </w:t>
      </w:r>
      <w:r>
        <w:rPr>
          <w:rFonts w:cstheme="minorHAnsi"/>
        </w:rPr>
        <w:t>7,</w:t>
      </w:r>
      <w:r w:rsidR="003B1C15">
        <w:rPr>
          <w:rFonts w:cstheme="minorHAnsi"/>
        </w:rPr>
        <w:t>8</w:t>
      </w:r>
      <w:r>
        <w:rPr>
          <w:rFonts w:cstheme="minorHAnsi"/>
        </w:rPr>
        <w:t xml:space="preserve"> miljoen euro. Dit is 2</w:t>
      </w:r>
      <w:r w:rsidR="0056365C">
        <w:rPr>
          <w:rFonts w:cstheme="minorHAnsi"/>
        </w:rPr>
        <w:t>,3</w:t>
      </w:r>
      <w:r>
        <w:rPr>
          <w:rFonts w:cstheme="minorHAnsi"/>
        </w:rPr>
        <w:t xml:space="preserve"> miljoen euro meer dan begroot.</w:t>
      </w:r>
    </w:p>
    <w:p w14:paraId="6C0CC89F" w14:textId="77777777" w:rsidR="003F10D8" w:rsidRDefault="003F10D8" w:rsidP="00104A52">
      <w:pPr>
        <w:pStyle w:val="Lijstalinea"/>
        <w:ind w:left="0"/>
        <w:jc w:val="both"/>
        <w:rPr>
          <w:rFonts w:cstheme="minorHAnsi"/>
        </w:rPr>
      </w:pPr>
    </w:p>
    <w:p w14:paraId="4AC7E962" w14:textId="4A99443D" w:rsidR="00D220CA" w:rsidRDefault="00D220CA" w:rsidP="00104A52">
      <w:pPr>
        <w:pStyle w:val="Lijstalinea"/>
        <w:ind w:left="0"/>
        <w:jc w:val="both"/>
        <w:rPr>
          <w:rFonts w:cstheme="minorHAnsi"/>
        </w:rPr>
      </w:pPr>
      <w:r>
        <w:rPr>
          <w:rFonts w:cstheme="minorHAnsi"/>
        </w:rPr>
        <w:t xml:space="preserve">De opbrengsten uit de </w:t>
      </w:r>
      <w:r w:rsidRPr="00F94201">
        <w:rPr>
          <w:rFonts w:cstheme="minorHAnsi"/>
          <w:b/>
        </w:rPr>
        <w:t xml:space="preserve">verkoop van onroerende goederen </w:t>
      </w:r>
      <w:r w:rsidR="00463935" w:rsidRPr="006C77F7">
        <w:rPr>
          <w:rFonts w:cstheme="minorHAnsi"/>
        </w:rPr>
        <w:t>bedr</w:t>
      </w:r>
      <w:r w:rsidR="006C77F7" w:rsidRPr="006C77F7">
        <w:rPr>
          <w:rFonts w:cstheme="minorHAnsi"/>
        </w:rPr>
        <w:t>agen</w:t>
      </w:r>
      <w:r>
        <w:rPr>
          <w:rFonts w:cstheme="minorHAnsi"/>
        </w:rPr>
        <w:t xml:space="preserve"> </w:t>
      </w:r>
      <w:r w:rsidR="00E5037A">
        <w:rPr>
          <w:rFonts w:cstheme="minorHAnsi"/>
        </w:rPr>
        <w:t>6,1</w:t>
      </w:r>
      <w:r>
        <w:rPr>
          <w:rFonts w:cstheme="minorHAnsi"/>
        </w:rPr>
        <w:t xml:space="preserve"> miljoen euro lager geraamd (op begrotingsfonds onroerende goederen). </w:t>
      </w:r>
      <w:r w:rsidRPr="00D220CA">
        <w:rPr>
          <w:rFonts w:cstheme="minorHAnsi"/>
        </w:rPr>
        <w:t>De belangrijkste reden voor de</w:t>
      </w:r>
      <w:r>
        <w:rPr>
          <w:rFonts w:cstheme="minorHAnsi"/>
        </w:rPr>
        <w:t xml:space="preserve">ze onderrealisatie </w:t>
      </w:r>
      <w:r w:rsidRPr="00D220CA">
        <w:rPr>
          <w:rFonts w:cstheme="minorHAnsi"/>
        </w:rPr>
        <w:t>is een vertraging bij de verkoop van het gebouw in de Kliniekstraat in Anderlecht, waardoor deze vermoedelijk verschuift naar 2020</w:t>
      </w:r>
      <w:r>
        <w:rPr>
          <w:rFonts w:cstheme="minorHAnsi"/>
        </w:rPr>
        <w:t>.</w:t>
      </w:r>
    </w:p>
    <w:p w14:paraId="3B52F912" w14:textId="0C24EEAB" w:rsidR="00D220CA" w:rsidRDefault="00D220CA" w:rsidP="00104A52">
      <w:pPr>
        <w:pStyle w:val="Lijstalinea"/>
        <w:ind w:left="0"/>
        <w:jc w:val="both"/>
        <w:rPr>
          <w:rFonts w:cstheme="minorHAnsi"/>
        </w:rPr>
      </w:pPr>
    </w:p>
    <w:p w14:paraId="7FE4D1C3" w14:textId="13258ECE" w:rsidR="00512E2F" w:rsidRDefault="00512E2F" w:rsidP="00104A52">
      <w:pPr>
        <w:pStyle w:val="Lijstalinea"/>
        <w:ind w:left="0"/>
        <w:jc w:val="both"/>
        <w:rPr>
          <w:rFonts w:cstheme="minorHAnsi"/>
        </w:rPr>
      </w:pPr>
      <w:r>
        <w:rPr>
          <w:rFonts w:cstheme="minorHAnsi"/>
        </w:rPr>
        <w:t xml:space="preserve">De ontvangsten van het </w:t>
      </w:r>
      <w:r w:rsidRPr="004401AE">
        <w:rPr>
          <w:rFonts w:cstheme="minorHAnsi"/>
          <w:b/>
        </w:rPr>
        <w:t>Klimaatfonds</w:t>
      </w:r>
      <w:r>
        <w:rPr>
          <w:rFonts w:cstheme="minorHAnsi"/>
        </w:rPr>
        <w:t xml:space="preserve"> </w:t>
      </w:r>
      <w:r w:rsidR="00D34B22">
        <w:rPr>
          <w:rFonts w:cstheme="minorHAnsi"/>
        </w:rPr>
        <w:t xml:space="preserve">bedragen </w:t>
      </w:r>
      <w:r w:rsidR="004401AE">
        <w:rPr>
          <w:rFonts w:cstheme="minorHAnsi"/>
        </w:rPr>
        <w:t xml:space="preserve">1,5 miljoen euro meer dan begroot. Op het </w:t>
      </w:r>
      <w:r w:rsidR="004401AE" w:rsidRPr="004401AE">
        <w:rPr>
          <w:rFonts w:cstheme="minorHAnsi"/>
          <w:b/>
        </w:rPr>
        <w:t>Energiefonds</w:t>
      </w:r>
      <w:r w:rsidR="004401AE">
        <w:rPr>
          <w:rFonts w:cstheme="minorHAnsi"/>
        </w:rPr>
        <w:t xml:space="preserve"> bedragen de realisaties 2,1 miljoen minder dan begroot.</w:t>
      </w:r>
    </w:p>
    <w:p w14:paraId="036EE12A" w14:textId="03519FE1" w:rsidR="00512E2F" w:rsidRDefault="00512E2F" w:rsidP="00104A52">
      <w:pPr>
        <w:pStyle w:val="Lijstalinea"/>
        <w:ind w:left="0"/>
        <w:jc w:val="both"/>
        <w:rPr>
          <w:rFonts w:cstheme="minorHAnsi"/>
        </w:rPr>
      </w:pPr>
    </w:p>
    <w:p w14:paraId="6D6F2658" w14:textId="5DBF059C" w:rsidR="007D2E57" w:rsidRDefault="007D2E57" w:rsidP="00104A52">
      <w:pPr>
        <w:pStyle w:val="Lijstalinea"/>
        <w:ind w:left="0"/>
        <w:jc w:val="both"/>
        <w:rPr>
          <w:rFonts w:cstheme="minorHAnsi"/>
        </w:rPr>
      </w:pPr>
      <w:r>
        <w:rPr>
          <w:rFonts w:cstheme="minorHAnsi"/>
        </w:rPr>
        <w:t xml:space="preserve">Met betrekking tot de </w:t>
      </w:r>
      <w:r w:rsidRPr="007D2E57">
        <w:rPr>
          <w:rFonts w:cstheme="minorHAnsi"/>
          <w:b/>
        </w:rPr>
        <w:t>verkeersboetes</w:t>
      </w:r>
      <w:r>
        <w:rPr>
          <w:rFonts w:cstheme="minorHAnsi"/>
        </w:rPr>
        <w:t xml:space="preserve"> werd eind 2019  149,3 miljoen euro doorgestort waardoor de jaarontvangst 22,5 miljoen euro meer bedraagt dan begroot.</w:t>
      </w:r>
    </w:p>
    <w:p w14:paraId="3FEC9201" w14:textId="71AA0135" w:rsidR="007D2E57" w:rsidRDefault="007D2E57" w:rsidP="00104A52">
      <w:pPr>
        <w:pStyle w:val="Lijstalinea"/>
        <w:ind w:left="0"/>
        <w:jc w:val="both"/>
        <w:rPr>
          <w:rFonts w:cstheme="minorHAnsi"/>
        </w:rPr>
      </w:pPr>
    </w:p>
    <w:p w14:paraId="49D362F2" w14:textId="77777777" w:rsidR="00A044C2" w:rsidRDefault="00A044C2" w:rsidP="008E428D">
      <w:pPr>
        <w:jc w:val="both"/>
      </w:pPr>
    </w:p>
    <w:p w14:paraId="4D87BD99" w14:textId="3FA60E87" w:rsidR="00304AAF" w:rsidRPr="0045709D" w:rsidRDefault="00304AAF" w:rsidP="00A10ED6">
      <w:pPr>
        <w:pStyle w:val="Kop3"/>
        <w:numPr>
          <w:ilvl w:val="1"/>
          <w:numId w:val="24"/>
        </w:numPr>
      </w:pPr>
      <w:r w:rsidRPr="0045709D">
        <w:t>Ontvangsten DAB’s en rechtspersonen</w:t>
      </w:r>
      <w:r w:rsidR="00645133" w:rsidRPr="0045709D">
        <w:t xml:space="preserve"> (</w:t>
      </w:r>
      <w:r w:rsidR="00E72441" w:rsidRPr="0045709D">
        <w:t>+</w:t>
      </w:r>
      <w:r w:rsidR="00504211" w:rsidRPr="0045709D">
        <w:t>184,0</w:t>
      </w:r>
      <w:r w:rsidR="00C8280C" w:rsidRPr="0045709D">
        <w:t xml:space="preserve"> </w:t>
      </w:r>
      <w:r w:rsidR="00645133" w:rsidRPr="0045709D">
        <w:t>miljoen t.o.v. B</w:t>
      </w:r>
      <w:r w:rsidR="00C471BB" w:rsidRPr="0045709D">
        <w:t>A</w:t>
      </w:r>
      <w:r w:rsidR="00645133" w:rsidRPr="0045709D">
        <w:t xml:space="preserve"> 201</w:t>
      </w:r>
      <w:r w:rsidR="0074096D" w:rsidRPr="0045709D">
        <w:t>9</w:t>
      </w:r>
      <w:r w:rsidR="00D56E82" w:rsidRPr="0045709D">
        <w:t xml:space="preserve">; </w:t>
      </w:r>
      <w:r w:rsidR="00FB03D5" w:rsidRPr="0045709D">
        <w:t>+181,4</w:t>
      </w:r>
      <w:r w:rsidR="00A10ED6" w:rsidRPr="0045709D">
        <w:t xml:space="preserve"> </w:t>
      </w:r>
      <w:r w:rsidR="00D56E82" w:rsidRPr="0045709D">
        <w:t xml:space="preserve">miljoen t.o.v. </w:t>
      </w:r>
      <w:r w:rsidR="00FB03D5" w:rsidRPr="0045709D">
        <w:t>december</w:t>
      </w:r>
      <w:r w:rsidR="00645133" w:rsidRPr="0045709D">
        <w:t>)</w:t>
      </w:r>
    </w:p>
    <w:p w14:paraId="6B816EB2" w14:textId="77777777" w:rsidR="004110F0" w:rsidRDefault="004110F0" w:rsidP="004D2B72">
      <w:pPr>
        <w:jc w:val="both"/>
      </w:pPr>
    </w:p>
    <w:p w14:paraId="5F8093E1" w14:textId="16543D51" w:rsidR="006134AD" w:rsidRPr="00563472" w:rsidRDefault="006134AD" w:rsidP="002600B9">
      <w:pPr>
        <w:pStyle w:val="Lijstalinea"/>
        <w:ind w:left="0"/>
        <w:jc w:val="both"/>
      </w:pPr>
      <w:r>
        <w:t xml:space="preserve">De ontvangsten van de DAB’s en </w:t>
      </w:r>
      <w:r w:rsidR="00954128">
        <w:t xml:space="preserve">de </w:t>
      </w:r>
      <w:r>
        <w:t xml:space="preserve">rechtspersonen worden overgenomen uit de aangeleverde </w:t>
      </w:r>
      <w:r w:rsidR="00EB0157">
        <w:t>uitvoerings</w:t>
      </w:r>
      <w:r>
        <w:t xml:space="preserve">cijfers en vertonen een </w:t>
      </w:r>
      <w:r w:rsidR="004B5E6B">
        <w:t>positieve</w:t>
      </w:r>
      <w:r>
        <w:t xml:space="preserve"> afwijking t.o.v. de begrotings</w:t>
      </w:r>
      <w:r w:rsidR="00C471BB">
        <w:t>aanpassing</w:t>
      </w:r>
      <w:r w:rsidR="0074096D">
        <w:t xml:space="preserve"> </w:t>
      </w:r>
      <w:r>
        <w:t>201</w:t>
      </w:r>
      <w:r w:rsidR="0074096D">
        <w:t>9</w:t>
      </w:r>
      <w:r>
        <w:t xml:space="preserve"> ten belope </w:t>
      </w:r>
      <w:r w:rsidRPr="00563472">
        <w:t xml:space="preserve">van </w:t>
      </w:r>
      <w:r w:rsidR="00EB0157" w:rsidRPr="00563472">
        <w:t xml:space="preserve">184,0 </w:t>
      </w:r>
      <w:r w:rsidRPr="00563472">
        <w:t>miljoen euro.</w:t>
      </w:r>
    </w:p>
    <w:p w14:paraId="62B60A42" w14:textId="77777777" w:rsidR="002600B9" w:rsidRPr="00563472" w:rsidRDefault="002600B9" w:rsidP="002600B9">
      <w:pPr>
        <w:pStyle w:val="Lijstalinea"/>
        <w:ind w:left="0"/>
        <w:jc w:val="both"/>
      </w:pPr>
    </w:p>
    <w:p w14:paraId="537E94F1" w14:textId="20B58E3E" w:rsidR="0033424C" w:rsidRDefault="00AB2495" w:rsidP="002600B9">
      <w:pPr>
        <w:jc w:val="both"/>
      </w:pPr>
      <w:r w:rsidRPr="00563472">
        <w:t>De ESR-</w:t>
      </w:r>
      <w:r w:rsidR="006134AD" w:rsidRPr="00563472">
        <w:t xml:space="preserve">ontvangsten van de DAB’s </w:t>
      </w:r>
      <w:r w:rsidR="002600B9" w:rsidRPr="00563472">
        <w:t>eindigen</w:t>
      </w:r>
      <w:r w:rsidR="006134AD" w:rsidRPr="00563472">
        <w:t xml:space="preserve"> </w:t>
      </w:r>
      <w:r w:rsidR="00A429A8" w:rsidRPr="00563472">
        <w:t>6</w:t>
      </w:r>
      <w:r w:rsidR="0096756B" w:rsidRPr="00563472">
        <w:t>6,</w:t>
      </w:r>
      <w:r w:rsidR="00A429A8" w:rsidRPr="00563472">
        <w:t>5</w:t>
      </w:r>
      <w:r w:rsidR="006134AD" w:rsidRPr="00563472">
        <w:t xml:space="preserve"> miljoen </w:t>
      </w:r>
      <w:r w:rsidR="006316A7" w:rsidRPr="00563472">
        <w:t>boven</w:t>
      </w:r>
      <w:r w:rsidR="006134AD" w:rsidRPr="00563472">
        <w:t xml:space="preserve"> het cijfer van de begrotings</w:t>
      </w:r>
      <w:r w:rsidR="006316A7" w:rsidRPr="00563472">
        <w:t xml:space="preserve">aanpassing </w:t>
      </w:r>
      <w:r w:rsidR="006134AD" w:rsidRPr="00563472">
        <w:t>201</w:t>
      </w:r>
      <w:r w:rsidR="0033424C" w:rsidRPr="00563472">
        <w:t>9</w:t>
      </w:r>
      <w:r w:rsidR="006134AD" w:rsidRPr="00563472">
        <w:t xml:space="preserve">. </w:t>
      </w:r>
      <w:r w:rsidR="0033424C" w:rsidRPr="00563472">
        <w:t>Dit verschil is hoofdzakelijk toe te schrijven aan het Minafonds.</w:t>
      </w:r>
      <w:r w:rsidR="00B31DE0" w:rsidRPr="00563472">
        <w:t xml:space="preserve"> </w:t>
      </w:r>
      <w:r w:rsidR="00AE7D8B" w:rsidRPr="00563472">
        <w:t xml:space="preserve">De </w:t>
      </w:r>
      <w:r w:rsidR="00BC5A66" w:rsidRPr="00563472">
        <w:t xml:space="preserve">ESR-ontvangsten van het Minafonds bedragen 64,9 miljoen euro meer dan begroot. Dit bedrag bevat </w:t>
      </w:r>
      <w:r w:rsidR="001F60B7" w:rsidRPr="00563472">
        <w:t xml:space="preserve">zowel milieuheffingen als boetes inzake afvalbeheer. Aaangezien er op dit ogenblik onzekerheid bestaat over de effectieve inning van de bedoelde meerontvangsten, werden op deze meerontvangsten voor eenzelfde bedrag </w:t>
      </w:r>
      <w:r w:rsidR="00B97E83" w:rsidRPr="00563472">
        <w:t xml:space="preserve">waardeverminderingen geboekt (= </w:t>
      </w:r>
      <w:r w:rsidR="00BC5A66" w:rsidRPr="00563472">
        <w:t>langs uitgavenzijde onder de passende ESR-code</w:t>
      </w:r>
      <w:r w:rsidR="00B97E83" w:rsidRPr="00563472">
        <w:t>)</w:t>
      </w:r>
      <w:r w:rsidR="001F60B7" w:rsidRPr="00563472">
        <w:t xml:space="preserve">. </w:t>
      </w:r>
      <w:r w:rsidR="00B31DE0" w:rsidRPr="00563472">
        <w:t>Tegen die vordering</w:t>
      </w:r>
      <w:r w:rsidR="00BC5A66" w:rsidRPr="00563472">
        <w:t>en</w:t>
      </w:r>
      <w:r w:rsidR="00B31DE0" w:rsidRPr="00563472">
        <w:t xml:space="preserve"> werd immers beroep aangetekend bij de bevoegde minister.</w:t>
      </w:r>
    </w:p>
    <w:p w14:paraId="3BE5FF1D" w14:textId="06DDEC25" w:rsidR="0033424C" w:rsidRDefault="0033424C" w:rsidP="002600B9">
      <w:pPr>
        <w:jc w:val="both"/>
      </w:pPr>
    </w:p>
    <w:p w14:paraId="0AB90DF4" w14:textId="28B6D247" w:rsidR="00D171DD" w:rsidRDefault="00D171DD" w:rsidP="002600B9">
      <w:pPr>
        <w:jc w:val="both"/>
      </w:pPr>
      <w:r>
        <w:t>Verder bedragen de ESR-on</w:t>
      </w:r>
      <w:r w:rsidR="00904BE3">
        <w:t>t</w:t>
      </w:r>
      <w:r>
        <w:t>vangsten van het VIF 6,3 miljoen euro meer dan begroot</w:t>
      </w:r>
      <w:r w:rsidR="00526B96">
        <w:t xml:space="preserve"> (verkoop van gronden +3,5 </w:t>
      </w:r>
      <w:r w:rsidR="007E7C90">
        <w:t>miljoen; boetes vervoer +2,3 miljoen)</w:t>
      </w:r>
      <w:r>
        <w:t>. Voor het Loodswezen gaat het om een positieve afwijking van 1,6 miljoen</w:t>
      </w:r>
      <w:r w:rsidR="007E7C90">
        <w:t xml:space="preserve"> (voornamelijk loodsgelden)</w:t>
      </w:r>
      <w:r>
        <w:t>.</w:t>
      </w:r>
    </w:p>
    <w:p w14:paraId="08831E9E" w14:textId="77777777" w:rsidR="00D171DD" w:rsidRDefault="00D171DD" w:rsidP="002600B9">
      <w:pPr>
        <w:jc w:val="both"/>
      </w:pPr>
    </w:p>
    <w:p w14:paraId="662EF8C4" w14:textId="09EC1843" w:rsidR="00834FD1" w:rsidRPr="00563472" w:rsidRDefault="00AB2495" w:rsidP="006D067E">
      <w:pPr>
        <w:jc w:val="both"/>
      </w:pPr>
      <w:r w:rsidRPr="00563472">
        <w:t>De ESR-</w:t>
      </w:r>
      <w:r w:rsidR="0024549C" w:rsidRPr="00563472">
        <w:t xml:space="preserve">ontvangsten van de rechtspersonen </w:t>
      </w:r>
      <w:r w:rsidR="00FA0281" w:rsidRPr="00563472">
        <w:t>eindigen 117,5</w:t>
      </w:r>
      <w:r w:rsidR="00F1787D" w:rsidRPr="00563472">
        <w:t xml:space="preserve"> </w:t>
      </w:r>
      <w:r w:rsidR="00A92248" w:rsidRPr="00563472">
        <w:t xml:space="preserve">miljoen </w:t>
      </w:r>
      <w:r w:rsidR="00FA0281" w:rsidRPr="00563472">
        <w:t>boven</w:t>
      </w:r>
      <w:r w:rsidR="00A92248" w:rsidRPr="00563472">
        <w:t xml:space="preserve"> </w:t>
      </w:r>
      <w:r w:rsidR="0024549C" w:rsidRPr="00563472">
        <w:t xml:space="preserve">het cijfer van de </w:t>
      </w:r>
      <w:r w:rsidR="006316A7" w:rsidRPr="00563472">
        <w:t xml:space="preserve">begrotingsaanpassing </w:t>
      </w:r>
      <w:r w:rsidR="00F1787D" w:rsidRPr="00563472">
        <w:t>2</w:t>
      </w:r>
      <w:r w:rsidR="0024549C" w:rsidRPr="00563472">
        <w:t>01</w:t>
      </w:r>
      <w:r w:rsidR="00F1787D" w:rsidRPr="00563472">
        <w:t>9</w:t>
      </w:r>
      <w:r w:rsidR="0024549C" w:rsidRPr="00563472">
        <w:t>. De belangrijkst</w:t>
      </w:r>
      <w:r w:rsidR="00AE4C9F" w:rsidRPr="00563472">
        <w:t xml:space="preserve">e afwijkingen </w:t>
      </w:r>
      <w:r w:rsidR="009E6A04" w:rsidRPr="00563472">
        <w:t xml:space="preserve">ten opzichte van de begroting </w:t>
      </w:r>
      <w:r w:rsidR="00834FD1" w:rsidRPr="00563472">
        <w:t>situeren zich bij:</w:t>
      </w:r>
    </w:p>
    <w:p w14:paraId="7A7C5D9C" w14:textId="318E8FAB" w:rsidR="008A5C9B" w:rsidRPr="00563472" w:rsidRDefault="00181FDB" w:rsidP="00C50B71">
      <w:pPr>
        <w:pStyle w:val="Lijstalinea"/>
        <w:numPr>
          <w:ilvl w:val="0"/>
          <w:numId w:val="33"/>
        </w:numPr>
        <w:jc w:val="both"/>
      </w:pPr>
      <w:r w:rsidRPr="00563472">
        <w:t>Lak Invest (+2,2 miljoen)</w:t>
      </w:r>
    </w:p>
    <w:p w14:paraId="6C6A8352" w14:textId="2E977289" w:rsidR="00834FD1" w:rsidRPr="00563472" w:rsidRDefault="00834FD1" w:rsidP="00C50B71">
      <w:pPr>
        <w:pStyle w:val="Lijstalinea"/>
        <w:numPr>
          <w:ilvl w:val="0"/>
          <w:numId w:val="33"/>
        </w:numPr>
        <w:jc w:val="both"/>
      </w:pPr>
      <w:r w:rsidRPr="00563472">
        <w:t>H</w:t>
      </w:r>
      <w:r w:rsidR="00B711A0" w:rsidRPr="00563472">
        <w:t>ERMES</w:t>
      </w:r>
      <w:r w:rsidRPr="00563472">
        <w:t xml:space="preserve"> (+</w:t>
      </w:r>
      <w:r w:rsidR="0051208C" w:rsidRPr="00563472">
        <w:t>1</w:t>
      </w:r>
      <w:r w:rsidR="00181FDB" w:rsidRPr="00563472">
        <w:t>4</w:t>
      </w:r>
      <w:r w:rsidR="0051208C" w:rsidRPr="00563472">
        <w:t>,</w:t>
      </w:r>
      <w:r w:rsidR="00181FDB" w:rsidRPr="00563472">
        <w:t>7</w:t>
      </w:r>
      <w:r w:rsidRPr="00563472">
        <w:t xml:space="preserve"> miljoen)</w:t>
      </w:r>
      <w:r w:rsidR="00D540B9" w:rsidRPr="00563472">
        <w:t xml:space="preserve"> (meer </w:t>
      </w:r>
      <w:r w:rsidR="00E31CD0" w:rsidRPr="00563472">
        <w:t>terug</w:t>
      </w:r>
      <w:r w:rsidR="00D540B9" w:rsidRPr="00563472">
        <w:t xml:space="preserve">vorderingen </w:t>
      </w:r>
      <w:r w:rsidR="00E31CD0" w:rsidRPr="00563472">
        <w:t xml:space="preserve">van </w:t>
      </w:r>
      <w:r w:rsidR="00D540B9" w:rsidRPr="00563472">
        <w:t>ecologiepremies)</w:t>
      </w:r>
    </w:p>
    <w:p w14:paraId="23B4A359" w14:textId="6660E8A6" w:rsidR="00181FDB" w:rsidRPr="00563472" w:rsidRDefault="00181FDB" w:rsidP="00181FDB">
      <w:pPr>
        <w:pStyle w:val="Lijstalinea"/>
        <w:numPr>
          <w:ilvl w:val="0"/>
          <w:numId w:val="33"/>
        </w:numPr>
        <w:jc w:val="both"/>
      </w:pPr>
      <w:r w:rsidRPr="00563472">
        <w:t>VEB (+26,0 miljoen)</w:t>
      </w:r>
    </w:p>
    <w:p w14:paraId="525B3B84" w14:textId="4ED48737" w:rsidR="004149F9" w:rsidRPr="00563472" w:rsidRDefault="004149F9" w:rsidP="00C50B71">
      <w:pPr>
        <w:pStyle w:val="Lijstalinea"/>
        <w:numPr>
          <w:ilvl w:val="0"/>
          <w:numId w:val="33"/>
        </w:numPr>
        <w:jc w:val="both"/>
      </w:pPr>
      <w:r w:rsidRPr="00563472">
        <w:t>VIB (+</w:t>
      </w:r>
      <w:r w:rsidR="00181FDB" w:rsidRPr="00563472">
        <w:t>6,8</w:t>
      </w:r>
      <w:r w:rsidRPr="00563472">
        <w:t xml:space="preserve"> miljoen)</w:t>
      </w:r>
      <w:r w:rsidR="00234851" w:rsidRPr="00563472">
        <w:t xml:space="preserve"> (+4,2 meer industriële inkomsten; +1,1 recuperatie van bedrijfsvoorheffing; +1,1 andere inkomsten oa financiële inkomsten)</w:t>
      </w:r>
    </w:p>
    <w:p w14:paraId="6F2070C4" w14:textId="6829A6B5" w:rsidR="00B63313" w:rsidRPr="00563472" w:rsidRDefault="00B63313" w:rsidP="00B63313">
      <w:pPr>
        <w:pStyle w:val="Lijstalinea"/>
        <w:numPr>
          <w:ilvl w:val="0"/>
          <w:numId w:val="33"/>
        </w:numPr>
        <w:jc w:val="both"/>
      </w:pPr>
      <w:r w:rsidRPr="00563472">
        <w:t>AGION (+7,</w:t>
      </w:r>
      <w:r w:rsidR="00181FDB" w:rsidRPr="00563472">
        <w:t>5</w:t>
      </w:r>
      <w:r w:rsidRPr="00563472">
        <w:t xml:space="preserve"> miljoen) (meer ontvansgten van VGC)</w:t>
      </w:r>
    </w:p>
    <w:p w14:paraId="20ED49B1" w14:textId="0AE6BD59" w:rsidR="00181FDB" w:rsidRPr="00563472" w:rsidRDefault="00181FDB" w:rsidP="00B63313">
      <w:pPr>
        <w:pStyle w:val="Lijstalinea"/>
        <w:numPr>
          <w:ilvl w:val="0"/>
          <w:numId w:val="33"/>
        </w:numPr>
        <w:jc w:val="both"/>
      </w:pPr>
      <w:r w:rsidRPr="00563472">
        <w:lastRenderedPageBreak/>
        <w:t>Universiteiten &amp; Hogescholen (-10,7 miljoen)</w:t>
      </w:r>
    </w:p>
    <w:p w14:paraId="50FAC59D" w14:textId="249FE466" w:rsidR="00181FDB" w:rsidRPr="00563472" w:rsidRDefault="00181FDB" w:rsidP="00B63313">
      <w:pPr>
        <w:pStyle w:val="Lijstalinea"/>
        <w:numPr>
          <w:ilvl w:val="0"/>
          <w:numId w:val="33"/>
        </w:numPr>
        <w:jc w:val="both"/>
      </w:pPr>
      <w:r w:rsidRPr="00563472">
        <w:t>Kind en Gezin (+72,5 miljoen)</w:t>
      </w:r>
      <w:r w:rsidR="009D6C9F" w:rsidRPr="00563472">
        <w:t xml:space="preserve"> (vooral terugvorderingen groeipakket; boekingen gebeuren bruto i.p.v. netto, dus ook meer uitgaven)</w:t>
      </w:r>
    </w:p>
    <w:p w14:paraId="506FDB17" w14:textId="21AC5C68" w:rsidR="00181FDB" w:rsidRPr="00563472" w:rsidRDefault="00181FDB" w:rsidP="00B63313">
      <w:pPr>
        <w:pStyle w:val="Lijstalinea"/>
        <w:numPr>
          <w:ilvl w:val="0"/>
          <w:numId w:val="33"/>
        </w:numPr>
        <w:jc w:val="both"/>
      </w:pPr>
      <w:r w:rsidRPr="00563472">
        <w:t>VUTG (+18,1 miljoen)</w:t>
      </w:r>
      <w:r w:rsidR="00D16D04" w:rsidRPr="00563472">
        <w:t xml:space="preserve"> (</w:t>
      </w:r>
      <w:r w:rsidR="009A14FD" w:rsidRPr="00563472">
        <w:t>+30,7 inkomensoverdrachten van gezinnen)</w:t>
      </w:r>
    </w:p>
    <w:p w14:paraId="31603DCB" w14:textId="2412C939" w:rsidR="0051208C" w:rsidRPr="00563472" w:rsidRDefault="0051208C" w:rsidP="00C50B71">
      <w:pPr>
        <w:pStyle w:val="Lijstalinea"/>
        <w:numPr>
          <w:ilvl w:val="0"/>
          <w:numId w:val="33"/>
        </w:numPr>
        <w:jc w:val="both"/>
      </w:pPr>
      <w:r w:rsidRPr="00563472">
        <w:t>VDAB (-1</w:t>
      </w:r>
      <w:r w:rsidR="00181FDB" w:rsidRPr="00563472">
        <w:t>7</w:t>
      </w:r>
      <w:r w:rsidRPr="00563472">
        <w:t>,</w:t>
      </w:r>
      <w:r w:rsidR="00181FDB" w:rsidRPr="00563472">
        <w:t>6</w:t>
      </w:r>
      <w:r w:rsidRPr="00563472">
        <w:t xml:space="preserve"> miljoen)</w:t>
      </w:r>
      <w:r w:rsidR="004B47B6" w:rsidRPr="00563472">
        <w:t xml:space="preserve"> (vooral -7 IBO en -8,3 verkoop gebouwen)</w:t>
      </w:r>
    </w:p>
    <w:p w14:paraId="5A549111" w14:textId="48B747F3" w:rsidR="00F554BD" w:rsidRPr="00563472" w:rsidRDefault="00F554BD" w:rsidP="00C50B71">
      <w:pPr>
        <w:pStyle w:val="Lijstalinea"/>
        <w:numPr>
          <w:ilvl w:val="0"/>
          <w:numId w:val="33"/>
        </w:numPr>
        <w:jc w:val="both"/>
      </w:pPr>
      <w:r w:rsidRPr="00563472">
        <w:t>VLIF (+3,1 miljoen)</w:t>
      </w:r>
      <w:r w:rsidR="008A1AEA" w:rsidRPr="00563472">
        <w:t xml:space="preserve"> (o.a. </w:t>
      </w:r>
      <w:r w:rsidR="00D540B9" w:rsidRPr="00563472">
        <w:t xml:space="preserve">winst op forfaitaire vergoedingen i.k.v. openbare interventie, </w:t>
      </w:r>
      <w:r w:rsidR="008A1AEA" w:rsidRPr="00563472">
        <w:t>terugvordering van een waarborg)</w:t>
      </w:r>
    </w:p>
    <w:p w14:paraId="578257B1" w14:textId="4E0B264F" w:rsidR="00F554BD" w:rsidRPr="00563472" w:rsidRDefault="00F554BD" w:rsidP="00C50B71">
      <w:pPr>
        <w:pStyle w:val="Lijstalinea"/>
        <w:numPr>
          <w:ilvl w:val="0"/>
          <w:numId w:val="33"/>
        </w:numPr>
        <w:jc w:val="both"/>
      </w:pPr>
      <w:r w:rsidRPr="00563472">
        <w:t>BAM (+</w:t>
      </w:r>
      <w:r w:rsidR="00181FDB" w:rsidRPr="00563472">
        <w:t>3,6</w:t>
      </w:r>
      <w:r w:rsidRPr="00563472">
        <w:t xml:space="preserve"> miljoen)</w:t>
      </w:r>
    </w:p>
    <w:p w14:paraId="1F2BC8BD" w14:textId="274A2D67" w:rsidR="00F554BD" w:rsidRPr="00563472" w:rsidRDefault="00F554BD" w:rsidP="00F554BD">
      <w:pPr>
        <w:pStyle w:val="Lijstalinea"/>
        <w:numPr>
          <w:ilvl w:val="0"/>
          <w:numId w:val="33"/>
        </w:numPr>
        <w:jc w:val="both"/>
      </w:pPr>
      <w:r w:rsidRPr="00563472">
        <w:t>De Vlaamse Waterweg (-</w:t>
      </w:r>
      <w:r w:rsidR="003365BD" w:rsidRPr="00563472">
        <w:t>7,2</w:t>
      </w:r>
      <w:r w:rsidRPr="00563472">
        <w:t xml:space="preserve"> miljoen) (vooral dossier Seine-Schelde</w:t>
      </w:r>
      <w:r w:rsidR="00F75650" w:rsidRPr="00563472">
        <w:t xml:space="preserve"> en </w:t>
      </w:r>
      <w:r w:rsidR="00934089" w:rsidRPr="00563472">
        <w:t xml:space="preserve">positieve </w:t>
      </w:r>
      <w:r w:rsidR="00F75650" w:rsidRPr="00563472">
        <w:t xml:space="preserve">herziening </w:t>
      </w:r>
      <w:r w:rsidR="00934089" w:rsidRPr="00563472">
        <w:t xml:space="preserve">verhoudingsgetal </w:t>
      </w:r>
      <w:r w:rsidR="00F75650" w:rsidRPr="00563472">
        <w:t>BTW-</w:t>
      </w:r>
      <w:r w:rsidR="00934089" w:rsidRPr="00563472">
        <w:t>aftrek</w:t>
      </w:r>
      <w:r w:rsidRPr="00563472">
        <w:t>)</w:t>
      </w:r>
    </w:p>
    <w:p w14:paraId="2E2DC833" w14:textId="521549A6" w:rsidR="0051208C" w:rsidRPr="00563472" w:rsidRDefault="0051208C" w:rsidP="00F554BD">
      <w:pPr>
        <w:pStyle w:val="Lijstalinea"/>
        <w:numPr>
          <w:ilvl w:val="0"/>
          <w:numId w:val="33"/>
        </w:numPr>
        <w:jc w:val="both"/>
      </w:pPr>
      <w:r w:rsidRPr="00563472">
        <w:t>De Werkvennootschap (-24,</w:t>
      </w:r>
      <w:r w:rsidR="003365BD" w:rsidRPr="00563472">
        <w:t>3</w:t>
      </w:r>
      <w:r w:rsidRPr="00563472">
        <w:t xml:space="preserve"> miljoen)</w:t>
      </w:r>
      <w:r w:rsidR="00CC205B" w:rsidRPr="00563472">
        <w:t xml:space="preserve"> (</w:t>
      </w:r>
      <w:r w:rsidR="009A14FD" w:rsidRPr="00563472">
        <w:t>overdracht aan AWV beperkt tot gronden; resterende overdracht, samen met nieuwe innames, volgt in 2020</w:t>
      </w:r>
      <w:r w:rsidR="00CC205B" w:rsidRPr="00563472">
        <w:t>)</w:t>
      </w:r>
    </w:p>
    <w:p w14:paraId="3302132F" w14:textId="5E85F923" w:rsidR="003365BD" w:rsidRPr="00563472" w:rsidRDefault="003365BD" w:rsidP="00F554BD">
      <w:pPr>
        <w:pStyle w:val="Lijstalinea"/>
        <w:numPr>
          <w:ilvl w:val="0"/>
          <w:numId w:val="33"/>
        </w:numPr>
        <w:jc w:val="both"/>
      </w:pPr>
      <w:r w:rsidRPr="00563472">
        <w:t>De Lijn (+4,7 miljoen)</w:t>
      </w:r>
      <w:r w:rsidR="009A14FD" w:rsidRPr="00563472">
        <w:t xml:space="preserve"> (vervoerontvangsten)</w:t>
      </w:r>
    </w:p>
    <w:p w14:paraId="0CC6A435" w14:textId="34EDBF90" w:rsidR="003365BD" w:rsidRPr="00563472" w:rsidRDefault="003365BD" w:rsidP="00F554BD">
      <w:pPr>
        <w:pStyle w:val="Lijstalinea"/>
        <w:numPr>
          <w:ilvl w:val="0"/>
          <w:numId w:val="33"/>
        </w:numPr>
        <w:jc w:val="both"/>
      </w:pPr>
      <w:r w:rsidRPr="00563472">
        <w:t>EV Informatie Vlaanderen (+3,6 miljoen)</w:t>
      </w:r>
    </w:p>
    <w:p w14:paraId="1FDAD6EC" w14:textId="6BDE31B4" w:rsidR="003365BD" w:rsidRPr="00563472" w:rsidRDefault="003365BD" w:rsidP="00F554BD">
      <w:pPr>
        <w:pStyle w:val="Lijstalinea"/>
        <w:numPr>
          <w:ilvl w:val="0"/>
          <w:numId w:val="33"/>
        </w:numPr>
        <w:jc w:val="both"/>
      </w:pPr>
      <w:r w:rsidRPr="00563472">
        <w:t>VLM (-4,1</w:t>
      </w:r>
      <w:r w:rsidR="00F939D5" w:rsidRPr="00563472">
        <w:t xml:space="preserve"> miljoen)</w:t>
      </w:r>
    </w:p>
    <w:p w14:paraId="33152F50" w14:textId="50724417" w:rsidR="00F939D5" w:rsidRPr="00563472" w:rsidRDefault="00F939D5" w:rsidP="00F554BD">
      <w:pPr>
        <w:pStyle w:val="Lijstalinea"/>
        <w:numPr>
          <w:ilvl w:val="0"/>
          <w:numId w:val="33"/>
        </w:numPr>
        <w:jc w:val="both"/>
      </w:pPr>
      <w:r w:rsidRPr="00563472">
        <w:t>VMSW (+5,1 miljoen)</w:t>
      </w:r>
      <w:r w:rsidR="009D6C9F" w:rsidRPr="00563472">
        <w:t xml:space="preserve"> (+1 wederbeleggingsvergoeding; +4,3 rente-inkomsten)</w:t>
      </w:r>
    </w:p>
    <w:p w14:paraId="30691C2D" w14:textId="7A45E383" w:rsidR="00F939D5" w:rsidRPr="00563472" w:rsidRDefault="00F939D5" w:rsidP="00F554BD">
      <w:pPr>
        <w:pStyle w:val="Lijstalinea"/>
        <w:numPr>
          <w:ilvl w:val="0"/>
          <w:numId w:val="33"/>
        </w:numPr>
        <w:jc w:val="both"/>
      </w:pPr>
      <w:r w:rsidRPr="00563472">
        <w:t>VMM (-4,3 miljoen)</w:t>
      </w:r>
    </w:p>
    <w:p w14:paraId="10BAFD92" w14:textId="77777777" w:rsidR="00F03C76" w:rsidRDefault="00F03C76" w:rsidP="006D067E">
      <w:pPr>
        <w:jc w:val="both"/>
      </w:pPr>
    </w:p>
    <w:p w14:paraId="0E211A1D" w14:textId="77777777" w:rsidR="00F03C76" w:rsidRDefault="00F03C76" w:rsidP="006D067E">
      <w:pPr>
        <w:jc w:val="both"/>
      </w:pPr>
    </w:p>
    <w:p w14:paraId="67018579" w14:textId="77777777" w:rsidR="00F03C76" w:rsidRDefault="00F03C76" w:rsidP="006D067E">
      <w:pPr>
        <w:jc w:val="both"/>
      </w:pPr>
    </w:p>
    <w:p w14:paraId="46B1367B" w14:textId="5C2EE909" w:rsidR="00795944" w:rsidRDefault="00795944" w:rsidP="006D067E">
      <w:pPr>
        <w:jc w:val="both"/>
      </w:pPr>
    </w:p>
    <w:p w14:paraId="0EAEDEDB" w14:textId="24A57498" w:rsidR="00D029A7" w:rsidRDefault="00D029A7" w:rsidP="006D067E">
      <w:pPr>
        <w:jc w:val="both"/>
      </w:pPr>
    </w:p>
    <w:p w14:paraId="7A76BF0F" w14:textId="4064737F" w:rsidR="00D029A7" w:rsidRDefault="00D029A7" w:rsidP="006D067E">
      <w:pPr>
        <w:jc w:val="both"/>
      </w:pPr>
    </w:p>
    <w:p w14:paraId="68AFADFE" w14:textId="77777777" w:rsidR="00D029A7" w:rsidRDefault="00D029A7" w:rsidP="006D067E">
      <w:pPr>
        <w:jc w:val="both"/>
      </w:pPr>
    </w:p>
    <w:p w14:paraId="1783DDD5" w14:textId="77777777" w:rsidR="00795944" w:rsidRDefault="00795944" w:rsidP="006D067E">
      <w:pPr>
        <w:jc w:val="both"/>
      </w:pPr>
    </w:p>
    <w:p w14:paraId="38E2035B" w14:textId="77777777" w:rsidR="00AA79CD" w:rsidRDefault="00AA79CD" w:rsidP="006D067E">
      <w:pPr>
        <w:jc w:val="both"/>
      </w:pPr>
      <w:r>
        <w:br w:type="page"/>
      </w:r>
    </w:p>
    <w:p w14:paraId="51A77EC4" w14:textId="77777777" w:rsidR="00083111" w:rsidRPr="00D96C24" w:rsidRDefault="00170531" w:rsidP="00F94295">
      <w:pPr>
        <w:pStyle w:val="Kop3"/>
        <w:numPr>
          <w:ilvl w:val="0"/>
          <w:numId w:val="24"/>
        </w:numPr>
      </w:pPr>
      <w:r w:rsidRPr="00D96C24">
        <w:lastRenderedPageBreak/>
        <w:t>Uitgaven</w:t>
      </w:r>
    </w:p>
    <w:p w14:paraId="21B714B3" w14:textId="77777777" w:rsidR="0062274D" w:rsidRDefault="0062274D" w:rsidP="00D82180">
      <w:pPr>
        <w:spacing w:after="120"/>
      </w:pPr>
    </w:p>
    <w:p w14:paraId="73412738" w14:textId="427D61C6" w:rsidR="00760A9F" w:rsidRDefault="0099354C" w:rsidP="00D82180">
      <w:pPr>
        <w:spacing w:after="120"/>
      </w:pPr>
      <w:r>
        <w:t xml:space="preserve">Tabel </w:t>
      </w:r>
      <w:r w:rsidR="003C744A">
        <w:t>6</w:t>
      </w:r>
      <w:r>
        <w:t xml:space="preserve">. Globaal </w:t>
      </w:r>
      <w:r w:rsidR="0062274D">
        <w:t>overzicht uitgaven</w:t>
      </w:r>
    </w:p>
    <w:p w14:paraId="5F1CD08E" w14:textId="28D0E84E" w:rsidR="0040191A" w:rsidRDefault="0040191A" w:rsidP="00D82180">
      <w:pPr>
        <w:spacing w:after="120"/>
      </w:pPr>
    </w:p>
    <w:tbl>
      <w:tblPr>
        <w:tblW w:w="5000" w:type="pct"/>
        <w:tblCellMar>
          <w:left w:w="70" w:type="dxa"/>
          <w:right w:w="70" w:type="dxa"/>
        </w:tblCellMar>
        <w:tblLook w:val="04A0" w:firstRow="1" w:lastRow="0" w:firstColumn="1" w:lastColumn="0" w:noHBand="0" w:noVBand="1"/>
      </w:tblPr>
      <w:tblGrid>
        <w:gridCol w:w="3671"/>
        <w:gridCol w:w="782"/>
        <w:gridCol w:w="782"/>
        <w:gridCol w:w="782"/>
        <w:gridCol w:w="741"/>
        <w:gridCol w:w="825"/>
        <w:gridCol w:w="741"/>
        <w:gridCol w:w="738"/>
      </w:tblGrid>
      <w:tr w:rsidR="0040191A" w:rsidRPr="0040191A" w14:paraId="5884D281" w14:textId="77777777" w:rsidTr="003B3329">
        <w:trPr>
          <w:trHeight w:val="290"/>
        </w:trPr>
        <w:tc>
          <w:tcPr>
            <w:tcW w:w="2025" w:type="pct"/>
            <w:tcBorders>
              <w:top w:val="single" w:sz="4" w:space="0" w:color="auto"/>
              <w:left w:val="single" w:sz="4" w:space="0" w:color="auto"/>
              <w:bottom w:val="single" w:sz="4" w:space="0" w:color="auto"/>
              <w:right w:val="nil"/>
            </w:tcBorders>
            <w:shd w:val="clear" w:color="auto" w:fill="auto"/>
            <w:noWrap/>
            <w:vAlign w:val="center"/>
            <w:hideMark/>
          </w:tcPr>
          <w:p w14:paraId="6CFC5652" w14:textId="77777777" w:rsidR="0040191A" w:rsidRPr="0040191A" w:rsidRDefault="0040191A" w:rsidP="0040191A">
            <w:pPr>
              <w:rPr>
                <w:rFonts w:ascii="Calibri" w:eastAsia="Times New Roman" w:hAnsi="Calibri" w:cs="Calibri"/>
                <w:b/>
                <w:bCs/>
                <w:color w:val="000000"/>
                <w:sz w:val="18"/>
                <w:szCs w:val="18"/>
                <w:lang w:eastAsia="nl-BE"/>
              </w:rPr>
            </w:pPr>
            <w:r w:rsidRPr="0040191A">
              <w:rPr>
                <w:rFonts w:ascii="Calibri" w:eastAsia="Times New Roman" w:hAnsi="Calibri" w:cs="Calibri"/>
                <w:b/>
                <w:bCs/>
                <w:color w:val="000000"/>
                <w:sz w:val="18"/>
                <w:szCs w:val="18"/>
                <w:lang w:eastAsia="nl-BE"/>
              </w:rPr>
              <w:t>In mio euro</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888752" w14:textId="77777777" w:rsidR="0040191A" w:rsidRPr="0040191A" w:rsidRDefault="0040191A" w:rsidP="0040191A">
            <w:pPr>
              <w:jc w:val="center"/>
              <w:rPr>
                <w:rFonts w:ascii="Calibri" w:eastAsia="Times New Roman" w:hAnsi="Calibri" w:cs="Calibri"/>
                <w:b/>
                <w:bCs/>
                <w:color w:val="000000"/>
                <w:sz w:val="18"/>
                <w:szCs w:val="18"/>
                <w:lang w:eastAsia="nl-BE"/>
              </w:rPr>
            </w:pPr>
            <w:r w:rsidRPr="0040191A">
              <w:rPr>
                <w:rFonts w:ascii="Calibri" w:eastAsia="Times New Roman" w:hAnsi="Calibri" w:cs="Calibri"/>
                <w:b/>
                <w:bCs/>
                <w:color w:val="000000"/>
                <w:sz w:val="18"/>
                <w:szCs w:val="18"/>
                <w:lang w:eastAsia="nl-BE"/>
              </w:rPr>
              <w:t>BA 2019</w:t>
            </w:r>
          </w:p>
        </w:tc>
        <w:tc>
          <w:tcPr>
            <w:tcW w:w="431" w:type="pct"/>
            <w:tcBorders>
              <w:top w:val="single" w:sz="4" w:space="0" w:color="auto"/>
              <w:left w:val="nil"/>
              <w:bottom w:val="single" w:sz="4" w:space="0" w:color="auto"/>
              <w:right w:val="single" w:sz="4" w:space="0" w:color="auto"/>
            </w:tcBorders>
            <w:shd w:val="clear" w:color="auto" w:fill="auto"/>
            <w:vAlign w:val="center"/>
            <w:hideMark/>
          </w:tcPr>
          <w:p w14:paraId="3BBC2530" w14:textId="77777777" w:rsidR="0040191A" w:rsidRPr="0040191A" w:rsidRDefault="0040191A" w:rsidP="0040191A">
            <w:pPr>
              <w:jc w:val="center"/>
              <w:rPr>
                <w:rFonts w:ascii="Calibri" w:eastAsia="Times New Roman" w:hAnsi="Calibri" w:cs="Calibri"/>
                <w:b/>
                <w:bCs/>
                <w:color w:val="000000"/>
                <w:sz w:val="18"/>
                <w:szCs w:val="18"/>
                <w:lang w:eastAsia="nl-BE"/>
              </w:rPr>
            </w:pPr>
            <w:r w:rsidRPr="0040191A">
              <w:rPr>
                <w:rFonts w:ascii="Calibri" w:eastAsia="Times New Roman" w:hAnsi="Calibri" w:cs="Calibri"/>
                <w:b/>
                <w:bCs/>
                <w:color w:val="000000"/>
                <w:sz w:val="18"/>
                <w:szCs w:val="18"/>
                <w:lang w:eastAsia="nl-BE"/>
              </w:rPr>
              <w:t>Dec</w:t>
            </w:r>
          </w:p>
        </w:tc>
        <w:tc>
          <w:tcPr>
            <w:tcW w:w="431" w:type="pct"/>
            <w:tcBorders>
              <w:top w:val="single" w:sz="4" w:space="0" w:color="auto"/>
              <w:left w:val="nil"/>
              <w:bottom w:val="single" w:sz="4" w:space="0" w:color="auto"/>
              <w:right w:val="nil"/>
            </w:tcBorders>
            <w:shd w:val="clear" w:color="auto" w:fill="auto"/>
            <w:vAlign w:val="center"/>
            <w:hideMark/>
          </w:tcPr>
          <w:p w14:paraId="3BEB7875" w14:textId="77777777" w:rsidR="0040191A" w:rsidRPr="0040191A" w:rsidRDefault="0040191A" w:rsidP="0040191A">
            <w:pPr>
              <w:jc w:val="center"/>
              <w:rPr>
                <w:rFonts w:ascii="Calibri" w:eastAsia="Times New Roman" w:hAnsi="Calibri" w:cs="Calibri"/>
                <w:b/>
                <w:bCs/>
                <w:color w:val="000000"/>
                <w:sz w:val="18"/>
                <w:szCs w:val="18"/>
                <w:lang w:eastAsia="nl-BE"/>
              </w:rPr>
            </w:pPr>
            <w:r w:rsidRPr="0040191A">
              <w:rPr>
                <w:rFonts w:ascii="Calibri" w:eastAsia="Times New Roman" w:hAnsi="Calibri" w:cs="Calibri"/>
                <w:b/>
                <w:bCs/>
                <w:color w:val="000000"/>
                <w:sz w:val="18"/>
                <w:szCs w:val="18"/>
                <w:lang w:eastAsia="nl-BE"/>
              </w:rPr>
              <w:t>Feb</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78E80F" w14:textId="77777777" w:rsidR="0040191A" w:rsidRPr="0040191A" w:rsidRDefault="0040191A" w:rsidP="0040191A">
            <w:pPr>
              <w:jc w:val="center"/>
              <w:rPr>
                <w:rFonts w:ascii="Calibri" w:eastAsia="Times New Roman" w:hAnsi="Calibri" w:cs="Calibri"/>
                <w:b/>
                <w:bCs/>
                <w:color w:val="000000"/>
                <w:sz w:val="18"/>
                <w:szCs w:val="18"/>
                <w:lang w:eastAsia="nl-BE"/>
              </w:rPr>
            </w:pPr>
            <w:r w:rsidRPr="0040191A">
              <w:rPr>
                <w:rFonts w:ascii="Calibri" w:eastAsia="Times New Roman" w:hAnsi="Calibri" w:cs="Calibri"/>
                <w:b/>
                <w:bCs/>
                <w:color w:val="000000"/>
                <w:sz w:val="18"/>
                <w:szCs w:val="18"/>
                <w:lang w:eastAsia="nl-BE"/>
              </w:rPr>
              <w:t>Delta BA</w:t>
            </w:r>
          </w:p>
        </w:tc>
        <w:tc>
          <w:tcPr>
            <w:tcW w:w="455" w:type="pct"/>
            <w:tcBorders>
              <w:top w:val="single" w:sz="4" w:space="0" w:color="auto"/>
              <w:left w:val="nil"/>
              <w:bottom w:val="single" w:sz="4" w:space="0" w:color="auto"/>
              <w:right w:val="single" w:sz="4" w:space="0" w:color="auto"/>
            </w:tcBorders>
            <w:shd w:val="clear" w:color="auto" w:fill="auto"/>
            <w:vAlign w:val="center"/>
            <w:hideMark/>
          </w:tcPr>
          <w:p w14:paraId="606B7332" w14:textId="77777777" w:rsidR="0040191A" w:rsidRPr="0040191A" w:rsidRDefault="0040191A" w:rsidP="0040191A">
            <w:pPr>
              <w:jc w:val="center"/>
              <w:rPr>
                <w:rFonts w:ascii="Calibri" w:eastAsia="Times New Roman" w:hAnsi="Calibri" w:cs="Calibri"/>
                <w:b/>
                <w:bCs/>
                <w:color w:val="000000"/>
                <w:sz w:val="18"/>
                <w:szCs w:val="18"/>
                <w:lang w:eastAsia="nl-BE"/>
              </w:rPr>
            </w:pPr>
            <w:r w:rsidRPr="0040191A">
              <w:rPr>
                <w:rFonts w:ascii="Calibri" w:eastAsia="Times New Roman" w:hAnsi="Calibri" w:cs="Calibri"/>
                <w:b/>
                <w:bCs/>
                <w:color w:val="000000"/>
                <w:sz w:val="18"/>
                <w:szCs w:val="18"/>
                <w:lang w:eastAsia="nl-BE"/>
              </w:rPr>
              <w:t>%</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152F26A6" w14:textId="77777777" w:rsidR="0040191A" w:rsidRPr="0040191A" w:rsidRDefault="0040191A" w:rsidP="0040191A">
            <w:pPr>
              <w:jc w:val="center"/>
              <w:rPr>
                <w:rFonts w:ascii="Calibri" w:eastAsia="Times New Roman" w:hAnsi="Calibri" w:cs="Calibri"/>
                <w:b/>
                <w:bCs/>
                <w:color w:val="000000"/>
                <w:sz w:val="18"/>
                <w:szCs w:val="18"/>
                <w:lang w:eastAsia="nl-BE"/>
              </w:rPr>
            </w:pPr>
            <w:r w:rsidRPr="0040191A">
              <w:rPr>
                <w:rFonts w:ascii="Calibri" w:eastAsia="Times New Roman" w:hAnsi="Calibri" w:cs="Calibri"/>
                <w:b/>
                <w:bCs/>
                <w:color w:val="000000"/>
                <w:sz w:val="18"/>
                <w:szCs w:val="18"/>
                <w:lang w:eastAsia="nl-BE"/>
              </w:rPr>
              <w:t>Feb vs  Dec</w:t>
            </w:r>
          </w:p>
        </w:tc>
        <w:tc>
          <w:tcPr>
            <w:tcW w:w="407" w:type="pct"/>
            <w:tcBorders>
              <w:top w:val="single" w:sz="4" w:space="0" w:color="auto"/>
              <w:left w:val="nil"/>
              <w:bottom w:val="single" w:sz="4" w:space="0" w:color="auto"/>
              <w:right w:val="single" w:sz="4" w:space="0" w:color="auto"/>
            </w:tcBorders>
            <w:shd w:val="clear" w:color="auto" w:fill="auto"/>
            <w:vAlign w:val="center"/>
            <w:hideMark/>
          </w:tcPr>
          <w:p w14:paraId="4CEA6DD8" w14:textId="77777777" w:rsidR="0040191A" w:rsidRPr="0040191A" w:rsidRDefault="0040191A" w:rsidP="0040191A">
            <w:pPr>
              <w:jc w:val="center"/>
              <w:rPr>
                <w:rFonts w:ascii="Calibri" w:eastAsia="Times New Roman" w:hAnsi="Calibri" w:cs="Calibri"/>
                <w:b/>
                <w:bCs/>
                <w:color w:val="000000"/>
                <w:sz w:val="18"/>
                <w:szCs w:val="18"/>
                <w:lang w:eastAsia="nl-BE"/>
              </w:rPr>
            </w:pPr>
            <w:r w:rsidRPr="0040191A">
              <w:rPr>
                <w:rFonts w:ascii="Calibri" w:eastAsia="Times New Roman" w:hAnsi="Calibri" w:cs="Calibri"/>
                <w:b/>
                <w:bCs/>
                <w:color w:val="000000"/>
                <w:sz w:val="18"/>
                <w:szCs w:val="18"/>
                <w:lang w:eastAsia="nl-BE"/>
              </w:rPr>
              <w:t>%</w:t>
            </w:r>
          </w:p>
        </w:tc>
      </w:tr>
      <w:tr w:rsidR="00BD7F4E" w:rsidRPr="0040191A" w14:paraId="53900653" w14:textId="77777777" w:rsidTr="003B3329">
        <w:trPr>
          <w:trHeight w:val="290"/>
        </w:trPr>
        <w:tc>
          <w:tcPr>
            <w:tcW w:w="2025" w:type="pct"/>
            <w:tcBorders>
              <w:top w:val="nil"/>
              <w:left w:val="single" w:sz="4" w:space="0" w:color="auto"/>
              <w:bottom w:val="nil"/>
              <w:right w:val="nil"/>
            </w:tcBorders>
            <w:shd w:val="clear" w:color="auto" w:fill="auto"/>
            <w:noWrap/>
            <w:vAlign w:val="center"/>
            <w:hideMark/>
          </w:tcPr>
          <w:p w14:paraId="370D1E6A" w14:textId="6542BE4B" w:rsidR="00BD7F4E" w:rsidRPr="0040191A" w:rsidRDefault="00BD7F4E" w:rsidP="00BD7F4E">
            <w:pPr>
              <w:jc w:val="right"/>
              <w:rPr>
                <w:rFonts w:ascii="Calibri" w:eastAsia="Times New Roman" w:hAnsi="Calibri" w:cs="Calibri"/>
                <w:i/>
                <w:iCs/>
                <w:color w:val="000000"/>
                <w:sz w:val="18"/>
                <w:szCs w:val="18"/>
                <w:lang w:eastAsia="nl-BE"/>
              </w:rPr>
            </w:pPr>
            <w:r>
              <w:rPr>
                <w:rFonts w:ascii="Calibri" w:eastAsia="Times New Roman" w:hAnsi="Calibri" w:cs="Calibri"/>
                <w:i/>
                <w:iCs/>
                <w:color w:val="000000"/>
                <w:sz w:val="18"/>
                <w:szCs w:val="18"/>
                <w:lang w:eastAsia="nl-BE"/>
              </w:rPr>
              <w:t>I</w:t>
            </w:r>
            <w:r w:rsidRPr="0040191A">
              <w:rPr>
                <w:rFonts w:ascii="Calibri" w:eastAsia="Times New Roman" w:hAnsi="Calibri" w:cs="Calibri"/>
                <w:i/>
                <w:iCs/>
                <w:color w:val="000000"/>
                <w:sz w:val="18"/>
                <w:szCs w:val="18"/>
                <w:lang w:eastAsia="nl-BE"/>
              </w:rPr>
              <w:t>ndexprovisie</w:t>
            </w:r>
          </w:p>
        </w:tc>
        <w:tc>
          <w:tcPr>
            <w:tcW w:w="431" w:type="pct"/>
            <w:tcBorders>
              <w:top w:val="nil"/>
              <w:left w:val="single" w:sz="4" w:space="0" w:color="auto"/>
              <w:bottom w:val="nil"/>
              <w:right w:val="single" w:sz="4" w:space="0" w:color="auto"/>
            </w:tcBorders>
            <w:shd w:val="clear" w:color="auto" w:fill="auto"/>
            <w:noWrap/>
            <w:vAlign w:val="center"/>
            <w:hideMark/>
          </w:tcPr>
          <w:p w14:paraId="0D54A892" w14:textId="592249DE"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21,5</w:t>
            </w:r>
          </w:p>
        </w:tc>
        <w:tc>
          <w:tcPr>
            <w:tcW w:w="431" w:type="pct"/>
            <w:tcBorders>
              <w:top w:val="nil"/>
              <w:left w:val="single" w:sz="4" w:space="0" w:color="auto"/>
              <w:bottom w:val="nil"/>
              <w:right w:val="single" w:sz="4" w:space="0" w:color="auto"/>
            </w:tcBorders>
            <w:shd w:val="clear" w:color="auto" w:fill="auto"/>
            <w:noWrap/>
            <w:vAlign w:val="center"/>
            <w:hideMark/>
          </w:tcPr>
          <w:p w14:paraId="03D39746" w14:textId="1AAE0FD6"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0,0</w:t>
            </w:r>
          </w:p>
        </w:tc>
        <w:tc>
          <w:tcPr>
            <w:tcW w:w="431" w:type="pct"/>
            <w:tcBorders>
              <w:top w:val="nil"/>
              <w:left w:val="nil"/>
              <w:bottom w:val="nil"/>
              <w:right w:val="nil"/>
            </w:tcBorders>
            <w:shd w:val="clear" w:color="auto" w:fill="auto"/>
            <w:noWrap/>
            <w:vAlign w:val="center"/>
            <w:hideMark/>
          </w:tcPr>
          <w:p w14:paraId="675F0EAD" w14:textId="47B7A6F6"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0,0</w:t>
            </w:r>
          </w:p>
        </w:tc>
        <w:tc>
          <w:tcPr>
            <w:tcW w:w="409" w:type="pct"/>
            <w:tcBorders>
              <w:top w:val="nil"/>
              <w:left w:val="single" w:sz="4" w:space="0" w:color="auto"/>
              <w:bottom w:val="nil"/>
              <w:right w:val="single" w:sz="4" w:space="0" w:color="auto"/>
            </w:tcBorders>
            <w:shd w:val="clear" w:color="auto" w:fill="auto"/>
            <w:noWrap/>
            <w:vAlign w:val="center"/>
            <w:hideMark/>
          </w:tcPr>
          <w:p w14:paraId="44C2F02B" w14:textId="1972B1EF" w:rsidR="00BD7F4E" w:rsidRPr="00BD7F4E" w:rsidRDefault="00BD7F4E" w:rsidP="00BD7F4E">
            <w:pPr>
              <w:jc w:val="right"/>
              <w:rPr>
                <w:rFonts w:ascii="Calibri" w:eastAsia="Times New Roman" w:hAnsi="Calibri" w:cs="Calibri"/>
                <w:color w:val="000000"/>
                <w:sz w:val="18"/>
                <w:szCs w:val="18"/>
                <w:lang w:eastAsia="nl-BE"/>
              </w:rPr>
            </w:pPr>
            <w:r w:rsidRPr="00BD7F4E">
              <w:rPr>
                <w:rFonts w:ascii="Calibri" w:hAnsi="Calibri" w:cs="Calibri"/>
                <w:color w:val="000000"/>
                <w:sz w:val="18"/>
                <w:szCs w:val="18"/>
              </w:rPr>
              <w:t>-21,5</w:t>
            </w:r>
          </w:p>
        </w:tc>
        <w:tc>
          <w:tcPr>
            <w:tcW w:w="455" w:type="pct"/>
            <w:tcBorders>
              <w:top w:val="nil"/>
              <w:left w:val="nil"/>
              <w:bottom w:val="nil"/>
              <w:right w:val="single" w:sz="4" w:space="0" w:color="auto"/>
            </w:tcBorders>
            <w:shd w:val="clear" w:color="auto" w:fill="auto"/>
            <w:noWrap/>
            <w:vAlign w:val="center"/>
            <w:hideMark/>
          </w:tcPr>
          <w:p w14:paraId="05847BFD" w14:textId="658BCE55" w:rsidR="00BD7F4E" w:rsidRPr="00BD7F4E" w:rsidRDefault="00BD7F4E" w:rsidP="00BD7F4E">
            <w:pPr>
              <w:jc w:val="right"/>
              <w:rPr>
                <w:rFonts w:ascii="Calibri" w:eastAsia="Times New Roman" w:hAnsi="Calibri" w:cs="Calibri"/>
                <w:color w:val="000000"/>
                <w:sz w:val="18"/>
                <w:szCs w:val="18"/>
                <w:lang w:eastAsia="nl-BE"/>
              </w:rPr>
            </w:pPr>
            <w:r w:rsidRPr="00BD7F4E">
              <w:rPr>
                <w:rFonts w:ascii="Calibri" w:hAnsi="Calibri" w:cs="Calibri"/>
                <w:color w:val="000000"/>
                <w:sz w:val="18"/>
                <w:szCs w:val="18"/>
              </w:rPr>
              <w:t>-100,00%</w:t>
            </w:r>
          </w:p>
        </w:tc>
        <w:tc>
          <w:tcPr>
            <w:tcW w:w="409" w:type="pct"/>
            <w:tcBorders>
              <w:top w:val="nil"/>
              <w:left w:val="nil"/>
              <w:bottom w:val="nil"/>
              <w:right w:val="single" w:sz="4" w:space="0" w:color="auto"/>
            </w:tcBorders>
            <w:shd w:val="clear" w:color="auto" w:fill="auto"/>
            <w:noWrap/>
            <w:vAlign w:val="center"/>
            <w:hideMark/>
          </w:tcPr>
          <w:p w14:paraId="46954EA2" w14:textId="67AEB12E" w:rsidR="00BD7F4E" w:rsidRPr="00BD7F4E" w:rsidRDefault="00BD7F4E" w:rsidP="00BD7F4E">
            <w:pPr>
              <w:jc w:val="right"/>
              <w:rPr>
                <w:rFonts w:ascii="Calibri" w:eastAsia="Times New Roman" w:hAnsi="Calibri" w:cs="Calibri"/>
                <w:color w:val="000000"/>
                <w:sz w:val="18"/>
                <w:szCs w:val="18"/>
                <w:lang w:eastAsia="nl-BE"/>
              </w:rPr>
            </w:pPr>
            <w:r w:rsidRPr="00BD7F4E">
              <w:rPr>
                <w:rFonts w:ascii="Calibri" w:hAnsi="Calibri" w:cs="Calibri"/>
                <w:color w:val="000000"/>
                <w:sz w:val="18"/>
                <w:szCs w:val="18"/>
              </w:rPr>
              <w:t>0,0</w:t>
            </w:r>
          </w:p>
        </w:tc>
        <w:tc>
          <w:tcPr>
            <w:tcW w:w="407" w:type="pct"/>
            <w:tcBorders>
              <w:top w:val="nil"/>
              <w:left w:val="nil"/>
              <w:bottom w:val="nil"/>
              <w:right w:val="single" w:sz="4" w:space="0" w:color="auto"/>
            </w:tcBorders>
            <w:shd w:val="clear" w:color="auto" w:fill="auto"/>
            <w:noWrap/>
            <w:vAlign w:val="center"/>
            <w:hideMark/>
          </w:tcPr>
          <w:p w14:paraId="68F67FC1" w14:textId="5334C568" w:rsidR="00BD7F4E" w:rsidRPr="00BD7F4E" w:rsidRDefault="00BD7F4E" w:rsidP="00BD7F4E">
            <w:pPr>
              <w:jc w:val="right"/>
              <w:rPr>
                <w:rFonts w:ascii="Calibri" w:eastAsia="Times New Roman" w:hAnsi="Calibri" w:cs="Calibri"/>
                <w:color w:val="000000"/>
                <w:sz w:val="18"/>
                <w:szCs w:val="18"/>
                <w:lang w:eastAsia="nl-BE"/>
              </w:rPr>
            </w:pPr>
            <w:r w:rsidRPr="00BD7F4E">
              <w:rPr>
                <w:rFonts w:ascii="Calibri" w:hAnsi="Calibri" w:cs="Calibri"/>
                <w:color w:val="000000"/>
                <w:sz w:val="18"/>
                <w:szCs w:val="18"/>
              </w:rPr>
              <w:t>0,0%</w:t>
            </w:r>
          </w:p>
        </w:tc>
      </w:tr>
      <w:tr w:rsidR="00BD7F4E" w:rsidRPr="0040191A" w14:paraId="63C10E2D" w14:textId="77777777" w:rsidTr="003B3329">
        <w:trPr>
          <w:trHeight w:val="290"/>
        </w:trPr>
        <w:tc>
          <w:tcPr>
            <w:tcW w:w="2025" w:type="pct"/>
            <w:tcBorders>
              <w:top w:val="nil"/>
              <w:left w:val="single" w:sz="4" w:space="0" w:color="auto"/>
              <w:bottom w:val="nil"/>
              <w:right w:val="nil"/>
            </w:tcBorders>
            <w:shd w:val="clear" w:color="auto" w:fill="auto"/>
            <w:noWrap/>
            <w:vAlign w:val="center"/>
            <w:hideMark/>
          </w:tcPr>
          <w:p w14:paraId="574F779E" w14:textId="77777777" w:rsidR="00BD7F4E" w:rsidRPr="0040191A" w:rsidRDefault="00BD7F4E" w:rsidP="00BD7F4E">
            <w:pPr>
              <w:jc w:val="right"/>
              <w:rPr>
                <w:rFonts w:ascii="Calibri" w:eastAsia="Times New Roman" w:hAnsi="Calibri" w:cs="Calibri"/>
                <w:i/>
                <w:iCs/>
                <w:color w:val="000000"/>
                <w:sz w:val="18"/>
                <w:szCs w:val="18"/>
                <w:lang w:eastAsia="nl-BE"/>
              </w:rPr>
            </w:pPr>
            <w:r w:rsidRPr="0040191A">
              <w:rPr>
                <w:rFonts w:ascii="Calibri" w:eastAsia="Times New Roman" w:hAnsi="Calibri" w:cs="Calibri"/>
                <w:i/>
                <w:iCs/>
                <w:color w:val="000000"/>
                <w:sz w:val="18"/>
                <w:szCs w:val="18"/>
                <w:lang w:eastAsia="nl-BE"/>
              </w:rPr>
              <w:t>loonmodel Onderwijs</w:t>
            </w:r>
          </w:p>
        </w:tc>
        <w:tc>
          <w:tcPr>
            <w:tcW w:w="431" w:type="pct"/>
            <w:tcBorders>
              <w:top w:val="nil"/>
              <w:left w:val="single" w:sz="4" w:space="0" w:color="auto"/>
              <w:bottom w:val="nil"/>
              <w:right w:val="single" w:sz="4" w:space="0" w:color="auto"/>
            </w:tcBorders>
            <w:shd w:val="clear" w:color="auto" w:fill="auto"/>
            <w:noWrap/>
            <w:vAlign w:val="center"/>
            <w:hideMark/>
          </w:tcPr>
          <w:p w14:paraId="1EACBD98" w14:textId="7206631A"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8.260,4</w:t>
            </w:r>
          </w:p>
        </w:tc>
        <w:tc>
          <w:tcPr>
            <w:tcW w:w="431" w:type="pct"/>
            <w:tcBorders>
              <w:top w:val="nil"/>
              <w:left w:val="single" w:sz="4" w:space="0" w:color="auto"/>
              <w:bottom w:val="nil"/>
              <w:right w:val="single" w:sz="4" w:space="0" w:color="auto"/>
            </w:tcBorders>
            <w:shd w:val="clear" w:color="auto" w:fill="auto"/>
            <w:noWrap/>
            <w:vAlign w:val="center"/>
            <w:hideMark/>
          </w:tcPr>
          <w:p w14:paraId="63F237D9" w14:textId="0DB21A6F"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8.297,4</w:t>
            </w:r>
          </w:p>
        </w:tc>
        <w:tc>
          <w:tcPr>
            <w:tcW w:w="431" w:type="pct"/>
            <w:tcBorders>
              <w:top w:val="nil"/>
              <w:left w:val="nil"/>
              <w:bottom w:val="nil"/>
              <w:right w:val="nil"/>
            </w:tcBorders>
            <w:shd w:val="clear" w:color="auto" w:fill="auto"/>
            <w:noWrap/>
            <w:vAlign w:val="center"/>
            <w:hideMark/>
          </w:tcPr>
          <w:p w14:paraId="5E55728C" w14:textId="746B4A47"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8.264,3</w:t>
            </w:r>
          </w:p>
        </w:tc>
        <w:tc>
          <w:tcPr>
            <w:tcW w:w="409" w:type="pct"/>
            <w:tcBorders>
              <w:top w:val="nil"/>
              <w:left w:val="single" w:sz="4" w:space="0" w:color="auto"/>
              <w:bottom w:val="nil"/>
              <w:right w:val="single" w:sz="4" w:space="0" w:color="auto"/>
            </w:tcBorders>
            <w:shd w:val="clear" w:color="auto" w:fill="auto"/>
            <w:noWrap/>
            <w:vAlign w:val="center"/>
            <w:hideMark/>
          </w:tcPr>
          <w:p w14:paraId="0F184239" w14:textId="48A69BB6" w:rsidR="00BD7F4E" w:rsidRPr="00BD7F4E" w:rsidRDefault="00BD7F4E" w:rsidP="00BD7F4E">
            <w:pPr>
              <w:jc w:val="right"/>
              <w:rPr>
                <w:rFonts w:ascii="Calibri" w:eastAsia="Times New Roman" w:hAnsi="Calibri" w:cs="Calibri"/>
                <w:color w:val="000000"/>
                <w:sz w:val="18"/>
                <w:szCs w:val="18"/>
                <w:lang w:eastAsia="nl-BE"/>
              </w:rPr>
            </w:pPr>
            <w:r w:rsidRPr="00BD7F4E">
              <w:rPr>
                <w:rFonts w:ascii="Calibri" w:hAnsi="Calibri" w:cs="Calibri"/>
                <w:color w:val="000000"/>
                <w:sz w:val="18"/>
                <w:szCs w:val="18"/>
              </w:rPr>
              <w:t>3,9</w:t>
            </w:r>
          </w:p>
        </w:tc>
        <w:tc>
          <w:tcPr>
            <w:tcW w:w="455" w:type="pct"/>
            <w:tcBorders>
              <w:top w:val="nil"/>
              <w:left w:val="nil"/>
              <w:bottom w:val="nil"/>
              <w:right w:val="single" w:sz="4" w:space="0" w:color="auto"/>
            </w:tcBorders>
            <w:shd w:val="clear" w:color="auto" w:fill="auto"/>
            <w:noWrap/>
            <w:vAlign w:val="center"/>
            <w:hideMark/>
          </w:tcPr>
          <w:p w14:paraId="30B1449F" w14:textId="1E35D7D3" w:rsidR="00BD7F4E" w:rsidRPr="00BD7F4E" w:rsidRDefault="00BD7F4E" w:rsidP="00BD7F4E">
            <w:pPr>
              <w:jc w:val="right"/>
              <w:rPr>
                <w:rFonts w:ascii="Calibri" w:eastAsia="Times New Roman" w:hAnsi="Calibri" w:cs="Calibri"/>
                <w:color w:val="000000"/>
                <w:sz w:val="18"/>
                <w:szCs w:val="18"/>
                <w:lang w:eastAsia="nl-BE"/>
              </w:rPr>
            </w:pPr>
            <w:r w:rsidRPr="00BD7F4E">
              <w:rPr>
                <w:rFonts w:ascii="Calibri" w:hAnsi="Calibri" w:cs="Calibri"/>
                <w:color w:val="000000"/>
                <w:sz w:val="18"/>
                <w:szCs w:val="18"/>
              </w:rPr>
              <w:t>0,05%</w:t>
            </w:r>
          </w:p>
        </w:tc>
        <w:tc>
          <w:tcPr>
            <w:tcW w:w="409" w:type="pct"/>
            <w:tcBorders>
              <w:top w:val="nil"/>
              <w:left w:val="nil"/>
              <w:bottom w:val="nil"/>
              <w:right w:val="single" w:sz="4" w:space="0" w:color="auto"/>
            </w:tcBorders>
            <w:shd w:val="clear" w:color="auto" w:fill="auto"/>
            <w:noWrap/>
            <w:vAlign w:val="center"/>
            <w:hideMark/>
          </w:tcPr>
          <w:p w14:paraId="1BA25F48" w14:textId="710A6921" w:rsidR="00BD7F4E" w:rsidRPr="00BD7F4E" w:rsidRDefault="00BD7F4E" w:rsidP="00BD7F4E">
            <w:pPr>
              <w:jc w:val="right"/>
              <w:rPr>
                <w:rFonts w:ascii="Calibri" w:eastAsia="Times New Roman" w:hAnsi="Calibri" w:cs="Calibri"/>
                <w:color w:val="000000"/>
                <w:sz w:val="18"/>
                <w:szCs w:val="18"/>
                <w:lang w:eastAsia="nl-BE"/>
              </w:rPr>
            </w:pPr>
            <w:r w:rsidRPr="00BD7F4E">
              <w:rPr>
                <w:rFonts w:ascii="Calibri" w:hAnsi="Calibri" w:cs="Calibri"/>
                <w:color w:val="000000"/>
                <w:sz w:val="18"/>
                <w:szCs w:val="18"/>
              </w:rPr>
              <w:t>-33,1</w:t>
            </w:r>
          </w:p>
        </w:tc>
        <w:tc>
          <w:tcPr>
            <w:tcW w:w="407" w:type="pct"/>
            <w:tcBorders>
              <w:top w:val="nil"/>
              <w:left w:val="nil"/>
              <w:bottom w:val="nil"/>
              <w:right w:val="single" w:sz="4" w:space="0" w:color="auto"/>
            </w:tcBorders>
            <w:shd w:val="clear" w:color="auto" w:fill="auto"/>
            <w:noWrap/>
            <w:vAlign w:val="center"/>
            <w:hideMark/>
          </w:tcPr>
          <w:p w14:paraId="3F2E06A0" w14:textId="60E073DC" w:rsidR="00BD7F4E" w:rsidRPr="00BD7F4E" w:rsidRDefault="00BD7F4E" w:rsidP="00BD7F4E">
            <w:pPr>
              <w:jc w:val="right"/>
              <w:rPr>
                <w:rFonts w:ascii="Calibri" w:eastAsia="Times New Roman" w:hAnsi="Calibri" w:cs="Calibri"/>
                <w:color w:val="000000"/>
                <w:sz w:val="18"/>
                <w:szCs w:val="18"/>
                <w:lang w:eastAsia="nl-BE"/>
              </w:rPr>
            </w:pPr>
            <w:r w:rsidRPr="00BD7F4E">
              <w:rPr>
                <w:rFonts w:ascii="Calibri" w:hAnsi="Calibri" w:cs="Calibri"/>
                <w:color w:val="000000"/>
                <w:sz w:val="18"/>
                <w:szCs w:val="18"/>
              </w:rPr>
              <w:t>-0,4%</w:t>
            </w:r>
          </w:p>
        </w:tc>
      </w:tr>
      <w:tr w:rsidR="00BD7F4E" w:rsidRPr="0040191A" w14:paraId="2C0951D0" w14:textId="77777777" w:rsidTr="003B3329">
        <w:trPr>
          <w:trHeight w:val="290"/>
        </w:trPr>
        <w:tc>
          <w:tcPr>
            <w:tcW w:w="2025" w:type="pct"/>
            <w:tcBorders>
              <w:top w:val="nil"/>
              <w:left w:val="single" w:sz="4" w:space="0" w:color="auto"/>
              <w:bottom w:val="nil"/>
              <w:right w:val="nil"/>
            </w:tcBorders>
            <w:shd w:val="clear" w:color="auto" w:fill="auto"/>
            <w:noWrap/>
            <w:vAlign w:val="center"/>
            <w:hideMark/>
          </w:tcPr>
          <w:p w14:paraId="0049BD54" w14:textId="77777777" w:rsidR="00BD7F4E" w:rsidRPr="0040191A" w:rsidRDefault="00BD7F4E" w:rsidP="00BD7F4E">
            <w:pPr>
              <w:jc w:val="right"/>
              <w:rPr>
                <w:rFonts w:ascii="Calibri" w:eastAsia="Times New Roman" w:hAnsi="Calibri" w:cs="Calibri"/>
                <w:i/>
                <w:iCs/>
                <w:color w:val="000000"/>
                <w:sz w:val="18"/>
                <w:szCs w:val="18"/>
                <w:lang w:eastAsia="nl-BE"/>
              </w:rPr>
            </w:pPr>
            <w:r w:rsidRPr="0040191A">
              <w:rPr>
                <w:rFonts w:ascii="Calibri" w:eastAsia="Times New Roman" w:hAnsi="Calibri" w:cs="Calibri"/>
                <w:i/>
                <w:iCs/>
                <w:color w:val="000000"/>
                <w:sz w:val="18"/>
                <w:szCs w:val="18"/>
                <w:lang w:eastAsia="nl-BE"/>
              </w:rPr>
              <w:t>School- en Studietoelagen</w:t>
            </w:r>
          </w:p>
        </w:tc>
        <w:tc>
          <w:tcPr>
            <w:tcW w:w="431" w:type="pct"/>
            <w:tcBorders>
              <w:top w:val="nil"/>
              <w:left w:val="single" w:sz="4" w:space="0" w:color="auto"/>
              <w:bottom w:val="nil"/>
              <w:right w:val="single" w:sz="4" w:space="0" w:color="auto"/>
            </w:tcBorders>
            <w:shd w:val="clear" w:color="auto" w:fill="auto"/>
            <w:noWrap/>
            <w:vAlign w:val="center"/>
            <w:hideMark/>
          </w:tcPr>
          <w:p w14:paraId="27F0DEFD" w14:textId="5E65AF6D"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113,9</w:t>
            </w:r>
          </w:p>
        </w:tc>
        <w:tc>
          <w:tcPr>
            <w:tcW w:w="431" w:type="pct"/>
            <w:tcBorders>
              <w:top w:val="nil"/>
              <w:left w:val="single" w:sz="4" w:space="0" w:color="auto"/>
              <w:bottom w:val="nil"/>
              <w:right w:val="single" w:sz="4" w:space="0" w:color="auto"/>
            </w:tcBorders>
            <w:shd w:val="clear" w:color="auto" w:fill="auto"/>
            <w:noWrap/>
            <w:vAlign w:val="center"/>
            <w:hideMark/>
          </w:tcPr>
          <w:p w14:paraId="5EA74E7A" w14:textId="0DEE4F81"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113,9</w:t>
            </w:r>
          </w:p>
        </w:tc>
        <w:tc>
          <w:tcPr>
            <w:tcW w:w="431" w:type="pct"/>
            <w:tcBorders>
              <w:top w:val="nil"/>
              <w:left w:val="nil"/>
              <w:bottom w:val="nil"/>
              <w:right w:val="nil"/>
            </w:tcBorders>
            <w:shd w:val="clear" w:color="auto" w:fill="auto"/>
            <w:noWrap/>
            <w:vAlign w:val="center"/>
            <w:hideMark/>
          </w:tcPr>
          <w:p w14:paraId="537A79E2" w14:textId="0A83B173"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113,2</w:t>
            </w:r>
          </w:p>
        </w:tc>
        <w:tc>
          <w:tcPr>
            <w:tcW w:w="409" w:type="pct"/>
            <w:tcBorders>
              <w:top w:val="nil"/>
              <w:left w:val="single" w:sz="4" w:space="0" w:color="auto"/>
              <w:bottom w:val="nil"/>
              <w:right w:val="single" w:sz="4" w:space="0" w:color="auto"/>
            </w:tcBorders>
            <w:shd w:val="clear" w:color="auto" w:fill="auto"/>
            <w:noWrap/>
            <w:vAlign w:val="center"/>
            <w:hideMark/>
          </w:tcPr>
          <w:p w14:paraId="1CA2AB98" w14:textId="729A033A" w:rsidR="00BD7F4E" w:rsidRPr="00BD7F4E" w:rsidRDefault="00BD7F4E" w:rsidP="00BD7F4E">
            <w:pPr>
              <w:jc w:val="right"/>
              <w:rPr>
                <w:rFonts w:ascii="Calibri" w:eastAsia="Times New Roman" w:hAnsi="Calibri" w:cs="Calibri"/>
                <w:color w:val="000000"/>
                <w:sz w:val="18"/>
                <w:szCs w:val="18"/>
                <w:lang w:eastAsia="nl-BE"/>
              </w:rPr>
            </w:pPr>
            <w:r w:rsidRPr="00BD7F4E">
              <w:rPr>
                <w:rFonts w:ascii="Calibri" w:hAnsi="Calibri" w:cs="Calibri"/>
                <w:color w:val="000000"/>
                <w:sz w:val="18"/>
                <w:szCs w:val="18"/>
              </w:rPr>
              <w:t>-0,7</w:t>
            </w:r>
          </w:p>
        </w:tc>
        <w:tc>
          <w:tcPr>
            <w:tcW w:w="455" w:type="pct"/>
            <w:tcBorders>
              <w:top w:val="nil"/>
              <w:left w:val="nil"/>
              <w:bottom w:val="nil"/>
              <w:right w:val="single" w:sz="4" w:space="0" w:color="auto"/>
            </w:tcBorders>
            <w:shd w:val="clear" w:color="auto" w:fill="auto"/>
            <w:noWrap/>
            <w:vAlign w:val="center"/>
            <w:hideMark/>
          </w:tcPr>
          <w:p w14:paraId="279DAD8D" w14:textId="166D76A9" w:rsidR="00BD7F4E" w:rsidRPr="00BD7F4E" w:rsidRDefault="00BD7F4E" w:rsidP="00BD7F4E">
            <w:pPr>
              <w:jc w:val="right"/>
              <w:rPr>
                <w:rFonts w:ascii="Calibri" w:eastAsia="Times New Roman" w:hAnsi="Calibri" w:cs="Calibri"/>
                <w:color w:val="000000"/>
                <w:sz w:val="18"/>
                <w:szCs w:val="18"/>
                <w:lang w:eastAsia="nl-BE"/>
              </w:rPr>
            </w:pPr>
            <w:r w:rsidRPr="00BD7F4E">
              <w:rPr>
                <w:rFonts w:ascii="Calibri" w:hAnsi="Calibri" w:cs="Calibri"/>
                <w:color w:val="000000"/>
                <w:sz w:val="18"/>
                <w:szCs w:val="18"/>
              </w:rPr>
              <w:t>-0,64%</w:t>
            </w:r>
          </w:p>
        </w:tc>
        <w:tc>
          <w:tcPr>
            <w:tcW w:w="409" w:type="pct"/>
            <w:tcBorders>
              <w:top w:val="nil"/>
              <w:left w:val="nil"/>
              <w:bottom w:val="nil"/>
              <w:right w:val="single" w:sz="4" w:space="0" w:color="auto"/>
            </w:tcBorders>
            <w:shd w:val="clear" w:color="auto" w:fill="auto"/>
            <w:noWrap/>
            <w:vAlign w:val="center"/>
            <w:hideMark/>
          </w:tcPr>
          <w:p w14:paraId="6717D110" w14:textId="17337FAC" w:rsidR="00BD7F4E" w:rsidRPr="00BD7F4E" w:rsidRDefault="00BD7F4E" w:rsidP="00BD7F4E">
            <w:pPr>
              <w:jc w:val="right"/>
              <w:rPr>
                <w:rFonts w:ascii="Calibri" w:eastAsia="Times New Roman" w:hAnsi="Calibri" w:cs="Calibri"/>
                <w:color w:val="000000"/>
                <w:sz w:val="18"/>
                <w:szCs w:val="18"/>
                <w:lang w:eastAsia="nl-BE"/>
              </w:rPr>
            </w:pPr>
            <w:r w:rsidRPr="00BD7F4E">
              <w:rPr>
                <w:rFonts w:ascii="Calibri" w:hAnsi="Calibri" w:cs="Calibri"/>
                <w:color w:val="000000"/>
                <w:sz w:val="18"/>
                <w:szCs w:val="18"/>
              </w:rPr>
              <w:t>-0,7</w:t>
            </w:r>
          </w:p>
        </w:tc>
        <w:tc>
          <w:tcPr>
            <w:tcW w:w="407" w:type="pct"/>
            <w:tcBorders>
              <w:top w:val="nil"/>
              <w:left w:val="nil"/>
              <w:bottom w:val="nil"/>
              <w:right w:val="single" w:sz="4" w:space="0" w:color="auto"/>
            </w:tcBorders>
            <w:shd w:val="clear" w:color="auto" w:fill="auto"/>
            <w:noWrap/>
            <w:vAlign w:val="center"/>
            <w:hideMark/>
          </w:tcPr>
          <w:p w14:paraId="17BC40A9" w14:textId="2CE8B44F" w:rsidR="00BD7F4E" w:rsidRPr="00BD7F4E" w:rsidRDefault="00BD7F4E" w:rsidP="00BD7F4E">
            <w:pPr>
              <w:jc w:val="right"/>
              <w:rPr>
                <w:rFonts w:ascii="Calibri" w:eastAsia="Times New Roman" w:hAnsi="Calibri" w:cs="Calibri"/>
                <w:color w:val="000000"/>
                <w:sz w:val="18"/>
                <w:szCs w:val="18"/>
                <w:lang w:eastAsia="nl-BE"/>
              </w:rPr>
            </w:pPr>
            <w:r w:rsidRPr="00BD7F4E">
              <w:rPr>
                <w:rFonts w:ascii="Calibri" w:hAnsi="Calibri" w:cs="Calibri"/>
                <w:color w:val="000000"/>
                <w:sz w:val="18"/>
                <w:szCs w:val="18"/>
              </w:rPr>
              <w:t>-0,6%</w:t>
            </w:r>
          </w:p>
        </w:tc>
      </w:tr>
      <w:tr w:rsidR="00BD7F4E" w:rsidRPr="0040191A" w14:paraId="78FEB520" w14:textId="77777777" w:rsidTr="003B3329">
        <w:trPr>
          <w:trHeight w:val="290"/>
        </w:trPr>
        <w:tc>
          <w:tcPr>
            <w:tcW w:w="2025" w:type="pct"/>
            <w:tcBorders>
              <w:top w:val="nil"/>
              <w:left w:val="single" w:sz="4" w:space="0" w:color="auto"/>
              <w:bottom w:val="nil"/>
              <w:right w:val="nil"/>
            </w:tcBorders>
            <w:shd w:val="clear" w:color="auto" w:fill="auto"/>
            <w:noWrap/>
            <w:vAlign w:val="center"/>
            <w:hideMark/>
          </w:tcPr>
          <w:p w14:paraId="7C9457CC" w14:textId="77777777" w:rsidR="00BD7F4E" w:rsidRPr="0040191A" w:rsidRDefault="00BD7F4E" w:rsidP="00BD7F4E">
            <w:pPr>
              <w:jc w:val="right"/>
              <w:rPr>
                <w:rFonts w:ascii="Calibri" w:eastAsia="Times New Roman" w:hAnsi="Calibri" w:cs="Calibri"/>
                <w:i/>
                <w:iCs/>
                <w:color w:val="000000"/>
                <w:sz w:val="18"/>
                <w:szCs w:val="18"/>
                <w:lang w:eastAsia="nl-BE"/>
              </w:rPr>
            </w:pPr>
            <w:r w:rsidRPr="0040191A">
              <w:rPr>
                <w:rFonts w:ascii="Calibri" w:eastAsia="Times New Roman" w:hAnsi="Calibri" w:cs="Calibri"/>
                <w:i/>
                <w:iCs/>
                <w:color w:val="000000"/>
                <w:sz w:val="18"/>
                <w:szCs w:val="18"/>
                <w:lang w:eastAsia="nl-BE"/>
              </w:rPr>
              <w:t>Sociaal akkoord WZC</w:t>
            </w:r>
          </w:p>
        </w:tc>
        <w:tc>
          <w:tcPr>
            <w:tcW w:w="431" w:type="pct"/>
            <w:tcBorders>
              <w:top w:val="nil"/>
              <w:left w:val="single" w:sz="4" w:space="0" w:color="auto"/>
              <w:bottom w:val="nil"/>
              <w:right w:val="single" w:sz="4" w:space="0" w:color="auto"/>
            </w:tcBorders>
            <w:shd w:val="clear" w:color="auto" w:fill="auto"/>
            <w:noWrap/>
            <w:vAlign w:val="center"/>
            <w:hideMark/>
          </w:tcPr>
          <w:p w14:paraId="61F93900" w14:textId="745C2735"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281,5</w:t>
            </w:r>
          </w:p>
        </w:tc>
        <w:tc>
          <w:tcPr>
            <w:tcW w:w="431" w:type="pct"/>
            <w:tcBorders>
              <w:top w:val="nil"/>
              <w:left w:val="single" w:sz="4" w:space="0" w:color="auto"/>
              <w:bottom w:val="nil"/>
              <w:right w:val="single" w:sz="4" w:space="0" w:color="auto"/>
            </w:tcBorders>
            <w:shd w:val="clear" w:color="auto" w:fill="auto"/>
            <w:noWrap/>
            <w:vAlign w:val="center"/>
            <w:hideMark/>
          </w:tcPr>
          <w:p w14:paraId="310C93A3" w14:textId="0CBF3995"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281,5</w:t>
            </w:r>
          </w:p>
        </w:tc>
        <w:tc>
          <w:tcPr>
            <w:tcW w:w="431" w:type="pct"/>
            <w:tcBorders>
              <w:top w:val="nil"/>
              <w:left w:val="nil"/>
              <w:bottom w:val="nil"/>
              <w:right w:val="nil"/>
            </w:tcBorders>
            <w:shd w:val="clear" w:color="auto" w:fill="auto"/>
            <w:noWrap/>
            <w:vAlign w:val="center"/>
            <w:hideMark/>
          </w:tcPr>
          <w:p w14:paraId="4A889780" w14:textId="5E124FA5"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275,2</w:t>
            </w:r>
          </w:p>
        </w:tc>
        <w:tc>
          <w:tcPr>
            <w:tcW w:w="409" w:type="pct"/>
            <w:tcBorders>
              <w:top w:val="nil"/>
              <w:left w:val="single" w:sz="4" w:space="0" w:color="auto"/>
              <w:bottom w:val="nil"/>
              <w:right w:val="single" w:sz="4" w:space="0" w:color="auto"/>
            </w:tcBorders>
            <w:shd w:val="clear" w:color="auto" w:fill="auto"/>
            <w:noWrap/>
            <w:vAlign w:val="center"/>
            <w:hideMark/>
          </w:tcPr>
          <w:p w14:paraId="7528E7AF" w14:textId="610DAD85" w:rsidR="00BD7F4E" w:rsidRPr="00BD7F4E" w:rsidRDefault="00BD7F4E" w:rsidP="00BD7F4E">
            <w:pPr>
              <w:jc w:val="right"/>
              <w:rPr>
                <w:rFonts w:ascii="Calibri" w:eastAsia="Times New Roman" w:hAnsi="Calibri" w:cs="Calibri"/>
                <w:color w:val="000000"/>
                <w:sz w:val="18"/>
                <w:szCs w:val="18"/>
                <w:lang w:eastAsia="nl-BE"/>
              </w:rPr>
            </w:pPr>
            <w:r w:rsidRPr="00BD7F4E">
              <w:rPr>
                <w:rFonts w:ascii="Calibri" w:hAnsi="Calibri" w:cs="Calibri"/>
                <w:color w:val="000000"/>
                <w:sz w:val="18"/>
                <w:szCs w:val="18"/>
              </w:rPr>
              <w:t>-6,4</w:t>
            </w:r>
          </w:p>
        </w:tc>
        <w:tc>
          <w:tcPr>
            <w:tcW w:w="455" w:type="pct"/>
            <w:tcBorders>
              <w:top w:val="nil"/>
              <w:left w:val="nil"/>
              <w:bottom w:val="nil"/>
              <w:right w:val="single" w:sz="4" w:space="0" w:color="auto"/>
            </w:tcBorders>
            <w:shd w:val="clear" w:color="auto" w:fill="auto"/>
            <w:noWrap/>
            <w:vAlign w:val="center"/>
            <w:hideMark/>
          </w:tcPr>
          <w:p w14:paraId="3D4D0AC7" w14:textId="359F707E" w:rsidR="00BD7F4E" w:rsidRPr="00BD7F4E" w:rsidRDefault="00BD7F4E" w:rsidP="00BD7F4E">
            <w:pPr>
              <w:jc w:val="right"/>
              <w:rPr>
                <w:rFonts w:ascii="Calibri" w:eastAsia="Times New Roman" w:hAnsi="Calibri" w:cs="Calibri"/>
                <w:color w:val="000000"/>
                <w:sz w:val="18"/>
                <w:szCs w:val="18"/>
                <w:lang w:eastAsia="nl-BE"/>
              </w:rPr>
            </w:pPr>
            <w:r w:rsidRPr="00BD7F4E">
              <w:rPr>
                <w:rFonts w:ascii="Calibri" w:hAnsi="Calibri" w:cs="Calibri"/>
                <w:color w:val="000000"/>
                <w:sz w:val="18"/>
                <w:szCs w:val="18"/>
              </w:rPr>
              <w:t>-2,27%</w:t>
            </w:r>
          </w:p>
        </w:tc>
        <w:tc>
          <w:tcPr>
            <w:tcW w:w="409" w:type="pct"/>
            <w:tcBorders>
              <w:top w:val="nil"/>
              <w:left w:val="nil"/>
              <w:bottom w:val="nil"/>
              <w:right w:val="single" w:sz="4" w:space="0" w:color="auto"/>
            </w:tcBorders>
            <w:shd w:val="clear" w:color="auto" w:fill="auto"/>
            <w:noWrap/>
            <w:vAlign w:val="center"/>
            <w:hideMark/>
          </w:tcPr>
          <w:p w14:paraId="4FA344D7" w14:textId="0C1B2E66" w:rsidR="00BD7F4E" w:rsidRPr="00BD7F4E" w:rsidRDefault="00BD7F4E" w:rsidP="00BD7F4E">
            <w:pPr>
              <w:jc w:val="right"/>
              <w:rPr>
                <w:rFonts w:ascii="Calibri" w:eastAsia="Times New Roman" w:hAnsi="Calibri" w:cs="Calibri"/>
                <w:color w:val="000000"/>
                <w:sz w:val="18"/>
                <w:szCs w:val="18"/>
                <w:lang w:eastAsia="nl-BE"/>
              </w:rPr>
            </w:pPr>
            <w:r w:rsidRPr="00BD7F4E">
              <w:rPr>
                <w:rFonts w:ascii="Calibri" w:hAnsi="Calibri" w:cs="Calibri"/>
                <w:color w:val="000000"/>
                <w:sz w:val="18"/>
                <w:szCs w:val="18"/>
              </w:rPr>
              <w:t>-6,4</w:t>
            </w:r>
          </w:p>
        </w:tc>
        <w:tc>
          <w:tcPr>
            <w:tcW w:w="407" w:type="pct"/>
            <w:tcBorders>
              <w:top w:val="nil"/>
              <w:left w:val="nil"/>
              <w:bottom w:val="nil"/>
              <w:right w:val="single" w:sz="4" w:space="0" w:color="auto"/>
            </w:tcBorders>
            <w:shd w:val="clear" w:color="auto" w:fill="auto"/>
            <w:noWrap/>
            <w:vAlign w:val="center"/>
            <w:hideMark/>
          </w:tcPr>
          <w:p w14:paraId="4594D00F" w14:textId="01768C45" w:rsidR="00BD7F4E" w:rsidRPr="00BD7F4E" w:rsidRDefault="00BD7F4E" w:rsidP="00BD7F4E">
            <w:pPr>
              <w:jc w:val="right"/>
              <w:rPr>
                <w:rFonts w:ascii="Calibri" w:eastAsia="Times New Roman" w:hAnsi="Calibri" w:cs="Calibri"/>
                <w:color w:val="000000"/>
                <w:sz w:val="18"/>
                <w:szCs w:val="18"/>
                <w:lang w:eastAsia="nl-BE"/>
              </w:rPr>
            </w:pPr>
            <w:r w:rsidRPr="00BD7F4E">
              <w:rPr>
                <w:rFonts w:ascii="Calibri" w:hAnsi="Calibri" w:cs="Calibri"/>
                <w:color w:val="000000"/>
                <w:sz w:val="18"/>
                <w:szCs w:val="18"/>
              </w:rPr>
              <w:t>-2,3%</w:t>
            </w:r>
          </w:p>
        </w:tc>
      </w:tr>
      <w:tr w:rsidR="00BD7F4E" w:rsidRPr="0040191A" w14:paraId="3E978AD1" w14:textId="77777777" w:rsidTr="003B3329">
        <w:trPr>
          <w:trHeight w:val="290"/>
        </w:trPr>
        <w:tc>
          <w:tcPr>
            <w:tcW w:w="2025" w:type="pct"/>
            <w:tcBorders>
              <w:top w:val="nil"/>
              <w:left w:val="single" w:sz="4" w:space="0" w:color="auto"/>
              <w:bottom w:val="nil"/>
              <w:right w:val="nil"/>
            </w:tcBorders>
            <w:shd w:val="clear" w:color="auto" w:fill="auto"/>
            <w:noWrap/>
            <w:vAlign w:val="center"/>
            <w:hideMark/>
          </w:tcPr>
          <w:p w14:paraId="5E77791F" w14:textId="5304D733" w:rsidR="00BD7F4E" w:rsidRPr="0040191A" w:rsidRDefault="00BD7F4E" w:rsidP="00BD7F4E">
            <w:pPr>
              <w:jc w:val="right"/>
              <w:rPr>
                <w:rFonts w:ascii="Calibri" w:eastAsia="Times New Roman" w:hAnsi="Calibri" w:cs="Calibri"/>
                <w:i/>
                <w:iCs/>
                <w:color w:val="000000"/>
                <w:sz w:val="18"/>
                <w:szCs w:val="18"/>
                <w:lang w:eastAsia="nl-BE"/>
              </w:rPr>
            </w:pPr>
            <w:r w:rsidRPr="003B3329">
              <w:rPr>
                <w:rFonts w:ascii="Calibri" w:hAnsi="Calibri" w:cs="Calibri"/>
                <w:i/>
                <w:iCs/>
                <w:color w:val="000000"/>
                <w:sz w:val="18"/>
                <w:szCs w:val="18"/>
              </w:rPr>
              <w:t>Doelgroepkorting jongeren</w:t>
            </w:r>
          </w:p>
        </w:tc>
        <w:tc>
          <w:tcPr>
            <w:tcW w:w="431" w:type="pct"/>
            <w:tcBorders>
              <w:top w:val="nil"/>
              <w:left w:val="single" w:sz="4" w:space="0" w:color="auto"/>
              <w:bottom w:val="nil"/>
              <w:right w:val="single" w:sz="4" w:space="0" w:color="auto"/>
            </w:tcBorders>
            <w:shd w:val="clear" w:color="auto" w:fill="auto"/>
            <w:noWrap/>
            <w:vAlign w:val="center"/>
            <w:hideMark/>
          </w:tcPr>
          <w:p w14:paraId="286E74B4" w14:textId="7D8EB29D"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160,1</w:t>
            </w:r>
          </w:p>
        </w:tc>
        <w:tc>
          <w:tcPr>
            <w:tcW w:w="431" w:type="pct"/>
            <w:tcBorders>
              <w:top w:val="nil"/>
              <w:left w:val="single" w:sz="4" w:space="0" w:color="auto"/>
              <w:bottom w:val="nil"/>
              <w:right w:val="single" w:sz="4" w:space="0" w:color="auto"/>
            </w:tcBorders>
            <w:shd w:val="clear" w:color="auto" w:fill="auto"/>
            <w:noWrap/>
            <w:vAlign w:val="center"/>
            <w:hideMark/>
          </w:tcPr>
          <w:p w14:paraId="307FDA15" w14:textId="1FD5E31D"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156,6</w:t>
            </w:r>
          </w:p>
        </w:tc>
        <w:tc>
          <w:tcPr>
            <w:tcW w:w="431" w:type="pct"/>
            <w:tcBorders>
              <w:top w:val="nil"/>
              <w:left w:val="nil"/>
              <w:bottom w:val="nil"/>
              <w:right w:val="nil"/>
            </w:tcBorders>
            <w:shd w:val="clear" w:color="auto" w:fill="auto"/>
            <w:noWrap/>
            <w:vAlign w:val="center"/>
            <w:hideMark/>
          </w:tcPr>
          <w:p w14:paraId="33DE366A" w14:textId="3F305D5F"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161,9</w:t>
            </w:r>
          </w:p>
        </w:tc>
        <w:tc>
          <w:tcPr>
            <w:tcW w:w="409" w:type="pct"/>
            <w:tcBorders>
              <w:top w:val="nil"/>
              <w:left w:val="single" w:sz="4" w:space="0" w:color="auto"/>
              <w:bottom w:val="nil"/>
              <w:right w:val="single" w:sz="4" w:space="0" w:color="auto"/>
            </w:tcBorders>
            <w:shd w:val="clear" w:color="auto" w:fill="auto"/>
            <w:noWrap/>
            <w:vAlign w:val="center"/>
            <w:hideMark/>
          </w:tcPr>
          <w:p w14:paraId="6EDA51BA" w14:textId="2C61A22E" w:rsidR="00BD7F4E" w:rsidRPr="00BD7F4E" w:rsidRDefault="00BD7F4E" w:rsidP="00BD7F4E">
            <w:pPr>
              <w:jc w:val="right"/>
              <w:rPr>
                <w:rFonts w:ascii="Calibri" w:eastAsia="Times New Roman" w:hAnsi="Calibri" w:cs="Calibri"/>
                <w:color w:val="000000"/>
                <w:sz w:val="18"/>
                <w:szCs w:val="18"/>
                <w:lang w:eastAsia="nl-BE"/>
              </w:rPr>
            </w:pPr>
            <w:r w:rsidRPr="00BD7F4E">
              <w:rPr>
                <w:rFonts w:ascii="Calibri" w:hAnsi="Calibri" w:cs="Calibri"/>
                <w:color w:val="000000"/>
                <w:sz w:val="18"/>
                <w:szCs w:val="18"/>
              </w:rPr>
              <w:t>1,8</w:t>
            </w:r>
          </w:p>
        </w:tc>
        <w:tc>
          <w:tcPr>
            <w:tcW w:w="455" w:type="pct"/>
            <w:tcBorders>
              <w:top w:val="nil"/>
              <w:left w:val="nil"/>
              <w:bottom w:val="nil"/>
              <w:right w:val="single" w:sz="4" w:space="0" w:color="auto"/>
            </w:tcBorders>
            <w:shd w:val="clear" w:color="auto" w:fill="auto"/>
            <w:noWrap/>
            <w:vAlign w:val="center"/>
            <w:hideMark/>
          </w:tcPr>
          <w:p w14:paraId="487E48E0" w14:textId="2A7F2E00" w:rsidR="00BD7F4E" w:rsidRPr="00BD7F4E" w:rsidRDefault="00BD7F4E" w:rsidP="00BD7F4E">
            <w:pPr>
              <w:jc w:val="right"/>
              <w:rPr>
                <w:rFonts w:ascii="Calibri" w:eastAsia="Times New Roman" w:hAnsi="Calibri" w:cs="Calibri"/>
                <w:color w:val="000000"/>
                <w:sz w:val="18"/>
                <w:szCs w:val="18"/>
                <w:lang w:eastAsia="nl-BE"/>
              </w:rPr>
            </w:pPr>
            <w:r w:rsidRPr="00BD7F4E">
              <w:rPr>
                <w:rFonts w:ascii="Calibri" w:hAnsi="Calibri" w:cs="Calibri"/>
                <w:color w:val="000000"/>
                <w:sz w:val="18"/>
                <w:szCs w:val="18"/>
              </w:rPr>
              <w:t>1,13%</w:t>
            </w:r>
          </w:p>
        </w:tc>
        <w:tc>
          <w:tcPr>
            <w:tcW w:w="409" w:type="pct"/>
            <w:tcBorders>
              <w:top w:val="nil"/>
              <w:left w:val="nil"/>
              <w:bottom w:val="nil"/>
              <w:right w:val="single" w:sz="4" w:space="0" w:color="auto"/>
            </w:tcBorders>
            <w:shd w:val="clear" w:color="auto" w:fill="auto"/>
            <w:noWrap/>
            <w:vAlign w:val="center"/>
            <w:hideMark/>
          </w:tcPr>
          <w:p w14:paraId="2FBEA067" w14:textId="6960D97C" w:rsidR="00BD7F4E" w:rsidRPr="00BD7F4E" w:rsidRDefault="00BD7F4E" w:rsidP="00BD7F4E">
            <w:pPr>
              <w:jc w:val="right"/>
              <w:rPr>
                <w:rFonts w:ascii="Calibri" w:eastAsia="Times New Roman" w:hAnsi="Calibri" w:cs="Calibri"/>
                <w:color w:val="000000"/>
                <w:sz w:val="18"/>
                <w:szCs w:val="18"/>
                <w:lang w:eastAsia="nl-BE"/>
              </w:rPr>
            </w:pPr>
            <w:r w:rsidRPr="00BD7F4E">
              <w:rPr>
                <w:rFonts w:ascii="Calibri" w:hAnsi="Calibri" w:cs="Calibri"/>
                <w:color w:val="000000"/>
                <w:sz w:val="18"/>
                <w:szCs w:val="18"/>
              </w:rPr>
              <w:t>5,3</w:t>
            </w:r>
          </w:p>
        </w:tc>
        <w:tc>
          <w:tcPr>
            <w:tcW w:w="407" w:type="pct"/>
            <w:tcBorders>
              <w:top w:val="nil"/>
              <w:left w:val="nil"/>
              <w:bottom w:val="nil"/>
              <w:right w:val="single" w:sz="4" w:space="0" w:color="auto"/>
            </w:tcBorders>
            <w:shd w:val="clear" w:color="auto" w:fill="auto"/>
            <w:noWrap/>
            <w:vAlign w:val="center"/>
            <w:hideMark/>
          </w:tcPr>
          <w:p w14:paraId="3F1C5FE4" w14:textId="48FB75C9" w:rsidR="00BD7F4E" w:rsidRPr="00BD7F4E" w:rsidRDefault="00BD7F4E" w:rsidP="00BD7F4E">
            <w:pPr>
              <w:jc w:val="right"/>
              <w:rPr>
                <w:rFonts w:ascii="Calibri" w:eastAsia="Times New Roman" w:hAnsi="Calibri" w:cs="Calibri"/>
                <w:color w:val="000000"/>
                <w:sz w:val="18"/>
                <w:szCs w:val="18"/>
                <w:lang w:eastAsia="nl-BE"/>
              </w:rPr>
            </w:pPr>
            <w:r w:rsidRPr="00BD7F4E">
              <w:rPr>
                <w:rFonts w:ascii="Calibri" w:hAnsi="Calibri" w:cs="Calibri"/>
                <w:color w:val="000000"/>
                <w:sz w:val="18"/>
                <w:szCs w:val="18"/>
              </w:rPr>
              <w:t>3,4%</w:t>
            </w:r>
          </w:p>
        </w:tc>
      </w:tr>
      <w:tr w:rsidR="00BD7F4E" w:rsidRPr="0040191A" w14:paraId="36725E99" w14:textId="77777777" w:rsidTr="003B3329">
        <w:trPr>
          <w:trHeight w:val="290"/>
        </w:trPr>
        <w:tc>
          <w:tcPr>
            <w:tcW w:w="2025" w:type="pct"/>
            <w:tcBorders>
              <w:top w:val="nil"/>
              <w:left w:val="single" w:sz="4" w:space="0" w:color="auto"/>
              <w:bottom w:val="nil"/>
              <w:right w:val="nil"/>
            </w:tcBorders>
            <w:shd w:val="clear" w:color="auto" w:fill="auto"/>
            <w:noWrap/>
            <w:vAlign w:val="center"/>
            <w:hideMark/>
          </w:tcPr>
          <w:p w14:paraId="56B5375C" w14:textId="259345EA" w:rsidR="00BD7F4E" w:rsidRPr="0040191A" w:rsidRDefault="00BD7F4E" w:rsidP="00BD7F4E">
            <w:pPr>
              <w:jc w:val="right"/>
              <w:rPr>
                <w:rFonts w:ascii="Calibri" w:eastAsia="Times New Roman" w:hAnsi="Calibri" w:cs="Calibri"/>
                <w:i/>
                <w:iCs/>
                <w:color w:val="000000"/>
                <w:sz w:val="18"/>
                <w:szCs w:val="18"/>
                <w:lang w:eastAsia="nl-BE"/>
              </w:rPr>
            </w:pPr>
            <w:r w:rsidRPr="003B3329">
              <w:rPr>
                <w:rFonts w:ascii="Calibri" w:hAnsi="Calibri" w:cs="Calibri"/>
                <w:i/>
                <w:iCs/>
                <w:color w:val="000000"/>
                <w:sz w:val="18"/>
                <w:szCs w:val="18"/>
              </w:rPr>
              <w:t>Doelgroepkorting ouderen</w:t>
            </w:r>
          </w:p>
        </w:tc>
        <w:tc>
          <w:tcPr>
            <w:tcW w:w="431" w:type="pct"/>
            <w:tcBorders>
              <w:top w:val="nil"/>
              <w:left w:val="single" w:sz="4" w:space="0" w:color="auto"/>
              <w:bottom w:val="nil"/>
              <w:right w:val="single" w:sz="4" w:space="0" w:color="auto"/>
            </w:tcBorders>
            <w:shd w:val="clear" w:color="auto" w:fill="auto"/>
            <w:noWrap/>
            <w:vAlign w:val="center"/>
            <w:hideMark/>
          </w:tcPr>
          <w:p w14:paraId="0119B08C" w14:textId="187AFDD2"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410,5</w:t>
            </w:r>
          </w:p>
        </w:tc>
        <w:tc>
          <w:tcPr>
            <w:tcW w:w="431" w:type="pct"/>
            <w:tcBorders>
              <w:top w:val="nil"/>
              <w:left w:val="single" w:sz="4" w:space="0" w:color="auto"/>
              <w:bottom w:val="nil"/>
              <w:right w:val="single" w:sz="4" w:space="0" w:color="auto"/>
            </w:tcBorders>
            <w:shd w:val="clear" w:color="auto" w:fill="auto"/>
            <w:noWrap/>
            <w:vAlign w:val="center"/>
            <w:hideMark/>
          </w:tcPr>
          <w:p w14:paraId="5196A275" w14:textId="52EB5E1D"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441,9</w:t>
            </w:r>
          </w:p>
        </w:tc>
        <w:tc>
          <w:tcPr>
            <w:tcW w:w="431" w:type="pct"/>
            <w:tcBorders>
              <w:top w:val="nil"/>
              <w:left w:val="nil"/>
              <w:bottom w:val="nil"/>
              <w:right w:val="nil"/>
            </w:tcBorders>
            <w:shd w:val="clear" w:color="auto" w:fill="auto"/>
            <w:noWrap/>
            <w:vAlign w:val="center"/>
            <w:hideMark/>
          </w:tcPr>
          <w:p w14:paraId="1AE333CE" w14:textId="7F71E71D"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467,1</w:t>
            </w:r>
          </w:p>
        </w:tc>
        <w:tc>
          <w:tcPr>
            <w:tcW w:w="409" w:type="pct"/>
            <w:tcBorders>
              <w:top w:val="nil"/>
              <w:left w:val="single" w:sz="4" w:space="0" w:color="auto"/>
              <w:bottom w:val="nil"/>
              <w:right w:val="single" w:sz="4" w:space="0" w:color="auto"/>
            </w:tcBorders>
            <w:shd w:val="clear" w:color="auto" w:fill="auto"/>
            <w:noWrap/>
            <w:vAlign w:val="center"/>
            <w:hideMark/>
          </w:tcPr>
          <w:p w14:paraId="194727DA" w14:textId="017D1E12" w:rsidR="00BD7F4E" w:rsidRPr="00BD7F4E" w:rsidRDefault="00BD7F4E" w:rsidP="00BD7F4E">
            <w:pPr>
              <w:jc w:val="right"/>
              <w:rPr>
                <w:rFonts w:ascii="Calibri" w:eastAsia="Times New Roman" w:hAnsi="Calibri" w:cs="Calibri"/>
                <w:color w:val="000000"/>
                <w:sz w:val="18"/>
                <w:szCs w:val="18"/>
                <w:lang w:eastAsia="nl-BE"/>
              </w:rPr>
            </w:pPr>
            <w:r w:rsidRPr="00BD7F4E">
              <w:rPr>
                <w:rFonts w:ascii="Calibri" w:hAnsi="Calibri" w:cs="Calibri"/>
                <w:color w:val="000000"/>
                <w:sz w:val="18"/>
                <w:szCs w:val="18"/>
              </w:rPr>
              <w:t>56,6</w:t>
            </w:r>
          </w:p>
        </w:tc>
        <w:tc>
          <w:tcPr>
            <w:tcW w:w="455" w:type="pct"/>
            <w:tcBorders>
              <w:top w:val="nil"/>
              <w:left w:val="nil"/>
              <w:bottom w:val="nil"/>
              <w:right w:val="single" w:sz="4" w:space="0" w:color="auto"/>
            </w:tcBorders>
            <w:shd w:val="clear" w:color="auto" w:fill="auto"/>
            <w:noWrap/>
            <w:vAlign w:val="center"/>
            <w:hideMark/>
          </w:tcPr>
          <w:p w14:paraId="59D08AA5" w14:textId="24EFA9D8" w:rsidR="00BD7F4E" w:rsidRPr="00BD7F4E" w:rsidRDefault="00BD7F4E" w:rsidP="00BD7F4E">
            <w:pPr>
              <w:jc w:val="right"/>
              <w:rPr>
                <w:rFonts w:ascii="Calibri" w:eastAsia="Times New Roman" w:hAnsi="Calibri" w:cs="Calibri"/>
                <w:color w:val="000000"/>
                <w:sz w:val="18"/>
                <w:szCs w:val="18"/>
                <w:lang w:eastAsia="nl-BE"/>
              </w:rPr>
            </w:pPr>
            <w:r w:rsidRPr="00BD7F4E">
              <w:rPr>
                <w:rFonts w:ascii="Calibri" w:hAnsi="Calibri" w:cs="Calibri"/>
                <w:color w:val="000000"/>
                <w:sz w:val="18"/>
                <w:szCs w:val="18"/>
              </w:rPr>
              <w:t>13,78%</w:t>
            </w:r>
          </w:p>
        </w:tc>
        <w:tc>
          <w:tcPr>
            <w:tcW w:w="409" w:type="pct"/>
            <w:tcBorders>
              <w:top w:val="nil"/>
              <w:left w:val="nil"/>
              <w:bottom w:val="nil"/>
              <w:right w:val="single" w:sz="4" w:space="0" w:color="auto"/>
            </w:tcBorders>
            <w:shd w:val="clear" w:color="auto" w:fill="auto"/>
            <w:noWrap/>
            <w:vAlign w:val="center"/>
            <w:hideMark/>
          </w:tcPr>
          <w:p w14:paraId="3063BB7A" w14:textId="35260FA2" w:rsidR="00BD7F4E" w:rsidRPr="00BD7F4E" w:rsidRDefault="00BD7F4E" w:rsidP="00BD7F4E">
            <w:pPr>
              <w:jc w:val="right"/>
              <w:rPr>
                <w:rFonts w:ascii="Calibri" w:eastAsia="Times New Roman" w:hAnsi="Calibri" w:cs="Calibri"/>
                <w:color w:val="000000"/>
                <w:sz w:val="18"/>
                <w:szCs w:val="18"/>
                <w:lang w:eastAsia="nl-BE"/>
              </w:rPr>
            </w:pPr>
            <w:r w:rsidRPr="00BD7F4E">
              <w:rPr>
                <w:rFonts w:ascii="Calibri" w:hAnsi="Calibri" w:cs="Calibri"/>
                <w:color w:val="000000"/>
                <w:sz w:val="18"/>
                <w:szCs w:val="18"/>
              </w:rPr>
              <w:t>25,2</w:t>
            </w:r>
          </w:p>
        </w:tc>
        <w:tc>
          <w:tcPr>
            <w:tcW w:w="407" w:type="pct"/>
            <w:tcBorders>
              <w:top w:val="nil"/>
              <w:left w:val="nil"/>
              <w:bottom w:val="nil"/>
              <w:right w:val="single" w:sz="4" w:space="0" w:color="auto"/>
            </w:tcBorders>
            <w:shd w:val="clear" w:color="auto" w:fill="auto"/>
            <w:noWrap/>
            <w:vAlign w:val="center"/>
            <w:hideMark/>
          </w:tcPr>
          <w:p w14:paraId="7D1C017F" w14:textId="0010B6B3" w:rsidR="00BD7F4E" w:rsidRPr="00BD7F4E" w:rsidRDefault="00BD7F4E" w:rsidP="00BD7F4E">
            <w:pPr>
              <w:jc w:val="right"/>
              <w:rPr>
                <w:rFonts w:ascii="Calibri" w:eastAsia="Times New Roman" w:hAnsi="Calibri" w:cs="Calibri"/>
                <w:color w:val="000000"/>
                <w:sz w:val="18"/>
                <w:szCs w:val="18"/>
                <w:lang w:eastAsia="nl-BE"/>
              </w:rPr>
            </w:pPr>
            <w:r w:rsidRPr="00BD7F4E">
              <w:rPr>
                <w:rFonts w:ascii="Calibri" w:hAnsi="Calibri" w:cs="Calibri"/>
                <w:color w:val="000000"/>
                <w:sz w:val="18"/>
                <w:szCs w:val="18"/>
              </w:rPr>
              <w:t>5,7%</w:t>
            </w:r>
          </w:p>
        </w:tc>
      </w:tr>
      <w:tr w:rsidR="00BD7F4E" w:rsidRPr="0040191A" w14:paraId="683C5B09" w14:textId="77777777" w:rsidTr="003B3329">
        <w:trPr>
          <w:trHeight w:val="290"/>
        </w:trPr>
        <w:tc>
          <w:tcPr>
            <w:tcW w:w="2025" w:type="pct"/>
            <w:tcBorders>
              <w:top w:val="nil"/>
              <w:left w:val="single" w:sz="4" w:space="0" w:color="auto"/>
              <w:bottom w:val="nil"/>
              <w:right w:val="nil"/>
            </w:tcBorders>
            <w:shd w:val="clear" w:color="auto" w:fill="auto"/>
            <w:noWrap/>
            <w:vAlign w:val="center"/>
            <w:hideMark/>
          </w:tcPr>
          <w:p w14:paraId="5CA3D7FD" w14:textId="58372878" w:rsidR="00BD7F4E" w:rsidRPr="0040191A" w:rsidRDefault="00BD7F4E" w:rsidP="00BD7F4E">
            <w:pPr>
              <w:jc w:val="right"/>
              <w:rPr>
                <w:rFonts w:ascii="Calibri" w:eastAsia="Times New Roman" w:hAnsi="Calibri" w:cs="Calibri"/>
                <w:i/>
                <w:iCs/>
                <w:color w:val="000000"/>
                <w:sz w:val="18"/>
                <w:szCs w:val="18"/>
                <w:lang w:eastAsia="nl-BE"/>
              </w:rPr>
            </w:pPr>
            <w:r w:rsidRPr="003B3329">
              <w:rPr>
                <w:rFonts w:ascii="Calibri" w:hAnsi="Calibri" w:cs="Calibri"/>
                <w:i/>
                <w:iCs/>
                <w:color w:val="000000"/>
                <w:sz w:val="18"/>
                <w:szCs w:val="18"/>
              </w:rPr>
              <w:t>Dienstencheques</w:t>
            </w:r>
          </w:p>
        </w:tc>
        <w:tc>
          <w:tcPr>
            <w:tcW w:w="431" w:type="pct"/>
            <w:tcBorders>
              <w:top w:val="nil"/>
              <w:left w:val="single" w:sz="4" w:space="0" w:color="auto"/>
              <w:bottom w:val="nil"/>
              <w:right w:val="single" w:sz="4" w:space="0" w:color="auto"/>
            </w:tcBorders>
            <w:shd w:val="clear" w:color="auto" w:fill="auto"/>
            <w:noWrap/>
            <w:vAlign w:val="center"/>
            <w:hideMark/>
          </w:tcPr>
          <w:p w14:paraId="14A1FEE5" w14:textId="0483730A"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1.237,6</w:t>
            </w:r>
          </w:p>
        </w:tc>
        <w:tc>
          <w:tcPr>
            <w:tcW w:w="431" w:type="pct"/>
            <w:tcBorders>
              <w:top w:val="nil"/>
              <w:left w:val="single" w:sz="4" w:space="0" w:color="auto"/>
              <w:bottom w:val="nil"/>
              <w:right w:val="single" w:sz="4" w:space="0" w:color="auto"/>
            </w:tcBorders>
            <w:shd w:val="clear" w:color="auto" w:fill="auto"/>
            <w:noWrap/>
            <w:vAlign w:val="center"/>
            <w:hideMark/>
          </w:tcPr>
          <w:p w14:paraId="25BC65F1" w14:textId="6F8E8E57"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1.227,4</w:t>
            </w:r>
          </w:p>
        </w:tc>
        <w:tc>
          <w:tcPr>
            <w:tcW w:w="431" w:type="pct"/>
            <w:tcBorders>
              <w:top w:val="nil"/>
              <w:left w:val="nil"/>
              <w:bottom w:val="nil"/>
              <w:right w:val="nil"/>
            </w:tcBorders>
            <w:shd w:val="clear" w:color="auto" w:fill="auto"/>
            <w:noWrap/>
            <w:vAlign w:val="center"/>
            <w:hideMark/>
          </w:tcPr>
          <w:p w14:paraId="479FA4B8" w14:textId="175629FC"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1.225,7</w:t>
            </w:r>
          </w:p>
        </w:tc>
        <w:tc>
          <w:tcPr>
            <w:tcW w:w="409" w:type="pct"/>
            <w:tcBorders>
              <w:top w:val="nil"/>
              <w:left w:val="single" w:sz="4" w:space="0" w:color="auto"/>
              <w:bottom w:val="nil"/>
              <w:right w:val="single" w:sz="4" w:space="0" w:color="auto"/>
            </w:tcBorders>
            <w:shd w:val="clear" w:color="auto" w:fill="auto"/>
            <w:noWrap/>
            <w:vAlign w:val="center"/>
            <w:hideMark/>
          </w:tcPr>
          <w:p w14:paraId="527EFC56" w14:textId="02C9A365" w:rsidR="00BD7F4E" w:rsidRPr="00BD7F4E" w:rsidRDefault="00BD7F4E" w:rsidP="00BD7F4E">
            <w:pPr>
              <w:jc w:val="right"/>
              <w:rPr>
                <w:rFonts w:ascii="Calibri" w:eastAsia="Times New Roman" w:hAnsi="Calibri" w:cs="Calibri"/>
                <w:color w:val="000000"/>
                <w:sz w:val="18"/>
                <w:szCs w:val="18"/>
                <w:lang w:eastAsia="nl-BE"/>
              </w:rPr>
            </w:pPr>
            <w:r w:rsidRPr="00BD7F4E">
              <w:rPr>
                <w:rFonts w:ascii="Calibri" w:hAnsi="Calibri" w:cs="Calibri"/>
                <w:color w:val="000000"/>
                <w:sz w:val="18"/>
                <w:szCs w:val="18"/>
              </w:rPr>
              <w:t>-11,9</w:t>
            </w:r>
          </w:p>
        </w:tc>
        <w:tc>
          <w:tcPr>
            <w:tcW w:w="455" w:type="pct"/>
            <w:tcBorders>
              <w:top w:val="nil"/>
              <w:left w:val="nil"/>
              <w:bottom w:val="nil"/>
              <w:right w:val="single" w:sz="4" w:space="0" w:color="auto"/>
            </w:tcBorders>
            <w:shd w:val="clear" w:color="auto" w:fill="auto"/>
            <w:noWrap/>
            <w:vAlign w:val="center"/>
            <w:hideMark/>
          </w:tcPr>
          <w:p w14:paraId="6CA352BF" w14:textId="40C15A9D" w:rsidR="00BD7F4E" w:rsidRPr="00BD7F4E" w:rsidRDefault="00BD7F4E" w:rsidP="00BD7F4E">
            <w:pPr>
              <w:jc w:val="right"/>
              <w:rPr>
                <w:rFonts w:ascii="Calibri" w:eastAsia="Times New Roman" w:hAnsi="Calibri" w:cs="Calibri"/>
                <w:color w:val="000000"/>
                <w:sz w:val="18"/>
                <w:szCs w:val="18"/>
                <w:lang w:eastAsia="nl-BE"/>
              </w:rPr>
            </w:pPr>
            <w:r w:rsidRPr="00BD7F4E">
              <w:rPr>
                <w:rFonts w:ascii="Calibri" w:hAnsi="Calibri" w:cs="Calibri"/>
                <w:color w:val="000000"/>
                <w:sz w:val="18"/>
                <w:szCs w:val="18"/>
              </w:rPr>
              <w:t>-0,96%</w:t>
            </w:r>
          </w:p>
        </w:tc>
        <w:tc>
          <w:tcPr>
            <w:tcW w:w="409" w:type="pct"/>
            <w:tcBorders>
              <w:top w:val="nil"/>
              <w:left w:val="nil"/>
              <w:bottom w:val="nil"/>
              <w:right w:val="single" w:sz="4" w:space="0" w:color="auto"/>
            </w:tcBorders>
            <w:shd w:val="clear" w:color="auto" w:fill="auto"/>
            <w:noWrap/>
            <w:vAlign w:val="center"/>
            <w:hideMark/>
          </w:tcPr>
          <w:p w14:paraId="50AA4B9E" w14:textId="1C00445D" w:rsidR="00BD7F4E" w:rsidRPr="00BD7F4E" w:rsidRDefault="00BD7F4E" w:rsidP="00BD7F4E">
            <w:pPr>
              <w:jc w:val="right"/>
              <w:rPr>
                <w:rFonts w:ascii="Calibri" w:eastAsia="Times New Roman" w:hAnsi="Calibri" w:cs="Calibri"/>
                <w:color w:val="000000"/>
                <w:sz w:val="18"/>
                <w:szCs w:val="18"/>
                <w:lang w:eastAsia="nl-BE"/>
              </w:rPr>
            </w:pPr>
            <w:r w:rsidRPr="00BD7F4E">
              <w:rPr>
                <w:rFonts w:ascii="Calibri" w:hAnsi="Calibri" w:cs="Calibri"/>
                <w:color w:val="000000"/>
                <w:sz w:val="18"/>
                <w:szCs w:val="18"/>
              </w:rPr>
              <w:t>-1,8</w:t>
            </w:r>
          </w:p>
        </w:tc>
        <w:tc>
          <w:tcPr>
            <w:tcW w:w="407" w:type="pct"/>
            <w:tcBorders>
              <w:top w:val="nil"/>
              <w:left w:val="nil"/>
              <w:bottom w:val="nil"/>
              <w:right w:val="single" w:sz="4" w:space="0" w:color="auto"/>
            </w:tcBorders>
            <w:shd w:val="clear" w:color="auto" w:fill="auto"/>
            <w:noWrap/>
            <w:vAlign w:val="center"/>
            <w:hideMark/>
          </w:tcPr>
          <w:p w14:paraId="3023CB55" w14:textId="54B55C1C" w:rsidR="00BD7F4E" w:rsidRPr="00BD7F4E" w:rsidRDefault="00BD7F4E" w:rsidP="00BD7F4E">
            <w:pPr>
              <w:jc w:val="right"/>
              <w:rPr>
                <w:rFonts w:ascii="Calibri" w:eastAsia="Times New Roman" w:hAnsi="Calibri" w:cs="Calibri"/>
                <w:color w:val="000000"/>
                <w:sz w:val="18"/>
                <w:szCs w:val="18"/>
                <w:lang w:eastAsia="nl-BE"/>
              </w:rPr>
            </w:pPr>
            <w:r w:rsidRPr="00BD7F4E">
              <w:rPr>
                <w:rFonts w:ascii="Calibri" w:hAnsi="Calibri" w:cs="Calibri"/>
                <w:color w:val="000000"/>
                <w:sz w:val="18"/>
                <w:szCs w:val="18"/>
              </w:rPr>
              <w:t>-0,1%</w:t>
            </w:r>
          </w:p>
        </w:tc>
      </w:tr>
      <w:tr w:rsidR="00BD7F4E" w:rsidRPr="0040191A" w14:paraId="49572546" w14:textId="77777777" w:rsidTr="003B3329">
        <w:trPr>
          <w:trHeight w:val="290"/>
        </w:trPr>
        <w:tc>
          <w:tcPr>
            <w:tcW w:w="2025" w:type="pct"/>
            <w:tcBorders>
              <w:top w:val="nil"/>
              <w:left w:val="single" w:sz="4" w:space="0" w:color="auto"/>
              <w:bottom w:val="nil"/>
              <w:right w:val="nil"/>
            </w:tcBorders>
            <w:shd w:val="clear" w:color="auto" w:fill="auto"/>
            <w:noWrap/>
            <w:vAlign w:val="center"/>
            <w:hideMark/>
          </w:tcPr>
          <w:p w14:paraId="6E7D5C55" w14:textId="3C3EC943" w:rsidR="00BD7F4E" w:rsidRPr="0040191A" w:rsidRDefault="00BD7F4E" w:rsidP="00BD7F4E">
            <w:pPr>
              <w:jc w:val="right"/>
              <w:rPr>
                <w:rFonts w:ascii="Calibri" w:eastAsia="Times New Roman" w:hAnsi="Calibri" w:cs="Calibri"/>
                <w:i/>
                <w:iCs/>
                <w:color w:val="000000"/>
                <w:sz w:val="18"/>
                <w:szCs w:val="18"/>
                <w:lang w:eastAsia="nl-BE"/>
              </w:rPr>
            </w:pPr>
            <w:r w:rsidRPr="003B3329">
              <w:rPr>
                <w:rFonts w:ascii="Calibri" w:hAnsi="Calibri" w:cs="Calibri"/>
                <w:i/>
                <w:iCs/>
                <w:color w:val="000000"/>
                <w:sz w:val="18"/>
                <w:szCs w:val="18"/>
              </w:rPr>
              <w:t>Renovatiepremie</w:t>
            </w:r>
          </w:p>
        </w:tc>
        <w:tc>
          <w:tcPr>
            <w:tcW w:w="431" w:type="pct"/>
            <w:tcBorders>
              <w:top w:val="nil"/>
              <w:left w:val="single" w:sz="4" w:space="0" w:color="auto"/>
              <w:bottom w:val="nil"/>
              <w:right w:val="single" w:sz="4" w:space="0" w:color="auto"/>
            </w:tcBorders>
            <w:shd w:val="clear" w:color="auto" w:fill="auto"/>
            <w:noWrap/>
            <w:vAlign w:val="center"/>
            <w:hideMark/>
          </w:tcPr>
          <w:p w14:paraId="5A4C1094" w14:textId="070C7217"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83,1</w:t>
            </w:r>
          </w:p>
        </w:tc>
        <w:tc>
          <w:tcPr>
            <w:tcW w:w="431" w:type="pct"/>
            <w:tcBorders>
              <w:top w:val="nil"/>
              <w:left w:val="single" w:sz="4" w:space="0" w:color="auto"/>
              <w:bottom w:val="nil"/>
              <w:right w:val="single" w:sz="4" w:space="0" w:color="auto"/>
            </w:tcBorders>
            <w:shd w:val="clear" w:color="auto" w:fill="auto"/>
            <w:noWrap/>
            <w:vAlign w:val="center"/>
            <w:hideMark/>
          </w:tcPr>
          <w:p w14:paraId="3324E697" w14:textId="19D14E93"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46,1</w:t>
            </w:r>
          </w:p>
        </w:tc>
        <w:tc>
          <w:tcPr>
            <w:tcW w:w="431" w:type="pct"/>
            <w:tcBorders>
              <w:top w:val="nil"/>
              <w:left w:val="nil"/>
              <w:bottom w:val="nil"/>
              <w:right w:val="nil"/>
            </w:tcBorders>
            <w:shd w:val="clear" w:color="auto" w:fill="auto"/>
            <w:noWrap/>
            <w:vAlign w:val="center"/>
            <w:hideMark/>
          </w:tcPr>
          <w:p w14:paraId="29AF0D1E" w14:textId="1E4882E9"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42,8</w:t>
            </w:r>
          </w:p>
        </w:tc>
        <w:tc>
          <w:tcPr>
            <w:tcW w:w="409" w:type="pct"/>
            <w:tcBorders>
              <w:top w:val="nil"/>
              <w:left w:val="single" w:sz="4" w:space="0" w:color="auto"/>
              <w:bottom w:val="nil"/>
              <w:right w:val="single" w:sz="4" w:space="0" w:color="auto"/>
            </w:tcBorders>
            <w:shd w:val="clear" w:color="auto" w:fill="auto"/>
            <w:noWrap/>
            <w:vAlign w:val="center"/>
            <w:hideMark/>
          </w:tcPr>
          <w:p w14:paraId="3B96FEB5" w14:textId="5B6EDB46" w:rsidR="00BD7F4E" w:rsidRPr="00BD7F4E" w:rsidRDefault="00BD7F4E" w:rsidP="00BD7F4E">
            <w:pPr>
              <w:jc w:val="right"/>
              <w:rPr>
                <w:rFonts w:ascii="Calibri" w:eastAsia="Times New Roman" w:hAnsi="Calibri" w:cs="Calibri"/>
                <w:color w:val="000000"/>
                <w:sz w:val="18"/>
                <w:szCs w:val="18"/>
                <w:lang w:eastAsia="nl-BE"/>
              </w:rPr>
            </w:pPr>
            <w:r w:rsidRPr="00BD7F4E">
              <w:rPr>
                <w:rFonts w:ascii="Calibri" w:hAnsi="Calibri" w:cs="Calibri"/>
                <w:color w:val="000000"/>
                <w:sz w:val="18"/>
                <w:szCs w:val="18"/>
              </w:rPr>
              <w:t>-40,3</w:t>
            </w:r>
          </w:p>
        </w:tc>
        <w:tc>
          <w:tcPr>
            <w:tcW w:w="455" w:type="pct"/>
            <w:tcBorders>
              <w:top w:val="nil"/>
              <w:left w:val="nil"/>
              <w:bottom w:val="nil"/>
              <w:right w:val="single" w:sz="4" w:space="0" w:color="auto"/>
            </w:tcBorders>
            <w:shd w:val="clear" w:color="auto" w:fill="auto"/>
            <w:noWrap/>
            <w:vAlign w:val="center"/>
            <w:hideMark/>
          </w:tcPr>
          <w:p w14:paraId="2AB6322F" w14:textId="74004B06" w:rsidR="00BD7F4E" w:rsidRPr="00BD7F4E" w:rsidRDefault="00BD7F4E" w:rsidP="00BD7F4E">
            <w:pPr>
              <w:jc w:val="right"/>
              <w:rPr>
                <w:rFonts w:ascii="Calibri" w:eastAsia="Times New Roman" w:hAnsi="Calibri" w:cs="Calibri"/>
                <w:color w:val="000000"/>
                <w:sz w:val="18"/>
                <w:szCs w:val="18"/>
                <w:lang w:eastAsia="nl-BE"/>
              </w:rPr>
            </w:pPr>
            <w:r w:rsidRPr="00BD7F4E">
              <w:rPr>
                <w:rFonts w:ascii="Calibri" w:hAnsi="Calibri" w:cs="Calibri"/>
                <w:color w:val="000000"/>
                <w:sz w:val="18"/>
                <w:szCs w:val="18"/>
              </w:rPr>
              <w:t>-48,48%</w:t>
            </w:r>
          </w:p>
        </w:tc>
        <w:tc>
          <w:tcPr>
            <w:tcW w:w="409" w:type="pct"/>
            <w:tcBorders>
              <w:top w:val="nil"/>
              <w:left w:val="nil"/>
              <w:bottom w:val="nil"/>
              <w:right w:val="single" w:sz="4" w:space="0" w:color="auto"/>
            </w:tcBorders>
            <w:shd w:val="clear" w:color="auto" w:fill="auto"/>
            <w:noWrap/>
            <w:vAlign w:val="center"/>
            <w:hideMark/>
          </w:tcPr>
          <w:p w14:paraId="2AAFF30B" w14:textId="3E0E878F" w:rsidR="00BD7F4E" w:rsidRPr="00BD7F4E" w:rsidRDefault="00BD7F4E" w:rsidP="00BD7F4E">
            <w:pPr>
              <w:jc w:val="right"/>
              <w:rPr>
                <w:rFonts w:ascii="Calibri" w:eastAsia="Times New Roman" w:hAnsi="Calibri" w:cs="Calibri"/>
                <w:color w:val="000000"/>
                <w:sz w:val="18"/>
                <w:szCs w:val="18"/>
                <w:lang w:eastAsia="nl-BE"/>
              </w:rPr>
            </w:pPr>
            <w:r w:rsidRPr="00BD7F4E">
              <w:rPr>
                <w:rFonts w:ascii="Calibri" w:hAnsi="Calibri" w:cs="Calibri"/>
                <w:color w:val="000000"/>
                <w:sz w:val="18"/>
                <w:szCs w:val="18"/>
              </w:rPr>
              <w:t>-3,3</w:t>
            </w:r>
          </w:p>
        </w:tc>
        <w:tc>
          <w:tcPr>
            <w:tcW w:w="407" w:type="pct"/>
            <w:tcBorders>
              <w:top w:val="nil"/>
              <w:left w:val="nil"/>
              <w:bottom w:val="nil"/>
              <w:right w:val="single" w:sz="4" w:space="0" w:color="auto"/>
            </w:tcBorders>
            <w:shd w:val="clear" w:color="auto" w:fill="auto"/>
            <w:noWrap/>
            <w:vAlign w:val="center"/>
            <w:hideMark/>
          </w:tcPr>
          <w:p w14:paraId="3B0BA8CA" w14:textId="38028F27" w:rsidR="00BD7F4E" w:rsidRPr="00BD7F4E" w:rsidRDefault="00BD7F4E" w:rsidP="00BD7F4E">
            <w:pPr>
              <w:jc w:val="right"/>
              <w:rPr>
                <w:rFonts w:ascii="Calibri" w:eastAsia="Times New Roman" w:hAnsi="Calibri" w:cs="Calibri"/>
                <w:color w:val="000000"/>
                <w:sz w:val="18"/>
                <w:szCs w:val="18"/>
                <w:lang w:eastAsia="nl-BE"/>
              </w:rPr>
            </w:pPr>
            <w:r w:rsidRPr="00BD7F4E">
              <w:rPr>
                <w:rFonts w:ascii="Calibri" w:hAnsi="Calibri" w:cs="Calibri"/>
                <w:color w:val="000000"/>
                <w:sz w:val="18"/>
                <w:szCs w:val="18"/>
              </w:rPr>
              <w:t>-7,1%</w:t>
            </w:r>
          </w:p>
        </w:tc>
      </w:tr>
      <w:tr w:rsidR="00BD7F4E" w:rsidRPr="0040191A" w14:paraId="74A314F5" w14:textId="77777777" w:rsidTr="003B3329">
        <w:trPr>
          <w:trHeight w:val="290"/>
        </w:trPr>
        <w:tc>
          <w:tcPr>
            <w:tcW w:w="2025" w:type="pct"/>
            <w:tcBorders>
              <w:top w:val="nil"/>
              <w:left w:val="single" w:sz="4" w:space="0" w:color="auto"/>
              <w:bottom w:val="nil"/>
              <w:right w:val="nil"/>
            </w:tcBorders>
            <w:shd w:val="clear" w:color="auto" w:fill="auto"/>
            <w:noWrap/>
            <w:vAlign w:val="center"/>
            <w:hideMark/>
          </w:tcPr>
          <w:p w14:paraId="2F3DCABE" w14:textId="0FA450CE" w:rsidR="00BD7F4E" w:rsidRPr="0040191A" w:rsidRDefault="00BD7F4E" w:rsidP="00BD7F4E">
            <w:pPr>
              <w:jc w:val="right"/>
              <w:rPr>
                <w:rFonts w:ascii="Calibri" w:eastAsia="Times New Roman" w:hAnsi="Calibri" w:cs="Calibri"/>
                <w:i/>
                <w:iCs/>
                <w:color w:val="000000"/>
                <w:sz w:val="18"/>
                <w:szCs w:val="18"/>
                <w:lang w:eastAsia="nl-BE"/>
              </w:rPr>
            </w:pPr>
            <w:r w:rsidRPr="003B3329">
              <w:rPr>
                <w:rFonts w:ascii="Calibri" w:hAnsi="Calibri" w:cs="Calibri"/>
                <w:i/>
                <w:iCs/>
                <w:color w:val="000000"/>
                <w:sz w:val="18"/>
                <w:szCs w:val="18"/>
              </w:rPr>
              <w:t>Huurpremie en Huursubsidie</w:t>
            </w:r>
          </w:p>
        </w:tc>
        <w:tc>
          <w:tcPr>
            <w:tcW w:w="431" w:type="pct"/>
            <w:tcBorders>
              <w:top w:val="nil"/>
              <w:left w:val="single" w:sz="4" w:space="0" w:color="auto"/>
              <w:bottom w:val="nil"/>
              <w:right w:val="single" w:sz="4" w:space="0" w:color="auto"/>
            </w:tcBorders>
            <w:shd w:val="clear" w:color="auto" w:fill="auto"/>
            <w:noWrap/>
            <w:vAlign w:val="center"/>
            <w:hideMark/>
          </w:tcPr>
          <w:p w14:paraId="7097AC78" w14:textId="441B8372"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81,4</w:t>
            </w:r>
          </w:p>
        </w:tc>
        <w:tc>
          <w:tcPr>
            <w:tcW w:w="431" w:type="pct"/>
            <w:tcBorders>
              <w:top w:val="nil"/>
              <w:left w:val="single" w:sz="4" w:space="0" w:color="auto"/>
              <w:bottom w:val="nil"/>
              <w:right w:val="single" w:sz="4" w:space="0" w:color="auto"/>
            </w:tcBorders>
            <w:shd w:val="clear" w:color="auto" w:fill="auto"/>
            <w:noWrap/>
            <w:vAlign w:val="center"/>
            <w:hideMark/>
          </w:tcPr>
          <w:p w14:paraId="05C06272" w14:textId="6AAD7535"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67,9</w:t>
            </w:r>
          </w:p>
        </w:tc>
        <w:tc>
          <w:tcPr>
            <w:tcW w:w="431" w:type="pct"/>
            <w:tcBorders>
              <w:top w:val="nil"/>
              <w:left w:val="nil"/>
              <w:bottom w:val="nil"/>
              <w:right w:val="nil"/>
            </w:tcBorders>
            <w:shd w:val="clear" w:color="auto" w:fill="auto"/>
            <w:noWrap/>
            <w:vAlign w:val="center"/>
            <w:hideMark/>
          </w:tcPr>
          <w:p w14:paraId="408D63CA" w14:textId="29488D3B"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66,6</w:t>
            </w:r>
          </w:p>
        </w:tc>
        <w:tc>
          <w:tcPr>
            <w:tcW w:w="409" w:type="pct"/>
            <w:tcBorders>
              <w:top w:val="nil"/>
              <w:left w:val="single" w:sz="4" w:space="0" w:color="auto"/>
              <w:bottom w:val="nil"/>
              <w:right w:val="single" w:sz="4" w:space="0" w:color="auto"/>
            </w:tcBorders>
            <w:shd w:val="clear" w:color="auto" w:fill="auto"/>
            <w:noWrap/>
            <w:vAlign w:val="center"/>
            <w:hideMark/>
          </w:tcPr>
          <w:p w14:paraId="0B3A14F4" w14:textId="5479F1B1" w:rsidR="00BD7F4E" w:rsidRPr="00BD7F4E" w:rsidRDefault="00BD7F4E" w:rsidP="00BD7F4E">
            <w:pPr>
              <w:jc w:val="right"/>
              <w:rPr>
                <w:rFonts w:ascii="Calibri" w:eastAsia="Times New Roman" w:hAnsi="Calibri" w:cs="Calibri"/>
                <w:color w:val="000000"/>
                <w:sz w:val="18"/>
                <w:szCs w:val="18"/>
                <w:lang w:eastAsia="nl-BE"/>
              </w:rPr>
            </w:pPr>
            <w:r w:rsidRPr="00BD7F4E">
              <w:rPr>
                <w:rFonts w:ascii="Calibri" w:hAnsi="Calibri" w:cs="Calibri"/>
                <w:color w:val="000000"/>
                <w:sz w:val="18"/>
                <w:szCs w:val="18"/>
              </w:rPr>
              <w:t>-14,8</w:t>
            </w:r>
          </w:p>
        </w:tc>
        <w:tc>
          <w:tcPr>
            <w:tcW w:w="455" w:type="pct"/>
            <w:tcBorders>
              <w:top w:val="nil"/>
              <w:left w:val="nil"/>
              <w:bottom w:val="nil"/>
              <w:right w:val="single" w:sz="4" w:space="0" w:color="auto"/>
            </w:tcBorders>
            <w:shd w:val="clear" w:color="auto" w:fill="auto"/>
            <w:noWrap/>
            <w:vAlign w:val="center"/>
            <w:hideMark/>
          </w:tcPr>
          <w:p w14:paraId="4E427C94" w14:textId="7AA18BDE" w:rsidR="00BD7F4E" w:rsidRPr="00BD7F4E" w:rsidRDefault="00BD7F4E" w:rsidP="00BD7F4E">
            <w:pPr>
              <w:jc w:val="right"/>
              <w:rPr>
                <w:rFonts w:ascii="Calibri" w:eastAsia="Times New Roman" w:hAnsi="Calibri" w:cs="Calibri"/>
                <w:color w:val="000000"/>
                <w:sz w:val="18"/>
                <w:szCs w:val="18"/>
                <w:lang w:eastAsia="nl-BE"/>
              </w:rPr>
            </w:pPr>
            <w:r w:rsidRPr="00BD7F4E">
              <w:rPr>
                <w:rFonts w:ascii="Calibri" w:hAnsi="Calibri" w:cs="Calibri"/>
                <w:color w:val="000000"/>
                <w:sz w:val="18"/>
                <w:szCs w:val="18"/>
              </w:rPr>
              <w:t>-18,24%</w:t>
            </w:r>
          </w:p>
        </w:tc>
        <w:tc>
          <w:tcPr>
            <w:tcW w:w="409" w:type="pct"/>
            <w:tcBorders>
              <w:top w:val="nil"/>
              <w:left w:val="nil"/>
              <w:bottom w:val="nil"/>
              <w:right w:val="single" w:sz="4" w:space="0" w:color="auto"/>
            </w:tcBorders>
            <w:shd w:val="clear" w:color="auto" w:fill="auto"/>
            <w:noWrap/>
            <w:vAlign w:val="center"/>
            <w:hideMark/>
          </w:tcPr>
          <w:p w14:paraId="67B20C7C" w14:textId="19306377" w:rsidR="00BD7F4E" w:rsidRPr="00BD7F4E" w:rsidRDefault="00BD7F4E" w:rsidP="00BD7F4E">
            <w:pPr>
              <w:jc w:val="right"/>
              <w:rPr>
                <w:rFonts w:ascii="Calibri" w:eastAsia="Times New Roman" w:hAnsi="Calibri" w:cs="Calibri"/>
                <w:color w:val="000000"/>
                <w:sz w:val="18"/>
                <w:szCs w:val="18"/>
                <w:lang w:eastAsia="nl-BE"/>
              </w:rPr>
            </w:pPr>
            <w:r w:rsidRPr="00BD7F4E">
              <w:rPr>
                <w:rFonts w:ascii="Calibri" w:hAnsi="Calibri" w:cs="Calibri"/>
                <w:color w:val="000000"/>
                <w:sz w:val="18"/>
                <w:szCs w:val="18"/>
              </w:rPr>
              <w:t>-1,3</w:t>
            </w:r>
          </w:p>
        </w:tc>
        <w:tc>
          <w:tcPr>
            <w:tcW w:w="407" w:type="pct"/>
            <w:tcBorders>
              <w:top w:val="nil"/>
              <w:left w:val="nil"/>
              <w:bottom w:val="nil"/>
              <w:right w:val="single" w:sz="4" w:space="0" w:color="auto"/>
            </w:tcBorders>
            <w:shd w:val="clear" w:color="auto" w:fill="auto"/>
            <w:noWrap/>
            <w:vAlign w:val="center"/>
            <w:hideMark/>
          </w:tcPr>
          <w:p w14:paraId="3495DF44" w14:textId="5ADD306A" w:rsidR="00BD7F4E" w:rsidRPr="00BD7F4E" w:rsidRDefault="00BD7F4E" w:rsidP="00BD7F4E">
            <w:pPr>
              <w:jc w:val="right"/>
              <w:rPr>
                <w:rFonts w:ascii="Calibri" w:eastAsia="Times New Roman" w:hAnsi="Calibri" w:cs="Calibri"/>
                <w:color w:val="000000"/>
                <w:sz w:val="18"/>
                <w:szCs w:val="18"/>
                <w:lang w:eastAsia="nl-BE"/>
              </w:rPr>
            </w:pPr>
            <w:r w:rsidRPr="00BD7F4E">
              <w:rPr>
                <w:rFonts w:ascii="Calibri" w:hAnsi="Calibri" w:cs="Calibri"/>
                <w:color w:val="000000"/>
                <w:sz w:val="18"/>
                <w:szCs w:val="18"/>
              </w:rPr>
              <w:t>-2,0%</w:t>
            </w:r>
          </w:p>
        </w:tc>
      </w:tr>
      <w:tr w:rsidR="00BD7F4E" w:rsidRPr="0040191A" w14:paraId="550220DA" w14:textId="77777777" w:rsidTr="00687650">
        <w:trPr>
          <w:trHeight w:val="290"/>
        </w:trPr>
        <w:tc>
          <w:tcPr>
            <w:tcW w:w="2025" w:type="pct"/>
            <w:tcBorders>
              <w:top w:val="nil"/>
              <w:left w:val="single" w:sz="4" w:space="0" w:color="auto"/>
              <w:bottom w:val="nil"/>
              <w:right w:val="nil"/>
            </w:tcBorders>
            <w:shd w:val="clear" w:color="auto" w:fill="auto"/>
            <w:noWrap/>
            <w:vAlign w:val="center"/>
            <w:hideMark/>
          </w:tcPr>
          <w:p w14:paraId="2F67F25E" w14:textId="23626D5C" w:rsidR="00BD7F4E" w:rsidRPr="0040191A" w:rsidRDefault="00BD7F4E" w:rsidP="00BD7F4E">
            <w:pPr>
              <w:jc w:val="right"/>
              <w:rPr>
                <w:rFonts w:ascii="Calibri" w:eastAsia="Times New Roman" w:hAnsi="Calibri" w:cs="Calibri"/>
                <w:i/>
                <w:iCs/>
                <w:color w:val="000000"/>
                <w:sz w:val="18"/>
                <w:szCs w:val="18"/>
                <w:lang w:eastAsia="nl-BE"/>
              </w:rPr>
            </w:pPr>
            <w:r w:rsidRPr="003B3329">
              <w:rPr>
                <w:rFonts w:ascii="Calibri" w:hAnsi="Calibri" w:cs="Calibri"/>
                <w:i/>
                <w:iCs/>
                <w:color w:val="000000"/>
                <w:sz w:val="18"/>
                <w:szCs w:val="18"/>
              </w:rPr>
              <w:t>Andere</w:t>
            </w:r>
          </w:p>
        </w:tc>
        <w:tc>
          <w:tcPr>
            <w:tcW w:w="431" w:type="pct"/>
            <w:tcBorders>
              <w:top w:val="nil"/>
              <w:left w:val="single" w:sz="4" w:space="0" w:color="auto"/>
              <w:bottom w:val="nil"/>
              <w:right w:val="nil"/>
            </w:tcBorders>
            <w:shd w:val="clear" w:color="auto" w:fill="auto"/>
            <w:noWrap/>
            <w:vAlign w:val="center"/>
            <w:hideMark/>
          </w:tcPr>
          <w:p w14:paraId="41C9C143" w14:textId="3058B84B"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12.868,3</w:t>
            </w:r>
          </w:p>
        </w:tc>
        <w:tc>
          <w:tcPr>
            <w:tcW w:w="431" w:type="pct"/>
            <w:tcBorders>
              <w:top w:val="nil"/>
              <w:left w:val="single" w:sz="4" w:space="0" w:color="auto"/>
              <w:bottom w:val="nil"/>
              <w:right w:val="nil"/>
            </w:tcBorders>
            <w:shd w:val="clear" w:color="auto" w:fill="auto"/>
            <w:noWrap/>
            <w:vAlign w:val="center"/>
            <w:hideMark/>
          </w:tcPr>
          <w:p w14:paraId="7407FB42" w14:textId="41E385E0"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12.534,9</w:t>
            </w:r>
          </w:p>
        </w:tc>
        <w:tc>
          <w:tcPr>
            <w:tcW w:w="431" w:type="pct"/>
            <w:tcBorders>
              <w:top w:val="nil"/>
              <w:left w:val="single" w:sz="4" w:space="0" w:color="auto"/>
              <w:bottom w:val="nil"/>
              <w:right w:val="nil"/>
            </w:tcBorders>
            <w:shd w:val="clear" w:color="auto" w:fill="auto"/>
            <w:noWrap/>
            <w:vAlign w:val="center"/>
            <w:hideMark/>
          </w:tcPr>
          <w:p w14:paraId="713EFD99" w14:textId="4C63B5C7"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12.487,8</w:t>
            </w:r>
          </w:p>
        </w:tc>
        <w:tc>
          <w:tcPr>
            <w:tcW w:w="409" w:type="pct"/>
            <w:tcBorders>
              <w:top w:val="nil"/>
              <w:left w:val="single" w:sz="4" w:space="0" w:color="auto"/>
              <w:bottom w:val="single" w:sz="4" w:space="0" w:color="auto"/>
              <w:right w:val="single" w:sz="4" w:space="0" w:color="auto"/>
            </w:tcBorders>
            <w:shd w:val="clear" w:color="auto" w:fill="auto"/>
            <w:noWrap/>
            <w:vAlign w:val="center"/>
            <w:hideMark/>
          </w:tcPr>
          <w:p w14:paraId="1893C2B5" w14:textId="6F3897B7" w:rsidR="00BD7F4E" w:rsidRPr="00BD7F4E" w:rsidRDefault="00BD7F4E" w:rsidP="00BD7F4E">
            <w:pPr>
              <w:jc w:val="right"/>
              <w:rPr>
                <w:rFonts w:ascii="Calibri" w:eastAsia="Times New Roman" w:hAnsi="Calibri" w:cs="Calibri"/>
                <w:color w:val="000000"/>
                <w:sz w:val="18"/>
                <w:szCs w:val="18"/>
                <w:lang w:eastAsia="nl-BE"/>
              </w:rPr>
            </w:pPr>
            <w:r w:rsidRPr="00BD7F4E">
              <w:rPr>
                <w:rFonts w:ascii="Calibri" w:hAnsi="Calibri" w:cs="Calibri"/>
                <w:color w:val="000000"/>
                <w:sz w:val="18"/>
                <w:szCs w:val="18"/>
              </w:rPr>
              <w:t>-380,6</w:t>
            </w:r>
          </w:p>
        </w:tc>
        <w:tc>
          <w:tcPr>
            <w:tcW w:w="455" w:type="pct"/>
            <w:tcBorders>
              <w:top w:val="nil"/>
              <w:left w:val="nil"/>
              <w:bottom w:val="single" w:sz="4" w:space="0" w:color="auto"/>
              <w:right w:val="single" w:sz="4" w:space="0" w:color="auto"/>
            </w:tcBorders>
            <w:shd w:val="clear" w:color="auto" w:fill="auto"/>
            <w:noWrap/>
            <w:vAlign w:val="center"/>
            <w:hideMark/>
          </w:tcPr>
          <w:p w14:paraId="77A1516C" w14:textId="380ACCE6" w:rsidR="00BD7F4E" w:rsidRPr="00BD7F4E" w:rsidRDefault="00BD7F4E" w:rsidP="00BD7F4E">
            <w:pPr>
              <w:jc w:val="right"/>
              <w:rPr>
                <w:rFonts w:ascii="Calibri" w:eastAsia="Times New Roman" w:hAnsi="Calibri" w:cs="Calibri"/>
                <w:color w:val="000000"/>
                <w:sz w:val="18"/>
                <w:szCs w:val="18"/>
                <w:lang w:eastAsia="nl-BE"/>
              </w:rPr>
            </w:pPr>
            <w:r w:rsidRPr="00BD7F4E">
              <w:rPr>
                <w:rFonts w:ascii="Calibri" w:hAnsi="Calibri" w:cs="Calibri"/>
                <w:color w:val="000000"/>
                <w:sz w:val="18"/>
                <w:szCs w:val="18"/>
              </w:rPr>
              <w:t>-2,96%</w:t>
            </w:r>
          </w:p>
        </w:tc>
        <w:tc>
          <w:tcPr>
            <w:tcW w:w="409" w:type="pct"/>
            <w:tcBorders>
              <w:top w:val="nil"/>
              <w:left w:val="nil"/>
              <w:bottom w:val="single" w:sz="4" w:space="0" w:color="auto"/>
              <w:right w:val="single" w:sz="4" w:space="0" w:color="auto"/>
            </w:tcBorders>
            <w:shd w:val="clear" w:color="auto" w:fill="auto"/>
            <w:noWrap/>
            <w:vAlign w:val="center"/>
            <w:hideMark/>
          </w:tcPr>
          <w:p w14:paraId="02BD9ADE" w14:textId="2B8B8E58" w:rsidR="00BD7F4E" w:rsidRPr="00BD7F4E" w:rsidRDefault="00BD7F4E" w:rsidP="00BD7F4E">
            <w:pPr>
              <w:jc w:val="right"/>
              <w:rPr>
                <w:rFonts w:ascii="Calibri" w:eastAsia="Times New Roman" w:hAnsi="Calibri" w:cs="Calibri"/>
                <w:color w:val="000000"/>
                <w:sz w:val="18"/>
                <w:szCs w:val="18"/>
                <w:lang w:eastAsia="nl-BE"/>
              </w:rPr>
            </w:pPr>
            <w:r w:rsidRPr="00BD7F4E">
              <w:rPr>
                <w:rFonts w:ascii="Calibri" w:hAnsi="Calibri" w:cs="Calibri"/>
                <w:color w:val="000000"/>
                <w:sz w:val="18"/>
                <w:szCs w:val="18"/>
              </w:rPr>
              <w:t>-47,1</w:t>
            </w:r>
          </w:p>
        </w:tc>
        <w:tc>
          <w:tcPr>
            <w:tcW w:w="407" w:type="pct"/>
            <w:tcBorders>
              <w:top w:val="nil"/>
              <w:left w:val="nil"/>
              <w:bottom w:val="single" w:sz="4" w:space="0" w:color="auto"/>
              <w:right w:val="single" w:sz="4" w:space="0" w:color="auto"/>
            </w:tcBorders>
            <w:shd w:val="clear" w:color="auto" w:fill="auto"/>
            <w:noWrap/>
            <w:vAlign w:val="center"/>
            <w:hideMark/>
          </w:tcPr>
          <w:p w14:paraId="3EEAE93A" w14:textId="77D062DD" w:rsidR="00BD7F4E" w:rsidRPr="00BD7F4E" w:rsidRDefault="00BD7F4E" w:rsidP="00BD7F4E">
            <w:pPr>
              <w:jc w:val="right"/>
              <w:rPr>
                <w:rFonts w:ascii="Calibri" w:eastAsia="Times New Roman" w:hAnsi="Calibri" w:cs="Calibri"/>
                <w:color w:val="000000"/>
                <w:sz w:val="18"/>
                <w:szCs w:val="18"/>
                <w:lang w:eastAsia="nl-BE"/>
              </w:rPr>
            </w:pPr>
            <w:r w:rsidRPr="00BD7F4E">
              <w:rPr>
                <w:rFonts w:ascii="Calibri" w:hAnsi="Calibri" w:cs="Calibri"/>
                <w:color w:val="000000"/>
                <w:sz w:val="18"/>
                <w:szCs w:val="18"/>
              </w:rPr>
              <w:t>-0,4%</w:t>
            </w:r>
          </w:p>
        </w:tc>
      </w:tr>
      <w:tr w:rsidR="00BD7F4E" w:rsidRPr="0040191A" w14:paraId="70E4AA14" w14:textId="77777777" w:rsidTr="00687650">
        <w:trPr>
          <w:trHeight w:val="290"/>
        </w:trPr>
        <w:tc>
          <w:tcPr>
            <w:tcW w:w="2025" w:type="pct"/>
            <w:tcBorders>
              <w:top w:val="single" w:sz="4" w:space="0" w:color="auto"/>
              <w:left w:val="single" w:sz="4" w:space="0" w:color="auto"/>
              <w:bottom w:val="single" w:sz="4" w:space="0" w:color="auto"/>
              <w:right w:val="nil"/>
            </w:tcBorders>
            <w:shd w:val="clear" w:color="auto" w:fill="auto"/>
            <w:noWrap/>
            <w:vAlign w:val="center"/>
            <w:hideMark/>
          </w:tcPr>
          <w:p w14:paraId="4DB32050" w14:textId="77777777" w:rsidR="00BD7F4E" w:rsidRPr="0040191A" w:rsidRDefault="00BD7F4E" w:rsidP="00BD7F4E">
            <w:pPr>
              <w:rPr>
                <w:rFonts w:ascii="Calibri" w:eastAsia="Times New Roman" w:hAnsi="Calibri" w:cs="Calibri"/>
                <w:b/>
                <w:bCs/>
                <w:color w:val="000000"/>
                <w:sz w:val="18"/>
                <w:szCs w:val="18"/>
                <w:lang w:eastAsia="nl-BE"/>
              </w:rPr>
            </w:pPr>
            <w:r w:rsidRPr="0040191A">
              <w:rPr>
                <w:rFonts w:ascii="Calibri" w:eastAsia="Times New Roman" w:hAnsi="Calibri" w:cs="Calibri"/>
                <w:b/>
                <w:bCs/>
                <w:color w:val="000000"/>
                <w:sz w:val="18"/>
                <w:szCs w:val="18"/>
                <w:lang w:eastAsia="nl-BE"/>
              </w:rPr>
              <w:t>Uitg. Alg. Begroting</w:t>
            </w:r>
          </w:p>
        </w:tc>
        <w:tc>
          <w:tcPr>
            <w:tcW w:w="4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EB8416" w14:textId="5C87C25D" w:rsidR="00BD7F4E" w:rsidRPr="00BD7F4E" w:rsidRDefault="00BD7F4E" w:rsidP="00BD7F4E">
            <w:pPr>
              <w:jc w:val="right"/>
              <w:rPr>
                <w:rFonts w:ascii="Calibri" w:eastAsia="Times New Roman" w:hAnsi="Calibri" w:cs="Calibri"/>
                <w:b/>
                <w:bCs/>
                <w:color w:val="000000"/>
                <w:sz w:val="18"/>
                <w:szCs w:val="18"/>
                <w:lang w:eastAsia="nl-BE"/>
              </w:rPr>
            </w:pPr>
            <w:r w:rsidRPr="00BD7F4E">
              <w:rPr>
                <w:rFonts w:ascii="Calibri" w:hAnsi="Calibri" w:cs="Calibri"/>
                <w:b/>
                <w:bCs/>
                <w:color w:val="000000"/>
                <w:sz w:val="18"/>
                <w:szCs w:val="18"/>
              </w:rPr>
              <w:t>23.518,3</w:t>
            </w:r>
          </w:p>
        </w:tc>
        <w:tc>
          <w:tcPr>
            <w:tcW w:w="4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3736D4" w14:textId="10BD124E" w:rsidR="00BD7F4E" w:rsidRPr="00BD7F4E" w:rsidRDefault="00BD7F4E" w:rsidP="00BD7F4E">
            <w:pPr>
              <w:jc w:val="right"/>
              <w:rPr>
                <w:rFonts w:ascii="Calibri" w:eastAsia="Times New Roman" w:hAnsi="Calibri" w:cs="Calibri"/>
                <w:b/>
                <w:bCs/>
                <w:color w:val="000000"/>
                <w:sz w:val="18"/>
                <w:szCs w:val="18"/>
                <w:lang w:eastAsia="nl-BE"/>
              </w:rPr>
            </w:pPr>
            <w:r w:rsidRPr="00BD7F4E">
              <w:rPr>
                <w:rFonts w:ascii="Calibri" w:hAnsi="Calibri" w:cs="Calibri"/>
                <w:b/>
                <w:bCs/>
                <w:color w:val="000000"/>
                <w:sz w:val="18"/>
                <w:szCs w:val="18"/>
              </w:rPr>
              <w:t>23.167,6</w:t>
            </w:r>
          </w:p>
        </w:tc>
        <w:tc>
          <w:tcPr>
            <w:tcW w:w="431" w:type="pct"/>
            <w:tcBorders>
              <w:top w:val="single" w:sz="4" w:space="0" w:color="auto"/>
              <w:left w:val="nil"/>
              <w:bottom w:val="single" w:sz="4" w:space="0" w:color="auto"/>
              <w:right w:val="single" w:sz="4" w:space="0" w:color="auto"/>
            </w:tcBorders>
            <w:shd w:val="clear" w:color="auto" w:fill="auto"/>
            <w:noWrap/>
            <w:vAlign w:val="center"/>
            <w:hideMark/>
          </w:tcPr>
          <w:p w14:paraId="723F4026" w14:textId="38C509C3" w:rsidR="00BD7F4E" w:rsidRPr="00BD7F4E" w:rsidRDefault="00BD7F4E" w:rsidP="00BD7F4E">
            <w:pPr>
              <w:jc w:val="right"/>
              <w:rPr>
                <w:rFonts w:ascii="Calibri" w:eastAsia="Times New Roman" w:hAnsi="Calibri" w:cs="Calibri"/>
                <w:b/>
                <w:bCs/>
                <w:color w:val="000000"/>
                <w:sz w:val="18"/>
                <w:szCs w:val="18"/>
                <w:lang w:eastAsia="nl-BE"/>
              </w:rPr>
            </w:pPr>
            <w:r w:rsidRPr="00BD7F4E">
              <w:rPr>
                <w:rFonts w:ascii="Calibri" w:hAnsi="Calibri" w:cs="Calibri"/>
                <w:b/>
                <w:bCs/>
                <w:color w:val="000000"/>
                <w:sz w:val="18"/>
                <w:szCs w:val="18"/>
              </w:rPr>
              <w:t>23.104,4</w:t>
            </w:r>
          </w:p>
        </w:tc>
        <w:tc>
          <w:tcPr>
            <w:tcW w:w="409" w:type="pct"/>
            <w:tcBorders>
              <w:top w:val="nil"/>
              <w:left w:val="nil"/>
              <w:bottom w:val="single" w:sz="4" w:space="0" w:color="auto"/>
              <w:right w:val="single" w:sz="4" w:space="0" w:color="auto"/>
            </w:tcBorders>
            <w:shd w:val="clear" w:color="auto" w:fill="auto"/>
            <w:noWrap/>
            <w:vAlign w:val="center"/>
            <w:hideMark/>
          </w:tcPr>
          <w:p w14:paraId="7F8CE989" w14:textId="7AA8120B" w:rsidR="00BD7F4E" w:rsidRPr="00BD7F4E" w:rsidRDefault="00BD7F4E" w:rsidP="00BD7F4E">
            <w:pPr>
              <w:jc w:val="right"/>
              <w:rPr>
                <w:rFonts w:ascii="Calibri" w:eastAsia="Times New Roman" w:hAnsi="Calibri" w:cs="Calibri"/>
                <w:b/>
                <w:bCs/>
                <w:color w:val="000000"/>
                <w:sz w:val="18"/>
                <w:szCs w:val="18"/>
                <w:lang w:eastAsia="nl-BE"/>
              </w:rPr>
            </w:pPr>
            <w:r w:rsidRPr="00BD7F4E">
              <w:rPr>
                <w:rFonts w:ascii="Calibri" w:hAnsi="Calibri" w:cs="Calibri"/>
                <w:b/>
                <w:bCs/>
                <w:color w:val="000000"/>
                <w:sz w:val="18"/>
                <w:szCs w:val="18"/>
              </w:rPr>
              <w:t>-413,9</w:t>
            </w:r>
          </w:p>
        </w:tc>
        <w:tc>
          <w:tcPr>
            <w:tcW w:w="455" w:type="pct"/>
            <w:tcBorders>
              <w:top w:val="nil"/>
              <w:left w:val="nil"/>
              <w:bottom w:val="single" w:sz="4" w:space="0" w:color="auto"/>
              <w:right w:val="single" w:sz="4" w:space="0" w:color="auto"/>
            </w:tcBorders>
            <w:shd w:val="clear" w:color="auto" w:fill="auto"/>
            <w:noWrap/>
            <w:vAlign w:val="center"/>
            <w:hideMark/>
          </w:tcPr>
          <w:p w14:paraId="5BE83729" w14:textId="6A6547A3" w:rsidR="00BD7F4E" w:rsidRPr="00BD7F4E" w:rsidRDefault="00BD7F4E" w:rsidP="00BD7F4E">
            <w:pPr>
              <w:jc w:val="right"/>
              <w:rPr>
                <w:rFonts w:ascii="Calibri" w:eastAsia="Times New Roman" w:hAnsi="Calibri" w:cs="Calibri"/>
                <w:b/>
                <w:bCs/>
                <w:color w:val="000000"/>
                <w:sz w:val="18"/>
                <w:szCs w:val="18"/>
                <w:lang w:eastAsia="nl-BE"/>
              </w:rPr>
            </w:pPr>
            <w:r w:rsidRPr="00BD7F4E">
              <w:rPr>
                <w:rFonts w:ascii="Calibri" w:hAnsi="Calibri" w:cs="Calibri"/>
                <w:b/>
                <w:bCs/>
                <w:color w:val="000000"/>
                <w:sz w:val="18"/>
                <w:szCs w:val="18"/>
              </w:rPr>
              <w:t>-1,8%</w:t>
            </w:r>
          </w:p>
        </w:tc>
        <w:tc>
          <w:tcPr>
            <w:tcW w:w="409" w:type="pct"/>
            <w:tcBorders>
              <w:top w:val="single" w:sz="4" w:space="0" w:color="auto"/>
              <w:left w:val="nil"/>
              <w:bottom w:val="single" w:sz="4" w:space="0" w:color="auto"/>
              <w:right w:val="single" w:sz="4" w:space="0" w:color="auto"/>
            </w:tcBorders>
            <w:shd w:val="clear" w:color="auto" w:fill="auto"/>
            <w:noWrap/>
            <w:vAlign w:val="center"/>
            <w:hideMark/>
          </w:tcPr>
          <w:p w14:paraId="76990C9D" w14:textId="4D299A2C" w:rsidR="00BD7F4E" w:rsidRPr="00BD7F4E" w:rsidRDefault="00BD7F4E" w:rsidP="00BD7F4E">
            <w:pPr>
              <w:jc w:val="right"/>
              <w:rPr>
                <w:rFonts w:ascii="Calibri" w:eastAsia="Times New Roman" w:hAnsi="Calibri" w:cs="Calibri"/>
                <w:b/>
                <w:bCs/>
                <w:color w:val="000000"/>
                <w:sz w:val="18"/>
                <w:szCs w:val="18"/>
                <w:lang w:eastAsia="nl-BE"/>
              </w:rPr>
            </w:pPr>
            <w:r w:rsidRPr="00BD7F4E">
              <w:rPr>
                <w:rFonts w:ascii="Calibri" w:hAnsi="Calibri" w:cs="Calibri"/>
                <w:b/>
                <w:bCs/>
                <w:color w:val="000000"/>
                <w:sz w:val="18"/>
                <w:szCs w:val="18"/>
              </w:rPr>
              <w:t>-63,2</w:t>
            </w:r>
          </w:p>
        </w:tc>
        <w:tc>
          <w:tcPr>
            <w:tcW w:w="407" w:type="pct"/>
            <w:tcBorders>
              <w:top w:val="nil"/>
              <w:left w:val="single" w:sz="4" w:space="0" w:color="auto"/>
              <w:bottom w:val="single" w:sz="4" w:space="0" w:color="auto"/>
              <w:right w:val="single" w:sz="4" w:space="0" w:color="auto"/>
            </w:tcBorders>
            <w:shd w:val="clear" w:color="auto" w:fill="auto"/>
            <w:noWrap/>
            <w:vAlign w:val="center"/>
            <w:hideMark/>
          </w:tcPr>
          <w:p w14:paraId="6885D260" w14:textId="083E71BB" w:rsidR="00BD7F4E" w:rsidRPr="00BD7F4E" w:rsidRDefault="00BD7F4E" w:rsidP="00BD7F4E">
            <w:pPr>
              <w:jc w:val="right"/>
              <w:rPr>
                <w:rFonts w:ascii="Calibri" w:eastAsia="Times New Roman" w:hAnsi="Calibri" w:cs="Calibri"/>
                <w:b/>
                <w:bCs/>
                <w:color w:val="000000"/>
                <w:sz w:val="18"/>
                <w:szCs w:val="18"/>
                <w:lang w:eastAsia="nl-BE"/>
              </w:rPr>
            </w:pPr>
            <w:r w:rsidRPr="00BD7F4E">
              <w:rPr>
                <w:rFonts w:ascii="Calibri" w:hAnsi="Calibri" w:cs="Calibri"/>
                <w:b/>
                <w:bCs/>
                <w:color w:val="000000"/>
                <w:sz w:val="18"/>
                <w:szCs w:val="18"/>
              </w:rPr>
              <w:t>-0,3%</w:t>
            </w:r>
          </w:p>
        </w:tc>
      </w:tr>
      <w:tr w:rsidR="00BD7F4E" w:rsidRPr="0040191A" w14:paraId="432E1E45" w14:textId="77777777" w:rsidTr="003B3329">
        <w:trPr>
          <w:trHeight w:val="290"/>
        </w:trPr>
        <w:tc>
          <w:tcPr>
            <w:tcW w:w="2025" w:type="pct"/>
            <w:tcBorders>
              <w:top w:val="nil"/>
              <w:left w:val="single" w:sz="4" w:space="0" w:color="auto"/>
              <w:bottom w:val="nil"/>
              <w:right w:val="nil"/>
            </w:tcBorders>
            <w:shd w:val="clear" w:color="auto" w:fill="auto"/>
            <w:noWrap/>
            <w:vAlign w:val="center"/>
            <w:hideMark/>
          </w:tcPr>
          <w:p w14:paraId="0F5DAF1D" w14:textId="77777777" w:rsidR="00BD7F4E" w:rsidRPr="0040191A" w:rsidRDefault="00BD7F4E" w:rsidP="00BD7F4E">
            <w:pPr>
              <w:jc w:val="right"/>
              <w:rPr>
                <w:rFonts w:ascii="Calibri" w:eastAsia="Times New Roman" w:hAnsi="Calibri" w:cs="Calibri"/>
                <w:i/>
                <w:iCs/>
                <w:color w:val="000000"/>
                <w:sz w:val="18"/>
                <w:szCs w:val="18"/>
                <w:lang w:eastAsia="nl-BE"/>
              </w:rPr>
            </w:pPr>
            <w:r w:rsidRPr="0040191A">
              <w:rPr>
                <w:rFonts w:ascii="Calibri" w:eastAsia="Times New Roman" w:hAnsi="Calibri" w:cs="Calibri"/>
                <w:i/>
                <w:iCs/>
                <w:color w:val="000000"/>
                <w:sz w:val="18"/>
                <w:szCs w:val="18"/>
                <w:lang w:eastAsia="nl-BE"/>
              </w:rPr>
              <w:t>VIF</w:t>
            </w:r>
          </w:p>
        </w:tc>
        <w:tc>
          <w:tcPr>
            <w:tcW w:w="431" w:type="pct"/>
            <w:tcBorders>
              <w:top w:val="nil"/>
              <w:left w:val="single" w:sz="4" w:space="0" w:color="auto"/>
              <w:bottom w:val="nil"/>
              <w:right w:val="single" w:sz="4" w:space="0" w:color="auto"/>
            </w:tcBorders>
            <w:shd w:val="clear" w:color="auto" w:fill="auto"/>
            <w:noWrap/>
            <w:vAlign w:val="center"/>
            <w:hideMark/>
          </w:tcPr>
          <w:p w14:paraId="1813AA1A" w14:textId="66195895"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743,3</w:t>
            </w:r>
          </w:p>
        </w:tc>
        <w:tc>
          <w:tcPr>
            <w:tcW w:w="431" w:type="pct"/>
            <w:tcBorders>
              <w:top w:val="nil"/>
              <w:left w:val="single" w:sz="4" w:space="0" w:color="auto"/>
              <w:bottom w:val="nil"/>
              <w:right w:val="single" w:sz="4" w:space="0" w:color="auto"/>
            </w:tcBorders>
            <w:shd w:val="clear" w:color="auto" w:fill="auto"/>
            <w:noWrap/>
            <w:vAlign w:val="center"/>
            <w:hideMark/>
          </w:tcPr>
          <w:p w14:paraId="4571749F" w14:textId="3942F8B9"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700,9</w:t>
            </w:r>
          </w:p>
        </w:tc>
        <w:tc>
          <w:tcPr>
            <w:tcW w:w="431" w:type="pct"/>
            <w:tcBorders>
              <w:top w:val="nil"/>
              <w:left w:val="nil"/>
              <w:bottom w:val="nil"/>
              <w:right w:val="single" w:sz="4" w:space="0" w:color="auto"/>
            </w:tcBorders>
            <w:shd w:val="clear" w:color="auto" w:fill="auto"/>
            <w:noWrap/>
            <w:vAlign w:val="center"/>
            <w:hideMark/>
          </w:tcPr>
          <w:p w14:paraId="2C93D50D" w14:textId="697F28BE"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698,8</w:t>
            </w:r>
          </w:p>
        </w:tc>
        <w:tc>
          <w:tcPr>
            <w:tcW w:w="409" w:type="pct"/>
            <w:tcBorders>
              <w:top w:val="nil"/>
              <w:left w:val="nil"/>
              <w:bottom w:val="nil"/>
              <w:right w:val="single" w:sz="4" w:space="0" w:color="auto"/>
            </w:tcBorders>
            <w:shd w:val="clear" w:color="auto" w:fill="auto"/>
            <w:noWrap/>
            <w:vAlign w:val="center"/>
            <w:hideMark/>
          </w:tcPr>
          <w:p w14:paraId="3E610CAB" w14:textId="2A700E4D"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-44,5</w:t>
            </w:r>
          </w:p>
        </w:tc>
        <w:tc>
          <w:tcPr>
            <w:tcW w:w="455" w:type="pct"/>
            <w:tcBorders>
              <w:top w:val="nil"/>
              <w:left w:val="nil"/>
              <w:bottom w:val="nil"/>
              <w:right w:val="single" w:sz="4" w:space="0" w:color="auto"/>
            </w:tcBorders>
            <w:shd w:val="clear" w:color="auto" w:fill="auto"/>
            <w:noWrap/>
            <w:vAlign w:val="center"/>
            <w:hideMark/>
          </w:tcPr>
          <w:p w14:paraId="2C2FD7C3" w14:textId="0E16C8BE"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-6,0%</w:t>
            </w:r>
          </w:p>
        </w:tc>
        <w:tc>
          <w:tcPr>
            <w:tcW w:w="409" w:type="pct"/>
            <w:tcBorders>
              <w:top w:val="nil"/>
              <w:left w:val="nil"/>
              <w:bottom w:val="nil"/>
              <w:right w:val="single" w:sz="4" w:space="0" w:color="auto"/>
            </w:tcBorders>
            <w:shd w:val="clear" w:color="auto" w:fill="auto"/>
            <w:noWrap/>
            <w:vAlign w:val="center"/>
            <w:hideMark/>
          </w:tcPr>
          <w:p w14:paraId="42750CEF" w14:textId="2D509962"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-2,0</w:t>
            </w:r>
          </w:p>
        </w:tc>
        <w:tc>
          <w:tcPr>
            <w:tcW w:w="407" w:type="pct"/>
            <w:tcBorders>
              <w:top w:val="nil"/>
              <w:left w:val="nil"/>
              <w:bottom w:val="nil"/>
              <w:right w:val="single" w:sz="4" w:space="0" w:color="auto"/>
            </w:tcBorders>
            <w:shd w:val="clear" w:color="auto" w:fill="auto"/>
            <w:noWrap/>
            <w:vAlign w:val="center"/>
            <w:hideMark/>
          </w:tcPr>
          <w:p w14:paraId="1F7E1667" w14:textId="446D00D9"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-0,3%</w:t>
            </w:r>
          </w:p>
        </w:tc>
      </w:tr>
      <w:tr w:rsidR="00BD7F4E" w:rsidRPr="0040191A" w14:paraId="0AB947CD" w14:textId="77777777" w:rsidTr="003B3329">
        <w:trPr>
          <w:trHeight w:val="290"/>
        </w:trPr>
        <w:tc>
          <w:tcPr>
            <w:tcW w:w="2025" w:type="pct"/>
            <w:tcBorders>
              <w:top w:val="nil"/>
              <w:left w:val="single" w:sz="4" w:space="0" w:color="auto"/>
              <w:bottom w:val="nil"/>
              <w:right w:val="nil"/>
            </w:tcBorders>
            <w:shd w:val="clear" w:color="auto" w:fill="auto"/>
            <w:noWrap/>
            <w:vAlign w:val="center"/>
            <w:hideMark/>
          </w:tcPr>
          <w:p w14:paraId="5B4C2763" w14:textId="77777777" w:rsidR="00BD7F4E" w:rsidRPr="0040191A" w:rsidRDefault="00BD7F4E" w:rsidP="00BD7F4E">
            <w:pPr>
              <w:jc w:val="right"/>
              <w:rPr>
                <w:rFonts w:ascii="Calibri" w:eastAsia="Times New Roman" w:hAnsi="Calibri" w:cs="Calibri"/>
                <w:i/>
                <w:iCs/>
                <w:color w:val="000000"/>
                <w:sz w:val="18"/>
                <w:szCs w:val="18"/>
                <w:lang w:eastAsia="nl-BE"/>
              </w:rPr>
            </w:pPr>
            <w:r w:rsidRPr="0040191A">
              <w:rPr>
                <w:rFonts w:ascii="Calibri" w:eastAsia="Times New Roman" w:hAnsi="Calibri" w:cs="Calibri"/>
                <w:i/>
                <w:iCs/>
                <w:color w:val="000000"/>
                <w:sz w:val="18"/>
                <w:szCs w:val="18"/>
                <w:lang w:eastAsia="nl-BE"/>
              </w:rPr>
              <w:t>Mina</w:t>
            </w:r>
          </w:p>
        </w:tc>
        <w:tc>
          <w:tcPr>
            <w:tcW w:w="431" w:type="pct"/>
            <w:tcBorders>
              <w:top w:val="nil"/>
              <w:left w:val="single" w:sz="4" w:space="0" w:color="auto"/>
              <w:bottom w:val="nil"/>
              <w:right w:val="single" w:sz="4" w:space="0" w:color="auto"/>
            </w:tcBorders>
            <w:shd w:val="clear" w:color="auto" w:fill="auto"/>
            <w:noWrap/>
            <w:vAlign w:val="center"/>
            <w:hideMark/>
          </w:tcPr>
          <w:p w14:paraId="138FF781" w14:textId="675ED2D9"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349,5</w:t>
            </w:r>
          </w:p>
        </w:tc>
        <w:tc>
          <w:tcPr>
            <w:tcW w:w="431" w:type="pct"/>
            <w:tcBorders>
              <w:top w:val="nil"/>
              <w:left w:val="single" w:sz="4" w:space="0" w:color="auto"/>
              <w:bottom w:val="nil"/>
              <w:right w:val="single" w:sz="4" w:space="0" w:color="auto"/>
            </w:tcBorders>
            <w:shd w:val="clear" w:color="auto" w:fill="auto"/>
            <w:noWrap/>
            <w:vAlign w:val="center"/>
            <w:hideMark/>
          </w:tcPr>
          <w:p w14:paraId="1516D0FB" w14:textId="10155485"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348,1</w:t>
            </w:r>
          </w:p>
        </w:tc>
        <w:tc>
          <w:tcPr>
            <w:tcW w:w="431" w:type="pct"/>
            <w:tcBorders>
              <w:top w:val="nil"/>
              <w:left w:val="nil"/>
              <w:bottom w:val="nil"/>
              <w:right w:val="single" w:sz="4" w:space="0" w:color="auto"/>
            </w:tcBorders>
            <w:shd w:val="clear" w:color="auto" w:fill="auto"/>
            <w:noWrap/>
            <w:vAlign w:val="center"/>
            <w:hideMark/>
          </w:tcPr>
          <w:p w14:paraId="275BDABE" w14:textId="5B861935"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401,4</w:t>
            </w:r>
          </w:p>
        </w:tc>
        <w:tc>
          <w:tcPr>
            <w:tcW w:w="409" w:type="pct"/>
            <w:tcBorders>
              <w:top w:val="nil"/>
              <w:left w:val="nil"/>
              <w:bottom w:val="nil"/>
              <w:right w:val="single" w:sz="4" w:space="0" w:color="auto"/>
            </w:tcBorders>
            <w:shd w:val="clear" w:color="auto" w:fill="auto"/>
            <w:noWrap/>
            <w:vAlign w:val="center"/>
            <w:hideMark/>
          </w:tcPr>
          <w:p w14:paraId="09E36F49" w14:textId="0DA0F1D2"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51,9</w:t>
            </w:r>
          </w:p>
        </w:tc>
        <w:tc>
          <w:tcPr>
            <w:tcW w:w="455" w:type="pct"/>
            <w:tcBorders>
              <w:top w:val="nil"/>
              <w:left w:val="nil"/>
              <w:bottom w:val="nil"/>
              <w:right w:val="single" w:sz="4" w:space="0" w:color="auto"/>
            </w:tcBorders>
            <w:shd w:val="clear" w:color="auto" w:fill="auto"/>
            <w:noWrap/>
            <w:vAlign w:val="center"/>
            <w:hideMark/>
          </w:tcPr>
          <w:p w14:paraId="75310933" w14:textId="6034E298"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14,8%</w:t>
            </w:r>
          </w:p>
        </w:tc>
        <w:tc>
          <w:tcPr>
            <w:tcW w:w="409" w:type="pct"/>
            <w:tcBorders>
              <w:top w:val="nil"/>
              <w:left w:val="nil"/>
              <w:bottom w:val="nil"/>
              <w:right w:val="single" w:sz="4" w:space="0" w:color="auto"/>
            </w:tcBorders>
            <w:shd w:val="clear" w:color="auto" w:fill="auto"/>
            <w:noWrap/>
            <w:vAlign w:val="center"/>
            <w:hideMark/>
          </w:tcPr>
          <w:p w14:paraId="753AE6E1" w14:textId="74657330"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53,4</w:t>
            </w:r>
          </w:p>
        </w:tc>
        <w:tc>
          <w:tcPr>
            <w:tcW w:w="407" w:type="pct"/>
            <w:tcBorders>
              <w:top w:val="nil"/>
              <w:left w:val="nil"/>
              <w:bottom w:val="nil"/>
              <w:right w:val="single" w:sz="4" w:space="0" w:color="auto"/>
            </w:tcBorders>
            <w:shd w:val="clear" w:color="auto" w:fill="auto"/>
            <w:noWrap/>
            <w:vAlign w:val="center"/>
            <w:hideMark/>
          </w:tcPr>
          <w:p w14:paraId="6FB84198" w14:textId="02F9EF40"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15,3%</w:t>
            </w:r>
          </w:p>
        </w:tc>
      </w:tr>
      <w:tr w:rsidR="00BD7F4E" w:rsidRPr="0040191A" w14:paraId="284AF822" w14:textId="77777777" w:rsidTr="003B3329">
        <w:trPr>
          <w:trHeight w:val="290"/>
        </w:trPr>
        <w:tc>
          <w:tcPr>
            <w:tcW w:w="2025" w:type="pct"/>
            <w:tcBorders>
              <w:top w:val="nil"/>
              <w:left w:val="single" w:sz="4" w:space="0" w:color="auto"/>
              <w:bottom w:val="nil"/>
              <w:right w:val="nil"/>
            </w:tcBorders>
            <w:shd w:val="clear" w:color="auto" w:fill="auto"/>
            <w:noWrap/>
            <w:vAlign w:val="center"/>
            <w:hideMark/>
          </w:tcPr>
          <w:p w14:paraId="01044663" w14:textId="77777777" w:rsidR="00BD7F4E" w:rsidRPr="0040191A" w:rsidRDefault="00BD7F4E" w:rsidP="00BD7F4E">
            <w:pPr>
              <w:jc w:val="right"/>
              <w:rPr>
                <w:rFonts w:ascii="Calibri" w:eastAsia="Times New Roman" w:hAnsi="Calibri" w:cs="Calibri"/>
                <w:i/>
                <w:iCs/>
                <w:color w:val="000000"/>
                <w:sz w:val="18"/>
                <w:szCs w:val="18"/>
                <w:lang w:eastAsia="nl-BE"/>
              </w:rPr>
            </w:pPr>
            <w:r w:rsidRPr="0040191A">
              <w:rPr>
                <w:rFonts w:ascii="Calibri" w:eastAsia="Times New Roman" w:hAnsi="Calibri" w:cs="Calibri"/>
                <w:i/>
                <w:iCs/>
                <w:color w:val="000000"/>
                <w:sz w:val="18"/>
                <w:szCs w:val="18"/>
                <w:lang w:eastAsia="nl-BE"/>
              </w:rPr>
              <w:t>Correctie MC</w:t>
            </w:r>
          </w:p>
        </w:tc>
        <w:tc>
          <w:tcPr>
            <w:tcW w:w="431" w:type="pct"/>
            <w:tcBorders>
              <w:top w:val="nil"/>
              <w:left w:val="single" w:sz="4" w:space="0" w:color="auto"/>
              <w:bottom w:val="nil"/>
              <w:right w:val="single" w:sz="4" w:space="0" w:color="auto"/>
            </w:tcBorders>
            <w:shd w:val="clear" w:color="auto" w:fill="auto"/>
            <w:noWrap/>
            <w:vAlign w:val="center"/>
            <w:hideMark/>
          </w:tcPr>
          <w:p w14:paraId="1C0CFF50" w14:textId="6BD6924C" w:rsidR="00BD7F4E" w:rsidRPr="00BD7F4E" w:rsidRDefault="00BD7F4E" w:rsidP="00BD7F4E">
            <w:pPr>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 </w:t>
            </w:r>
          </w:p>
        </w:tc>
        <w:tc>
          <w:tcPr>
            <w:tcW w:w="431" w:type="pct"/>
            <w:tcBorders>
              <w:top w:val="nil"/>
              <w:left w:val="single" w:sz="4" w:space="0" w:color="auto"/>
              <w:bottom w:val="nil"/>
              <w:right w:val="single" w:sz="4" w:space="0" w:color="auto"/>
            </w:tcBorders>
            <w:shd w:val="clear" w:color="auto" w:fill="auto"/>
            <w:noWrap/>
            <w:vAlign w:val="center"/>
            <w:hideMark/>
          </w:tcPr>
          <w:p w14:paraId="39AB4E25" w14:textId="128152F8"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-50,0</w:t>
            </w:r>
          </w:p>
        </w:tc>
        <w:tc>
          <w:tcPr>
            <w:tcW w:w="431" w:type="pct"/>
            <w:tcBorders>
              <w:top w:val="nil"/>
              <w:left w:val="nil"/>
              <w:bottom w:val="nil"/>
              <w:right w:val="single" w:sz="4" w:space="0" w:color="auto"/>
            </w:tcBorders>
            <w:shd w:val="clear" w:color="auto" w:fill="auto"/>
            <w:noWrap/>
            <w:vAlign w:val="center"/>
            <w:hideMark/>
          </w:tcPr>
          <w:p w14:paraId="7BE1BB9D" w14:textId="12A877A3"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0,0</w:t>
            </w:r>
          </w:p>
        </w:tc>
        <w:tc>
          <w:tcPr>
            <w:tcW w:w="409" w:type="pct"/>
            <w:tcBorders>
              <w:top w:val="nil"/>
              <w:left w:val="nil"/>
              <w:bottom w:val="nil"/>
              <w:right w:val="single" w:sz="4" w:space="0" w:color="auto"/>
            </w:tcBorders>
            <w:shd w:val="clear" w:color="auto" w:fill="auto"/>
            <w:noWrap/>
            <w:vAlign w:val="center"/>
            <w:hideMark/>
          </w:tcPr>
          <w:p w14:paraId="1DE77A36" w14:textId="492B4AFB"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0,0</w:t>
            </w:r>
          </w:p>
        </w:tc>
        <w:tc>
          <w:tcPr>
            <w:tcW w:w="455" w:type="pct"/>
            <w:tcBorders>
              <w:top w:val="nil"/>
              <w:left w:val="nil"/>
              <w:bottom w:val="nil"/>
              <w:right w:val="single" w:sz="4" w:space="0" w:color="auto"/>
            </w:tcBorders>
            <w:shd w:val="clear" w:color="auto" w:fill="auto"/>
            <w:noWrap/>
            <w:vAlign w:val="center"/>
            <w:hideMark/>
          </w:tcPr>
          <w:p w14:paraId="54482CFA" w14:textId="1A8097C6"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0,0%</w:t>
            </w:r>
          </w:p>
        </w:tc>
        <w:tc>
          <w:tcPr>
            <w:tcW w:w="409" w:type="pct"/>
            <w:tcBorders>
              <w:top w:val="nil"/>
              <w:left w:val="nil"/>
              <w:bottom w:val="nil"/>
              <w:right w:val="single" w:sz="4" w:space="0" w:color="auto"/>
            </w:tcBorders>
            <w:shd w:val="clear" w:color="auto" w:fill="auto"/>
            <w:noWrap/>
            <w:vAlign w:val="center"/>
            <w:hideMark/>
          </w:tcPr>
          <w:p w14:paraId="6FF257F9" w14:textId="2DCCB9C5"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50,0</w:t>
            </w:r>
          </w:p>
        </w:tc>
        <w:tc>
          <w:tcPr>
            <w:tcW w:w="407" w:type="pct"/>
            <w:tcBorders>
              <w:top w:val="nil"/>
              <w:left w:val="nil"/>
              <w:bottom w:val="nil"/>
              <w:right w:val="single" w:sz="4" w:space="0" w:color="auto"/>
            </w:tcBorders>
            <w:shd w:val="clear" w:color="auto" w:fill="auto"/>
            <w:noWrap/>
            <w:vAlign w:val="center"/>
            <w:hideMark/>
          </w:tcPr>
          <w:p w14:paraId="3F25CD8A" w14:textId="6307614F"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-100,0%</w:t>
            </w:r>
          </w:p>
        </w:tc>
      </w:tr>
      <w:tr w:rsidR="00BD7F4E" w:rsidRPr="0040191A" w14:paraId="1274662A" w14:textId="77777777" w:rsidTr="003B3329">
        <w:trPr>
          <w:trHeight w:val="290"/>
        </w:trPr>
        <w:tc>
          <w:tcPr>
            <w:tcW w:w="2025" w:type="pct"/>
            <w:tcBorders>
              <w:top w:val="nil"/>
              <w:left w:val="single" w:sz="4" w:space="0" w:color="auto"/>
              <w:bottom w:val="nil"/>
              <w:right w:val="nil"/>
            </w:tcBorders>
            <w:shd w:val="clear" w:color="auto" w:fill="auto"/>
            <w:noWrap/>
            <w:vAlign w:val="center"/>
            <w:hideMark/>
          </w:tcPr>
          <w:p w14:paraId="5F1DF163" w14:textId="77777777" w:rsidR="00BD7F4E" w:rsidRPr="0040191A" w:rsidRDefault="00BD7F4E" w:rsidP="00BD7F4E">
            <w:pPr>
              <w:jc w:val="right"/>
              <w:rPr>
                <w:rFonts w:ascii="Calibri" w:eastAsia="Times New Roman" w:hAnsi="Calibri" w:cs="Calibri"/>
                <w:i/>
                <w:iCs/>
                <w:color w:val="000000"/>
                <w:sz w:val="18"/>
                <w:szCs w:val="18"/>
                <w:lang w:eastAsia="nl-BE"/>
              </w:rPr>
            </w:pPr>
            <w:r w:rsidRPr="0040191A">
              <w:rPr>
                <w:rFonts w:ascii="Calibri" w:eastAsia="Times New Roman" w:hAnsi="Calibri" w:cs="Calibri"/>
                <w:i/>
                <w:iCs/>
                <w:color w:val="000000"/>
                <w:sz w:val="18"/>
                <w:szCs w:val="18"/>
                <w:lang w:eastAsia="nl-BE"/>
              </w:rPr>
              <w:t>Andere</w:t>
            </w:r>
          </w:p>
        </w:tc>
        <w:tc>
          <w:tcPr>
            <w:tcW w:w="431" w:type="pct"/>
            <w:tcBorders>
              <w:top w:val="nil"/>
              <w:left w:val="single" w:sz="4" w:space="0" w:color="auto"/>
              <w:bottom w:val="single" w:sz="4" w:space="0" w:color="auto"/>
              <w:right w:val="single" w:sz="4" w:space="0" w:color="auto"/>
            </w:tcBorders>
            <w:shd w:val="clear" w:color="auto" w:fill="auto"/>
            <w:noWrap/>
            <w:vAlign w:val="center"/>
            <w:hideMark/>
          </w:tcPr>
          <w:p w14:paraId="1AC25648" w14:textId="30736F5D"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226,4</w:t>
            </w:r>
          </w:p>
        </w:tc>
        <w:tc>
          <w:tcPr>
            <w:tcW w:w="431" w:type="pct"/>
            <w:tcBorders>
              <w:top w:val="nil"/>
              <w:left w:val="single" w:sz="4" w:space="0" w:color="auto"/>
              <w:bottom w:val="single" w:sz="4" w:space="0" w:color="auto"/>
              <w:right w:val="single" w:sz="4" w:space="0" w:color="auto"/>
            </w:tcBorders>
            <w:shd w:val="clear" w:color="auto" w:fill="auto"/>
            <w:noWrap/>
            <w:vAlign w:val="center"/>
            <w:hideMark/>
          </w:tcPr>
          <w:p w14:paraId="2C74D08A" w14:textId="03228E1A"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226,4</w:t>
            </w:r>
          </w:p>
        </w:tc>
        <w:tc>
          <w:tcPr>
            <w:tcW w:w="431" w:type="pct"/>
            <w:tcBorders>
              <w:top w:val="nil"/>
              <w:left w:val="nil"/>
              <w:bottom w:val="single" w:sz="4" w:space="0" w:color="auto"/>
              <w:right w:val="single" w:sz="4" w:space="0" w:color="auto"/>
            </w:tcBorders>
            <w:shd w:val="clear" w:color="auto" w:fill="auto"/>
            <w:noWrap/>
            <w:vAlign w:val="center"/>
            <w:hideMark/>
          </w:tcPr>
          <w:p w14:paraId="18710372" w14:textId="515A49EF"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225,1</w:t>
            </w:r>
          </w:p>
        </w:tc>
        <w:tc>
          <w:tcPr>
            <w:tcW w:w="409" w:type="pct"/>
            <w:tcBorders>
              <w:top w:val="nil"/>
              <w:left w:val="nil"/>
              <w:bottom w:val="single" w:sz="4" w:space="0" w:color="auto"/>
              <w:right w:val="single" w:sz="4" w:space="0" w:color="auto"/>
            </w:tcBorders>
            <w:shd w:val="clear" w:color="auto" w:fill="auto"/>
            <w:noWrap/>
            <w:vAlign w:val="center"/>
            <w:hideMark/>
          </w:tcPr>
          <w:p w14:paraId="429DE090" w14:textId="35D80769"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-1,3</w:t>
            </w:r>
          </w:p>
        </w:tc>
        <w:tc>
          <w:tcPr>
            <w:tcW w:w="455" w:type="pct"/>
            <w:tcBorders>
              <w:top w:val="nil"/>
              <w:left w:val="nil"/>
              <w:bottom w:val="single" w:sz="4" w:space="0" w:color="auto"/>
              <w:right w:val="single" w:sz="4" w:space="0" w:color="auto"/>
            </w:tcBorders>
            <w:shd w:val="clear" w:color="auto" w:fill="auto"/>
            <w:noWrap/>
            <w:vAlign w:val="center"/>
            <w:hideMark/>
          </w:tcPr>
          <w:p w14:paraId="3DBCDE56" w14:textId="2EB7BE04"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-0,6%</w:t>
            </w:r>
          </w:p>
        </w:tc>
        <w:tc>
          <w:tcPr>
            <w:tcW w:w="409" w:type="pct"/>
            <w:tcBorders>
              <w:top w:val="nil"/>
              <w:left w:val="nil"/>
              <w:bottom w:val="single" w:sz="4" w:space="0" w:color="auto"/>
              <w:right w:val="single" w:sz="4" w:space="0" w:color="auto"/>
            </w:tcBorders>
            <w:shd w:val="clear" w:color="auto" w:fill="auto"/>
            <w:noWrap/>
            <w:vAlign w:val="center"/>
            <w:hideMark/>
          </w:tcPr>
          <w:p w14:paraId="11AA63E9" w14:textId="018672BD"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-1,3</w:t>
            </w:r>
          </w:p>
        </w:tc>
        <w:tc>
          <w:tcPr>
            <w:tcW w:w="407" w:type="pct"/>
            <w:tcBorders>
              <w:top w:val="nil"/>
              <w:left w:val="nil"/>
              <w:bottom w:val="single" w:sz="4" w:space="0" w:color="auto"/>
              <w:right w:val="single" w:sz="4" w:space="0" w:color="auto"/>
            </w:tcBorders>
            <w:shd w:val="clear" w:color="auto" w:fill="auto"/>
            <w:noWrap/>
            <w:vAlign w:val="center"/>
            <w:hideMark/>
          </w:tcPr>
          <w:p w14:paraId="50C78CE1" w14:textId="11DEC8AB"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-0,6%</w:t>
            </w:r>
          </w:p>
        </w:tc>
      </w:tr>
      <w:tr w:rsidR="00BD7F4E" w:rsidRPr="0040191A" w14:paraId="4FD61B2C" w14:textId="77777777" w:rsidTr="003B3329">
        <w:trPr>
          <w:trHeight w:val="290"/>
        </w:trPr>
        <w:tc>
          <w:tcPr>
            <w:tcW w:w="2025" w:type="pct"/>
            <w:tcBorders>
              <w:top w:val="single" w:sz="4" w:space="0" w:color="auto"/>
              <w:left w:val="single" w:sz="4" w:space="0" w:color="auto"/>
              <w:bottom w:val="single" w:sz="4" w:space="0" w:color="auto"/>
              <w:right w:val="nil"/>
            </w:tcBorders>
            <w:shd w:val="clear" w:color="auto" w:fill="auto"/>
            <w:noWrap/>
            <w:vAlign w:val="center"/>
            <w:hideMark/>
          </w:tcPr>
          <w:p w14:paraId="1680053E" w14:textId="77777777" w:rsidR="00BD7F4E" w:rsidRPr="0040191A" w:rsidRDefault="00BD7F4E" w:rsidP="00BD7F4E">
            <w:pPr>
              <w:rPr>
                <w:rFonts w:ascii="Calibri" w:eastAsia="Times New Roman" w:hAnsi="Calibri" w:cs="Calibri"/>
                <w:b/>
                <w:bCs/>
                <w:color w:val="000000"/>
                <w:sz w:val="18"/>
                <w:szCs w:val="18"/>
                <w:lang w:eastAsia="nl-BE"/>
              </w:rPr>
            </w:pPr>
            <w:r w:rsidRPr="0040191A">
              <w:rPr>
                <w:rFonts w:ascii="Calibri" w:eastAsia="Times New Roman" w:hAnsi="Calibri" w:cs="Calibri"/>
                <w:b/>
                <w:bCs/>
                <w:color w:val="000000"/>
                <w:sz w:val="18"/>
                <w:szCs w:val="18"/>
                <w:lang w:eastAsia="nl-BE"/>
              </w:rPr>
              <w:t>Uitg. DAB</w:t>
            </w:r>
          </w:p>
        </w:tc>
        <w:tc>
          <w:tcPr>
            <w:tcW w:w="431" w:type="pct"/>
            <w:tcBorders>
              <w:top w:val="nil"/>
              <w:left w:val="single" w:sz="4" w:space="0" w:color="auto"/>
              <w:bottom w:val="single" w:sz="4" w:space="0" w:color="auto"/>
              <w:right w:val="single" w:sz="4" w:space="0" w:color="auto"/>
            </w:tcBorders>
            <w:shd w:val="clear" w:color="auto" w:fill="auto"/>
            <w:noWrap/>
            <w:vAlign w:val="center"/>
            <w:hideMark/>
          </w:tcPr>
          <w:p w14:paraId="4855E6E7" w14:textId="62E4F374" w:rsidR="00BD7F4E" w:rsidRPr="00BD7F4E" w:rsidRDefault="00BD7F4E" w:rsidP="00BD7F4E">
            <w:pPr>
              <w:jc w:val="right"/>
              <w:rPr>
                <w:rFonts w:ascii="Calibri" w:eastAsia="Times New Roman" w:hAnsi="Calibri" w:cs="Calibri"/>
                <w:b/>
                <w:bCs/>
                <w:color w:val="000000"/>
                <w:sz w:val="18"/>
                <w:szCs w:val="18"/>
                <w:lang w:eastAsia="nl-BE"/>
              </w:rPr>
            </w:pPr>
            <w:r w:rsidRPr="00BD7F4E">
              <w:rPr>
                <w:rFonts w:ascii="Calibri" w:hAnsi="Calibri" w:cs="Calibri"/>
                <w:b/>
                <w:bCs/>
                <w:color w:val="000000"/>
                <w:sz w:val="18"/>
                <w:szCs w:val="18"/>
              </w:rPr>
              <w:t>1.319,3</w:t>
            </w:r>
          </w:p>
        </w:tc>
        <w:tc>
          <w:tcPr>
            <w:tcW w:w="431" w:type="pct"/>
            <w:tcBorders>
              <w:top w:val="nil"/>
              <w:left w:val="single" w:sz="4" w:space="0" w:color="auto"/>
              <w:bottom w:val="single" w:sz="4" w:space="0" w:color="auto"/>
              <w:right w:val="single" w:sz="4" w:space="0" w:color="auto"/>
            </w:tcBorders>
            <w:shd w:val="clear" w:color="auto" w:fill="auto"/>
            <w:noWrap/>
            <w:vAlign w:val="center"/>
            <w:hideMark/>
          </w:tcPr>
          <w:p w14:paraId="2287FB6B" w14:textId="6F14D68E" w:rsidR="00BD7F4E" w:rsidRPr="00BD7F4E" w:rsidRDefault="00BD7F4E" w:rsidP="00BD7F4E">
            <w:pPr>
              <w:jc w:val="right"/>
              <w:rPr>
                <w:rFonts w:ascii="Calibri" w:eastAsia="Times New Roman" w:hAnsi="Calibri" w:cs="Calibri"/>
                <w:b/>
                <w:bCs/>
                <w:color w:val="000000"/>
                <w:sz w:val="18"/>
                <w:szCs w:val="18"/>
                <w:lang w:eastAsia="nl-BE"/>
              </w:rPr>
            </w:pPr>
            <w:r w:rsidRPr="00BD7F4E">
              <w:rPr>
                <w:rFonts w:ascii="Calibri" w:hAnsi="Calibri" w:cs="Calibri"/>
                <w:b/>
                <w:bCs/>
                <w:color w:val="000000"/>
                <w:sz w:val="18"/>
                <w:szCs w:val="18"/>
              </w:rPr>
              <w:t>1.225,3</w:t>
            </w:r>
          </w:p>
        </w:tc>
        <w:tc>
          <w:tcPr>
            <w:tcW w:w="431" w:type="pct"/>
            <w:tcBorders>
              <w:top w:val="nil"/>
              <w:left w:val="nil"/>
              <w:bottom w:val="single" w:sz="4" w:space="0" w:color="auto"/>
              <w:right w:val="single" w:sz="4" w:space="0" w:color="auto"/>
            </w:tcBorders>
            <w:shd w:val="clear" w:color="auto" w:fill="auto"/>
            <w:noWrap/>
            <w:vAlign w:val="center"/>
            <w:hideMark/>
          </w:tcPr>
          <w:p w14:paraId="55C506FF" w14:textId="4DF9455B" w:rsidR="00BD7F4E" w:rsidRPr="00BD7F4E" w:rsidRDefault="00BD7F4E" w:rsidP="00BD7F4E">
            <w:pPr>
              <w:jc w:val="right"/>
              <w:rPr>
                <w:rFonts w:ascii="Calibri" w:eastAsia="Times New Roman" w:hAnsi="Calibri" w:cs="Calibri"/>
                <w:b/>
                <w:bCs/>
                <w:color w:val="000000"/>
                <w:sz w:val="18"/>
                <w:szCs w:val="18"/>
                <w:lang w:eastAsia="nl-BE"/>
              </w:rPr>
            </w:pPr>
            <w:r w:rsidRPr="00BD7F4E">
              <w:rPr>
                <w:rFonts w:ascii="Calibri" w:hAnsi="Calibri" w:cs="Calibri"/>
                <w:b/>
                <w:bCs/>
                <w:color w:val="000000"/>
                <w:sz w:val="18"/>
                <w:szCs w:val="18"/>
              </w:rPr>
              <w:t>1.325,4</w:t>
            </w:r>
          </w:p>
        </w:tc>
        <w:tc>
          <w:tcPr>
            <w:tcW w:w="409" w:type="pct"/>
            <w:tcBorders>
              <w:top w:val="nil"/>
              <w:left w:val="nil"/>
              <w:bottom w:val="single" w:sz="4" w:space="0" w:color="auto"/>
              <w:right w:val="single" w:sz="4" w:space="0" w:color="auto"/>
            </w:tcBorders>
            <w:shd w:val="clear" w:color="auto" w:fill="auto"/>
            <w:noWrap/>
            <w:vAlign w:val="center"/>
            <w:hideMark/>
          </w:tcPr>
          <w:p w14:paraId="02AA3749" w14:textId="2070C49D" w:rsidR="00BD7F4E" w:rsidRPr="00BD7F4E" w:rsidRDefault="00BD7F4E" w:rsidP="00BD7F4E">
            <w:pPr>
              <w:jc w:val="right"/>
              <w:rPr>
                <w:rFonts w:ascii="Calibri" w:eastAsia="Times New Roman" w:hAnsi="Calibri" w:cs="Calibri"/>
                <w:b/>
                <w:bCs/>
                <w:color w:val="000000"/>
                <w:sz w:val="18"/>
                <w:szCs w:val="18"/>
                <w:lang w:eastAsia="nl-BE"/>
              </w:rPr>
            </w:pPr>
            <w:r w:rsidRPr="00BD7F4E">
              <w:rPr>
                <w:rFonts w:ascii="Calibri" w:hAnsi="Calibri" w:cs="Calibri"/>
                <w:b/>
                <w:bCs/>
                <w:color w:val="000000"/>
                <w:sz w:val="18"/>
                <w:szCs w:val="18"/>
              </w:rPr>
              <w:t>6,1</w:t>
            </w:r>
          </w:p>
        </w:tc>
        <w:tc>
          <w:tcPr>
            <w:tcW w:w="455" w:type="pct"/>
            <w:tcBorders>
              <w:top w:val="nil"/>
              <w:left w:val="nil"/>
              <w:bottom w:val="single" w:sz="4" w:space="0" w:color="auto"/>
              <w:right w:val="single" w:sz="4" w:space="0" w:color="auto"/>
            </w:tcBorders>
            <w:shd w:val="clear" w:color="auto" w:fill="auto"/>
            <w:noWrap/>
            <w:vAlign w:val="center"/>
            <w:hideMark/>
          </w:tcPr>
          <w:p w14:paraId="5717AC68" w14:textId="4F624F65" w:rsidR="00BD7F4E" w:rsidRPr="00BD7F4E" w:rsidRDefault="00BD7F4E" w:rsidP="00BD7F4E">
            <w:pPr>
              <w:jc w:val="right"/>
              <w:rPr>
                <w:rFonts w:ascii="Calibri" w:eastAsia="Times New Roman" w:hAnsi="Calibri" w:cs="Calibri"/>
                <w:b/>
                <w:bCs/>
                <w:color w:val="000000"/>
                <w:sz w:val="18"/>
                <w:szCs w:val="18"/>
                <w:lang w:eastAsia="nl-BE"/>
              </w:rPr>
            </w:pPr>
            <w:r w:rsidRPr="00BD7F4E">
              <w:rPr>
                <w:rFonts w:ascii="Calibri" w:hAnsi="Calibri" w:cs="Calibri"/>
                <w:b/>
                <w:bCs/>
                <w:color w:val="000000"/>
                <w:sz w:val="18"/>
                <w:szCs w:val="18"/>
              </w:rPr>
              <w:t>0,5%</w:t>
            </w:r>
          </w:p>
        </w:tc>
        <w:tc>
          <w:tcPr>
            <w:tcW w:w="409" w:type="pct"/>
            <w:tcBorders>
              <w:top w:val="nil"/>
              <w:left w:val="nil"/>
              <w:bottom w:val="single" w:sz="4" w:space="0" w:color="auto"/>
              <w:right w:val="single" w:sz="4" w:space="0" w:color="auto"/>
            </w:tcBorders>
            <w:shd w:val="clear" w:color="auto" w:fill="auto"/>
            <w:noWrap/>
            <w:vAlign w:val="center"/>
            <w:hideMark/>
          </w:tcPr>
          <w:p w14:paraId="423DF729" w14:textId="781C64B5" w:rsidR="00BD7F4E" w:rsidRPr="00BD7F4E" w:rsidRDefault="00BD7F4E" w:rsidP="00BD7F4E">
            <w:pPr>
              <w:jc w:val="right"/>
              <w:rPr>
                <w:rFonts w:ascii="Calibri" w:eastAsia="Times New Roman" w:hAnsi="Calibri" w:cs="Calibri"/>
                <w:b/>
                <w:bCs/>
                <w:color w:val="000000"/>
                <w:sz w:val="18"/>
                <w:szCs w:val="18"/>
                <w:lang w:eastAsia="nl-BE"/>
              </w:rPr>
            </w:pPr>
            <w:r w:rsidRPr="00BD7F4E">
              <w:rPr>
                <w:rFonts w:ascii="Calibri" w:hAnsi="Calibri" w:cs="Calibri"/>
                <w:b/>
                <w:bCs/>
                <w:color w:val="000000"/>
                <w:sz w:val="18"/>
                <w:szCs w:val="18"/>
              </w:rPr>
              <w:t>100,1</w:t>
            </w:r>
          </w:p>
        </w:tc>
        <w:tc>
          <w:tcPr>
            <w:tcW w:w="407" w:type="pct"/>
            <w:tcBorders>
              <w:top w:val="nil"/>
              <w:left w:val="nil"/>
              <w:bottom w:val="single" w:sz="4" w:space="0" w:color="auto"/>
              <w:right w:val="single" w:sz="4" w:space="0" w:color="auto"/>
            </w:tcBorders>
            <w:shd w:val="clear" w:color="auto" w:fill="auto"/>
            <w:noWrap/>
            <w:vAlign w:val="center"/>
            <w:hideMark/>
          </w:tcPr>
          <w:p w14:paraId="5E3FC785" w14:textId="4F0FBDA5" w:rsidR="00BD7F4E" w:rsidRPr="00BD7F4E" w:rsidRDefault="00BD7F4E" w:rsidP="00BD7F4E">
            <w:pPr>
              <w:jc w:val="right"/>
              <w:rPr>
                <w:rFonts w:ascii="Calibri" w:eastAsia="Times New Roman" w:hAnsi="Calibri" w:cs="Calibri"/>
                <w:b/>
                <w:bCs/>
                <w:color w:val="000000"/>
                <w:sz w:val="18"/>
                <w:szCs w:val="18"/>
                <w:lang w:eastAsia="nl-BE"/>
              </w:rPr>
            </w:pPr>
            <w:r w:rsidRPr="00BD7F4E">
              <w:rPr>
                <w:rFonts w:ascii="Calibri" w:hAnsi="Calibri" w:cs="Calibri"/>
                <w:b/>
                <w:bCs/>
                <w:color w:val="000000"/>
                <w:sz w:val="18"/>
                <w:szCs w:val="18"/>
              </w:rPr>
              <w:t>8,2%</w:t>
            </w:r>
          </w:p>
        </w:tc>
      </w:tr>
      <w:tr w:rsidR="00BD7F4E" w:rsidRPr="0040191A" w14:paraId="4C2EA02B" w14:textId="77777777" w:rsidTr="003B3329">
        <w:trPr>
          <w:trHeight w:val="290"/>
        </w:trPr>
        <w:tc>
          <w:tcPr>
            <w:tcW w:w="2025" w:type="pct"/>
            <w:tcBorders>
              <w:top w:val="nil"/>
              <w:left w:val="single" w:sz="4" w:space="0" w:color="auto"/>
              <w:bottom w:val="nil"/>
              <w:right w:val="single" w:sz="4" w:space="0" w:color="auto"/>
            </w:tcBorders>
            <w:shd w:val="clear" w:color="auto" w:fill="auto"/>
            <w:noWrap/>
            <w:vAlign w:val="center"/>
            <w:hideMark/>
          </w:tcPr>
          <w:p w14:paraId="63DD495D" w14:textId="77777777" w:rsidR="00BD7F4E" w:rsidRPr="0040191A" w:rsidRDefault="00BD7F4E" w:rsidP="00BD7F4E">
            <w:pPr>
              <w:jc w:val="right"/>
              <w:rPr>
                <w:rFonts w:ascii="Calibri" w:eastAsia="Times New Roman" w:hAnsi="Calibri" w:cs="Calibri"/>
                <w:i/>
                <w:iCs/>
                <w:color w:val="000000"/>
                <w:sz w:val="18"/>
                <w:szCs w:val="18"/>
                <w:lang w:eastAsia="nl-BE"/>
              </w:rPr>
            </w:pPr>
            <w:r w:rsidRPr="0040191A">
              <w:rPr>
                <w:rFonts w:ascii="Calibri" w:eastAsia="Times New Roman" w:hAnsi="Calibri" w:cs="Calibri"/>
                <w:i/>
                <w:iCs/>
                <w:color w:val="000000"/>
                <w:sz w:val="18"/>
                <w:szCs w:val="18"/>
                <w:lang w:eastAsia="nl-BE"/>
              </w:rPr>
              <w:t>VFLD</w:t>
            </w:r>
          </w:p>
        </w:tc>
        <w:tc>
          <w:tcPr>
            <w:tcW w:w="431" w:type="pct"/>
            <w:tcBorders>
              <w:top w:val="nil"/>
              <w:left w:val="nil"/>
              <w:bottom w:val="nil"/>
              <w:right w:val="single" w:sz="4" w:space="0" w:color="auto"/>
            </w:tcBorders>
            <w:shd w:val="clear" w:color="auto" w:fill="auto"/>
            <w:noWrap/>
            <w:vAlign w:val="center"/>
            <w:hideMark/>
          </w:tcPr>
          <w:p w14:paraId="3B546195" w14:textId="414B0D89"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143,8</w:t>
            </w:r>
          </w:p>
        </w:tc>
        <w:tc>
          <w:tcPr>
            <w:tcW w:w="431" w:type="pct"/>
            <w:tcBorders>
              <w:top w:val="nil"/>
              <w:left w:val="nil"/>
              <w:bottom w:val="nil"/>
              <w:right w:val="single" w:sz="4" w:space="0" w:color="auto"/>
            </w:tcBorders>
            <w:shd w:val="clear" w:color="auto" w:fill="auto"/>
            <w:noWrap/>
            <w:vAlign w:val="center"/>
            <w:hideMark/>
          </w:tcPr>
          <w:p w14:paraId="2F306114" w14:textId="485EF94B"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119,1</w:t>
            </w:r>
          </w:p>
        </w:tc>
        <w:tc>
          <w:tcPr>
            <w:tcW w:w="431" w:type="pct"/>
            <w:tcBorders>
              <w:top w:val="nil"/>
              <w:left w:val="nil"/>
              <w:bottom w:val="nil"/>
              <w:right w:val="single" w:sz="4" w:space="0" w:color="auto"/>
            </w:tcBorders>
            <w:shd w:val="clear" w:color="auto" w:fill="auto"/>
            <w:noWrap/>
            <w:vAlign w:val="center"/>
            <w:hideMark/>
          </w:tcPr>
          <w:p w14:paraId="6E090ED6" w14:textId="3FDFDFCD"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113,3</w:t>
            </w:r>
          </w:p>
        </w:tc>
        <w:tc>
          <w:tcPr>
            <w:tcW w:w="409" w:type="pct"/>
            <w:tcBorders>
              <w:top w:val="nil"/>
              <w:left w:val="nil"/>
              <w:bottom w:val="nil"/>
              <w:right w:val="single" w:sz="4" w:space="0" w:color="auto"/>
            </w:tcBorders>
            <w:shd w:val="clear" w:color="auto" w:fill="auto"/>
            <w:noWrap/>
            <w:vAlign w:val="center"/>
            <w:hideMark/>
          </w:tcPr>
          <w:p w14:paraId="6C8B0806" w14:textId="3E2D9053"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-30,4</w:t>
            </w:r>
          </w:p>
        </w:tc>
        <w:tc>
          <w:tcPr>
            <w:tcW w:w="455" w:type="pct"/>
            <w:tcBorders>
              <w:top w:val="nil"/>
              <w:left w:val="nil"/>
              <w:bottom w:val="nil"/>
              <w:right w:val="single" w:sz="4" w:space="0" w:color="auto"/>
            </w:tcBorders>
            <w:shd w:val="clear" w:color="auto" w:fill="auto"/>
            <w:noWrap/>
            <w:vAlign w:val="center"/>
            <w:hideMark/>
          </w:tcPr>
          <w:p w14:paraId="2CBFB7C1" w14:textId="19A4B311"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-21,2%</w:t>
            </w:r>
          </w:p>
        </w:tc>
        <w:tc>
          <w:tcPr>
            <w:tcW w:w="409" w:type="pct"/>
            <w:tcBorders>
              <w:top w:val="nil"/>
              <w:left w:val="nil"/>
              <w:bottom w:val="nil"/>
              <w:right w:val="single" w:sz="4" w:space="0" w:color="auto"/>
            </w:tcBorders>
            <w:shd w:val="clear" w:color="auto" w:fill="auto"/>
            <w:noWrap/>
            <w:vAlign w:val="center"/>
            <w:hideMark/>
          </w:tcPr>
          <w:p w14:paraId="51F93E67" w14:textId="7EE813A4"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-5,8</w:t>
            </w:r>
          </w:p>
        </w:tc>
        <w:tc>
          <w:tcPr>
            <w:tcW w:w="407" w:type="pct"/>
            <w:tcBorders>
              <w:top w:val="nil"/>
              <w:left w:val="nil"/>
              <w:bottom w:val="nil"/>
              <w:right w:val="single" w:sz="4" w:space="0" w:color="auto"/>
            </w:tcBorders>
            <w:shd w:val="clear" w:color="auto" w:fill="auto"/>
            <w:noWrap/>
            <w:vAlign w:val="center"/>
            <w:hideMark/>
          </w:tcPr>
          <w:p w14:paraId="61DBE6B5" w14:textId="322EE46C"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-4,9%</w:t>
            </w:r>
          </w:p>
        </w:tc>
      </w:tr>
      <w:tr w:rsidR="00BD7F4E" w:rsidRPr="0040191A" w14:paraId="507EC5D4" w14:textId="77777777" w:rsidTr="003B3329">
        <w:trPr>
          <w:trHeight w:val="290"/>
        </w:trPr>
        <w:tc>
          <w:tcPr>
            <w:tcW w:w="2025" w:type="pct"/>
            <w:tcBorders>
              <w:top w:val="nil"/>
              <w:left w:val="single" w:sz="4" w:space="0" w:color="auto"/>
              <w:bottom w:val="nil"/>
              <w:right w:val="single" w:sz="4" w:space="0" w:color="auto"/>
            </w:tcBorders>
            <w:shd w:val="clear" w:color="auto" w:fill="auto"/>
            <w:noWrap/>
            <w:vAlign w:val="center"/>
            <w:hideMark/>
          </w:tcPr>
          <w:p w14:paraId="33C37979" w14:textId="77777777" w:rsidR="00BD7F4E" w:rsidRPr="0040191A" w:rsidRDefault="00BD7F4E" w:rsidP="00BD7F4E">
            <w:pPr>
              <w:jc w:val="right"/>
              <w:rPr>
                <w:rFonts w:ascii="Calibri" w:eastAsia="Times New Roman" w:hAnsi="Calibri" w:cs="Calibri"/>
                <w:i/>
                <w:iCs/>
                <w:color w:val="000000"/>
                <w:sz w:val="18"/>
                <w:szCs w:val="18"/>
                <w:lang w:eastAsia="nl-BE"/>
              </w:rPr>
            </w:pPr>
            <w:r w:rsidRPr="0040191A">
              <w:rPr>
                <w:rFonts w:ascii="Calibri" w:eastAsia="Times New Roman" w:hAnsi="Calibri" w:cs="Calibri"/>
                <w:i/>
                <w:iCs/>
                <w:color w:val="000000"/>
                <w:sz w:val="18"/>
                <w:szCs w:val="18"/>
                <w:lang w:eastAsia="nl-BE"/>
              </w:rPr>
              <w:t>VDAB</w:t>
            </w:r>
          </w:p>
        </w:tc>
        <w:tc>
          <w:tcPr>
            <w:tcW w:w="431" w:type="pct"/>
            <w:tcBorders>
              <w:top w:val="nil"/>
              <w:left w:val="nil"/>
              <w:bottom w:val="nil"/>
              <w:right w:val="single" w:sz="4" w:space="0" w:color="auto"/>
            </w:tcBorders>
            <w:shd w:val="clear" w:color="auto" w:fill="auto"/>
            <w:noWrap/>
            <w:vAlign w:val="center"/>
            <w:hideMark/>
          </w:tcPr>
          <w:p w14:paraId="6D17E75A" w14:textId="641CDED3"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820,2</w:t>
            </w:r>
          </w:p>
        </w:tc>
        <w:tc>
          <w:tcPr>
            <w:tcW w:w="431" w:type="pct"/>
            <w:tcBorders>
              <w:top w:val="nil"/>
              <w:left w:val="nil"/>
              <w:bottom w:val="nil"/>
              <w:right w:val="single" w:sz="4" w:space="0" w:color="auto"/>
            </w:tcBorders>
            <w:shd w:val="clear" w:color="auto" w:fill="auto"/>
            <w:noWrap/>
            <w:vAlign w:val="center"/>
            <w:hideMark/>
          </w:tcPr>
          <w:p w14:paraId="49136413" w14:textId="22932355"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780,2</w:t>
            </w:r>
          </w:p>
        </w:tc>
        <w:tc>
          <w:tcPr>
            <w:tcW w:w="431" w:type="pct"/>
            <w:tcBorders>
              <w:top w:val="nil"/>
              <w:left w:val="nil"/>
              <w:bottom w:val="nil"/>
              <w:right w:val="single" w:sz="4" w:space="0" w:color="auto"/>
            </w:tcBorders>
            <w:shd w:val="clear" w:color="auto" w:fill="auto"/>
            <w:noWrap/>
            <w:vAlign w:val="center"/>
            <w:hideMark/>
          </w:tcPr>
          <w:p w14:paraId="07F31AD3" w14:textId="20E4D6BD"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794,5</w:t>
            </w:r>
          </w:p>
        </w:tc>
        <w:tc>
          <w:tcPr>
            <w:tcW w:w="409" w:type="pct"/>
            <w:tcBorders>
              <w:top w:val="nil"/>
              <w:left w:val="nil"/>
              <w:bottom w:val="nil"/>
              <w:right w:val="single" w:sz="4" w:space="0" w:color="auto"/>
            </w:tcBorders>
            <w:shd w:val="clear" w:color="auto" w:fill="auto"/>
            <w:noWrap/>
            <w:vAlign w:val="center"/>
            <w:hideMark/>
          </w:tcPr>
          <w:p w14:paraId="1458D60A" w14:textId="7F287FA7"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-25,8</w:t>
            </w:r>
          </w:p>
        </w:tc>
        <w:tc>
          <w:tcPr>
            <w:tcW w:w="455" w:type="pct"/>
            <w:tcBorders>
              <w:top w:val="nil"/>
              <w:left w:val="nil"/>
              <w:bottom w:val="nil"/>
              <w:right w:val="single" w:sz="4" w:space="0" w:color="auto"/>
            </w:tcBorders>
            <w:shd w:val="clear" w:color="auto" w:fill="auto"/>
            <w:noWrap/>
            <w:vAlign w:val="center"/>
            <w:hideMark/>
          </w:tcPr>
          <w:p w14:paraId="2F17F8C1" w14:textId="1C260E1A"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-3,1%</w:t>
            </w:r>
          </w:p>
        </w:tc>
        <w:tc>
          <w:tcPr>
            <w:tcW w:w="409" w:type="pct"/>
            <w:tcBorders>
              <w:top w:val="nil"/>
              <w:left w:val="nil"/>
              <w:bottom w:val="nil"/>
              <w:right w:val="single" w:sz="4" w:space="0" w:color="auto"/>
            </w:tcBorders>
            <w:shd w:val="clear" w:color="auto" w:fill="auto"/>
            <w:noWrap/>
            <w:vAlign w:val="center"/>
            <w:hideMark/>
          </w:tcPr>
          <w:p w14:paraId="45AEC3A7" w14:textId="0FD54DAC"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14,3</w:t>
            </w:r>
          </w:p>
        </w:tc>
        <w:tc>
          <w:tcPr>
            <w:tcW w:w="407" w:type="pct"/>
            <w:tcBorders>
              <w:top w:val="nil"/>
              <w:left w:val="nil"/>
              <w:bottom w:val="nil"/>
              <w:right w:val="single" w:sz="4" w:space="0" w:color="auto"/>
            </w:tcBorders>
            <w:shd w:val="clear" w:color="auto" w:fill="auto"/>
            <w:noWrap/>
            <w:vAlign w:val="center"/>
            <w:hideMark/>
          </w:tcPr>
          <w:p w14:paraId="5C94B8B4" w14:textId="07ADED7A"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1,8%</w:t>
            </w:r>
          </w:p>
        </w:tc>
      </w:tr>
      <w:tr w:rsidR="00BD7F4E" w:rsidRPr="0040191A" w14:paraId="56388541" w14:textId="77777777" w:rsidTr="003B3329">
        <w:trPr>
          <w:trHeight w:val="290"/>
        </w:trPr>
        <w:tc>
          <w:tcPr>
            <w:tcW w:w="2025" w:type="pct"/>
            <w:tcBorders>
              <w:top w:val="nil"/>
              <w:left w:val="single" w:sz="4" w:space="0" w:color="auto"/>
              <w:bottom w:val="nil"/>
              <w:right w:val="single" w:sz="4" w:space="0" w:color="auto"/>
            </w:tcBorders>
            <w:shd w:val="clear" w:color="auto" w:fill="auto"/>
            <w:noWrap/>
            <w:vAlign w:val="center"/>
            <w:hideMark/>
          </w:tcPr>
          <w:p w14:paraId="2A783A32" w14:textId="77777777" w:rsidR="00BD7F4E" w:rsidRPr="0040191A" w:rsidRDefault="00BD7F4E" w:rsidP="00BD7F4E">
            <w:pPr>
              <w:jc w:val="right"/>
              <w:rPr>
                <w:rFonts w:ascii="Calibri" w:eastAsia="Times New Roman" w:hAnsi="Calibri" w:cs="Calibri"/>
                <w:i/>
                <w:iCs/>
                <w:color w:val="000000"/>
                <w:sz w:val="18"/>
                <w:szCs w:val="18"/>
                <w:lang w:eastAsia="nl-BE"/>
              </w:rPr>
            </w:pPr>
            <w:r w:rsidRPr="0040191A">
              <w:rPr>
                <w:rFonts w:ascii="Calibri" w:eastAsia="Times New Roman" w:hAnsi="Calibri" w:cs="Calibri"/>
                <w:i/>
                <w:iCs/>
                <w:color w:val="000000"/>
                <w:sz w:val="18"/>
                <w:szCs w:val="18"/>
                <w:lang w:eastAsia="nl-BE"/>
              </w:rPr>
              <w:t>Hermes</w:t>
            </w:r>
          </w:p>
        </w:tc>
        <w:tc>
          <w:tcPr>
            <w:tcW w:w="431" w:type="pct"/>
            <w:tcBorders>
              <w:top w:val="nil"/>
              <w:left w:val="single" w:sz="4" w:space="0" w:color="auto"/>
              <w:bottom w:val="nil"/>
              <w:right w:val="single" w:sz="4" w:space="0" w:color="auto"/>
            </w:tcBorders>
            <w:shd w:val="clear" w:color="auto" w:fill="auto"/>
            <w:noWrap/>
            <w:vAlign w:val="center"/>
            <w:hideMark/>
          </w:tcPr>
          <w:p w14:paraId="615D6462" w14:textId="50FD2A5E"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646,4</w:t>
            </w:r>
          </w:p>
        </w:tc>
        <w:tc>
          <w:tcPr>
            <w:tcW w:w="431" w:type="pct"/>
            <w:tcBorders>
              <w:top w:val="nil"/>
              <w:left w:val="nil"/>
              <w:bottom w:val="nil"/>
              <w:right w:val="single" w:sz="4" w:space="0" w:color="auto"/>
            </w:tcBorders>
            <w:shd w:val="clear" w:color="auto" w:fill="auto"/>
            <w:noWrap/>
            <w:vAlign w:val="center"/>
            <w:hideMark/>
          </w:tcPr>
          <w:p w14:paraId="56E0E3BC" w14:textId="4906BF87"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516,0</w:t>
            </w:r>
          </w:p>
        </w:tc>
        <w:tc>
          <w:tcPr>
            <w:tcW w:w="431" w:type="pct"/>
            <w:tcBorders>
              <w:top w:val="nil"/>
              <w:left w:val="nil"/>
              <w:bottom w:val="nil"/>
              <w:right w:val="single" w:sz="4" w:space="0" w:color="auto"/>
            </w:tcBorders>
            <w:shd w:val="clear" w:color="auto" w:fill="auto"/>
            <w:noWrap/>
            <w:vAlign w:val="center"/>
            <w:hideMark/>
          </w:tcPr>
          <w:p w14:paraId="0C8D7EDD" w14:textId="342BCBBC"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522,4</w:t>
            </w:r>
          </w:p>
        </w:tc>
        <w:tc>
          <w:tcPr>
            <w:tcW w:w="409" w:type="pct"/>
            <w:tcBorders>
              <w:top w:val="nil"/>
              <w:left w:val="nil"/>
              <w:bottom w:val="nil"/>
              <w:right w:val="single" w:sz="4" w:space="0" w:color="auto"/>
            </w:tcBorders>
            <w:shd w:val="clear" w:color="auto" w:fill="auto"/>
            <w:noWrap/>
            <w:vAlign w:val="center"/>
            <w:hideMark/>
          </w:tcPr>
          <w:p w14:paraId="2B48966A" w14:textId="514F53AD"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-124,0</w:t>
            </w:r>
          </w:p>
        </w:tc>
        <w:tc>
          <w:tcPr>
            <w:tcW w:w="455" w:type="pct"/>
            <w:tcBorders>
              <w:top w:val="nil"/>
              <w:left w:val="nil"/>
              <w:bottom w:val="nil"/>
              <w:right w:val="single" w:sz="4" w:space="0" w:color="auto"/>
            </w:tcBorders>
            <w:shd w:val="clear" w:color="auto" w:fill="auto"/>
            <w:noWrap/>
            <w:vAlign w:val="center"/>
            <w:hideMark/>
          </w:tcPr>
          <w:p w14:paraId="1ABF27D8" w14:textId="11A5A2C8"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-19,2%</w:t>
            </w:r>
          </w:p>
        </w:tc>
        <w:tc>
          <w:tcPr>
            <w:tcW w:w="409" w:type="pct"/>
            <w:tcBorders>
              <w:top w:val="nil"/>
              <w:left w:val="nil"/>
              <w:bottom w:val="nil"/>
              <w:right w:val="single" w:sz="4" w:space="0" w:color="auto"/>
            </w:tcBorders>
            <w:shd w:val="clear" w:color="auto" w:fill="auto"/>
            <w:noWrap/>
            <w:vAlign w:val="center"/>
            <w:hideMark/>
          </w:tcPr>
          <w:p w14:paraId="326839F3" w14:textId="50369E3B"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6,4</w:t>
            </w:r>
          </w:p>
        </w:tc>
        <w:tc>
          <w:tcPr>
            <w:tcW w:w="407" w:type="pct"/>
            <w:tcBorders>
              <w:top w:val="nil"/>
              <w:left w:val="nil"/>
              <w:bottom w:val="nil"/>
              <w:right w:val="single" w:sz="4" w:space="0" w:color="auto"/>
            </w:tcBorders>
            <w:shd w:val="clear" w:color="auto" w:fill="auto"/>
            <w:noWrap/>
            <w:vAlign w:val="center"/>
            <w:hideMark/>
          </w:tcPr>
          <w:p w14:paraId="6383E6C2" w14:textId="5A9B6088"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1,2%</w:t>
            </w:r>
          </w:p>
        </w:tc>
      </w:tr>
      <w:tr w:rsidR="00BD7F4E" w:rsidRPr="0040191A" w14:paraId="5BB44973" w14:textId="77777777" w:rsidTr="003B3329">
        <w:trPr>
          <w:trHeight w:val="290"/>
        </w:trPr>
        <w:tc>
          <w:tcPr>
            <w:tcW w:w="2025" w:type="pct"/>
            <w:tcBorders>
              <w:top w:val="nil"/>
              <w:left w:val="single" w:sz="4" w:space="0" w:color="auto"/>
              <w:bottom w:val="nil"/>
              <w:right w:val="single" w:sz="4" w:space="0" w:color="auto"/>
            </w:tcBorders>
            <w:shd w:val="clear" w:color="auto" w:fill="auto"/>
            <w:noWrap/>
            <w:vAlign w:val="center"/>
            <w:hideMark/>
          </w:tcPr>
          <w:p w14:paraId="515CF437" w14:textId="77777777" w:rsidR="00BD7F4E" w:rsidRPr="0040191A" w:rsidRDefault="00BD7F4E" w:rsidP="00BD7F4E">
            <w:pPr>
              <w:jc w:val="right"/>
              <w:rPr>
                <w:rFonts w:ascii="Calibri" w:eastAsia="Times New Roman" w:hAnsi="Calibri" w:cs="Calibri"/>
                <w:i/>
                <w:iCs/>
                <w:color w:val="000000"/>
                <w:sz w:val="18"/>
                <w:szCs w:val="18"/>
                <w:lang w:eastAsia="nl-BE"/>
              </w:rPr>
            </w:pPr>
            <w:r w:rsidRPr="0040191A">
              <w:rPr>
                <w:rFonts w:ascii="Calibri" w:eastAsia="Times New Roman" w:hAnsi="Calibri" w:cs="Calibri"/>
                <w:i/>
                <w:iCs/>
                <w:color w:val="000000"/>
                <w:sz w:val="18"/>
                <w:szCs w:val="18"/>
                <w:lang w:eastAsia="nl-BE"/>
              </w:rPr>
              <w:t>K&amp;G (incl kinderbijslag)</w:t>
            </w:r>
          </w:p>
        </w:tc>
        <w:tc>
          <w:tcPr>
            <w:tcW w:w="431" w:type="pct"/>
            <w:tcBorders>
              <w:top w:val="nil"/>
              <w:left w:val="single" w:sz="4" w:space="0" w:color="auto"/>
              <w:bottom w:val="nil"/>
              <w:right w:val="single" w:sz="4" w:space="0" w:color="auto"/>
            </w:tcBorders>
            <w:shd w:val="clear" w:color="auto" w:fill="auto"/>
            <w:noWrap/>
            <w:vAlign w:val="center"/>
            <w:hideMark/>
          </w:tcPr>
          <w:p w14:paraId="7611C781" w14:textId="5F028EF8"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3.910,6</w:t>
            </w:r>
          </w:p>
        </w:tc>
        <w:tc>
          <w:tcPr>
            <w:tcW w:w="431" w:type="pct"/>
            <w:tcBorders>
              <w:top w:val="nil"/>
              <w:left w:val="nil"/>
              <w:bottom w:val="nil"/>
              <w:right w:val="single" w:sz="4" w:space="0" w:color="auto"/>
            </w:tcBorders>
            <w:shd w:val="clear" w:color="auto" w:fill="auto"/>
            <w:noWrap/>
            <w:vAlign w:val="center"/>
            <w:hideMark/>
          </w:tcPr>
          <w:p w14:paraId="231FA4CA" w14:textId="5B793FE2"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3.869,8</w:t>
            </w:r>
          </w:p>
        </w:tc>
        <w:tc>
          <w:tcPr>
            <w:tcW w:w="431" w:type="pct"/>
            <w:tcBorders>
              <w:top w:val="nil"/>
              <w:left w:val="nil"/>
              <w:bottom w:val="nil"/>
              <w:right w:val="single" w:sz="4" w:space="0" w:color="auto"/>
            </w:tcBorders>
            <w:shd w:val="clear" w:color="auto" w:fill="auto"/>
            <w:noWrap/>
            <w:vAlign w:val="center"/>
            <w:hideMark/>
          </w:tcPr>
          <w:p w14:paraId="100195DA" w14:textId="459DBAD8"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3.917,7</w:t>
            </w:r>
          </w:p>
        </w:tc>
        <w:tc>
          <w:tcPr>
            <w:tcW w:w="409" w:type="pct"/>
            <w:tcBorders>
              <w:top w:val="nil"/>
              <w:left w:val="nil"/>
              <w:bottom w:val="nil"/>
              <w:right w:val="single" w:sz="4" w:space="0" w:color="auto"/>
            </w:tcBorders>
            <w:shd w:val="clear" w:color="auto" w:fill="auto"/>
            <w:noWrap/>
            <w:vAlign w:val="center"/>
            <w:hideMark/>
          </w:tcPr>
          <w:p w14:paraId="27DE9614" w14:textId="1232C80C"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7,1</w:t>
            </w:r>
          </w:p>
        </w:tc>
        <w:tc>
          <w:tcPr>
            <w:tcW w:w="455" w:type="pct"/>
            <w:tcBorders>
              <w:top w:val="nil"/>
              <w:left w:val="nil"/>
              <w:bottom w:val="nil"/>
              <w:right w:val="single" w:sz="4" w:space="0" w:color="auto"/>
            </w:tcBorders>
            <w:shd w:val="clear" w:color="auto" w:fill="auto"/>
            <w:noWrap/>
            <w:vAlign w:val="center"/>
            <w:hideMark/>
          </w:tcPr>
          <w:p w14:paraId="2130347D" w14:textId="16228ACC"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0,2%</w:t>
            </w:r>
          </w:p>
        </w:tc>
        <w:tc>
          <w:tcPr>
            <w:tcW w:w="409" w:type="pct"/>
            <w:tcBorders>
              <w:top w:val="nil"/>
              <w:left w:val="nil"/>
              <w:bottom w:val="nil"/>
              <w:right w:val="single" w:sz="4" w:space="0" w:color="auto"/>
            </w:tcBorders>
            <w:shd w:val="clear" w:color="auto" w:fill="auto"/>
            <w:noWrap/>
            <w:vAlign w:val="center"/>
            <w:hideMark/>
          </w:tcPr>
          <w:p w14:paraId="515A743A" w14:textId="3CFCF875"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47,9</w:t>
            </w:r>
          </w:p>
        </w:tc>
        <w:tc>
          <w:tcPr>
            <w:tcW w:w="407" w:type="pct"/>
            <w:tcBorders>
              <w:top w:val="nil"/>
              <w:left w:val="nil"/>
              <w:bottom w:val="nil"/>
              <w:right w:val="single" w:sz="4" w:space="0" w:color="auto"/>
            </w:tcBorders>
            <w:shd w:val="clear" w:color="auto" w:fill="auto"/>
            <w:noWrap/>
            <w:vAlign w:val="center"/>
            <w:hideMark/>
          </w:tcPr>
          <w:p w14:paraId="1629C697" w14:textId="25C24F81"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1,2%</w:t>
            </w:r>
          </w:p>
        </w:tc>
      </w:tr>
      <w:tr w:rsidR="00BD7F4E" w:rsidRPr="0040191A" w14:paraId="19E35441" w14:textId="77777777" w:rsidTr="003B3329">
        <w:trPr>
          <w:trHeight w:val="290"/>
        </w:trPr>
        <w:tc>
          <w:tcPr>
            <w:tcW w:w="2025" w:type="pct"/>
            <w:tcBorders>
              <w:top w:val="nil"/>
              <w:left w:val="single" w:sz="4" w:space="0" w:color="auto"/>
              <w:bottom w:val="nil"/>
              <w:right w:val="single" w:sz="4" w:space="0" w:color="auto"/>
            </w:tcBorders>
            <w:shd w:val="clear" w:color="auto" w:fill="auto"/>
            <w:noWrap/>
            <w:vAlign w:val="center"/>
            <w:hideMark/>
          </w:tcPr>
          <w:p w14:paraId="2E729C44" w14:textId="77777777" w:rsidR="00BD7F4E" w:rsidRPr="0040191A" w:rsidRDefault="00BD7F4E" w:rsidP="00BD7F4E">
            <w:pPr>
              <w:jc w:val="right"/>
              <w:rPr>
                <w:rFonts w:ascii="Calibri" w:eastAsia="Times New Roman" w:hAnsi="Calibri" w:cs="Calibri"/>
                <w:i/>
                <w:iCs/>
                <w:color w:val="000000"/>
                <w:sz w:val="18"/>
                <w:szCs w:val="18"/>
                <w:lang w:eastAsia="nl-BE"/>
              </w:rPr>
            </w:pPr>
            <w:r w:rsidRPr="0040191A">
              <w:rPr>
                <w:rFonts w:ascii="Calibri" w:eastAsia="Times New Roman" w:hAnsi="Calibri" w:cs="Calibri"/>
                <w:i/>
                <w:iCs/>
                <w:color w:val="000000"/>
                <w:sz w:val="18"/>
                <w:szCs w:val="18"/>
                <w:lang w:eastAsia="nl-BE"/>
              </w:rPr>
              <w:t>VUTG (incl Kinderbijslag door Fons)</w:t>
            </w:r>
          </w:p>
        </w:tc>
        <w:tc>
          <w:tcPr>
            <w:tcW w:w="431" w:type="pct"/>
            <w:tcBorders>
              <w:top w:val="nil"/>
              <w:left w:val="single" w:sz="4" w:space="0" w:color="auto"/>
              <w:bottom w:val="nil"/>
              <w:right w:val="single" w:sz="4" w:space="0" w:color="auto"/>
            </w:tcBorders>
            <w:shd w:val="clear" w:color="auto" w:fill="auto"/>
            <w:noWrap/>
            <w:vAlign w:val="center"/>
            <w:hideMark/>
          </w:tcPr>
          <w:p w14:paraId="7DE1AE39" w14:textId="44FA65CF"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1.017,6</w:t>
            </w:r>
          </w:p>
        </w:tc>
        <w:tc>
          <w:tcPr>
            <w:tcW w:w="431" w:type="pct"/>
            <w:tcBorders>
              <w:top w:val="nil"/>
              <w:left w:val="nil"/>
              <w:bottom w:val="nil"/>
              <w:right w:val="single" w:sz="4" w:space="0" w:color="auto"/>
            </w:tcBorders>
            <w:shd w:val="clear" w:color="auto" w:fill="auto"/>
            <w:noWrap/>
            <w:vAlign w:val="center"/>
            <w:hideMark/>
          </w:tcPr>
          <w:p w14:paraId="55E5B286" w14:textId="5B82357A"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1.018,9</w:t>
            </w:r>
          </w:p>
        </w:tc>
        <w:tc>
          <w:tcPr>
            <w:tcW w:w="431" w:type="pct"/>
            <w:tcBorders>
              <w:top w:val="nil"/>
              <w:left w:val="nil"/>
              <w:bottom w:val="nil"/>
              <w:right w:val="single" w:sz="4" w:space="0" w:color="auto"/>
            </w:tcBorders>
            <w:shd w:val="clear" w:color="auto" w:fill="auto"/>
            <w:noWrap/>
            <w:vAlign w:val="center"/>
            <w:hideMark/>
          </w:tcPr>
          <w:p w14:paraId="67FE9538" w14:textId="1E14FC2B"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1.054,5</w:t>
            </w:r>
          </w:p>
        </w:tc>
        <w:tc>
          <w:tcPr>
            <w:tcW w:w="409" w:type="pct"/>
            <w:tcBorders>
              <w:top w:val="nil"/>
              <w:left w:val="nil"/>
              <w:bottom w:val="nil"/>
              <w:right w:val="single" w:sz="4" w:space="0" w:color="auto"/>
            </w:tcBorders>
            <w:shd w:val="clear" w:color="auto" w:fill="auto"/>
            <w:noWrap/>
            <w:vAlign w:val="center"/>
            <w:hideMark/>
          </w:tcPr>
          <w:p w14:paraId="2CAF7DAE" w14:textId="68C3E0DB"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36,9</w:t>
            </w:r>
          </w:p>
        </w:tc>
        <w:tc>
          <w:tcPr>
            <w:tcW w:w="455" w:type="pct"/>
            <w:tcBorders>
              <w:top w:val="nil"/>
              <w:left w:val="nil"/>
              <w:bottom w:val="nil"/>
              <w:right w:val="single" w:sz="4" w:space="0" w:color="auto"/>
            </w:tcBorders>
            <w:shd w:val="clear" w:color="auto" w:fill="auto"/>
            <w:noWrap/>
            <w:vAlign w:val="center"/>
            <w:hideMark/>
          </w:tcPr>
          <w:p w14:paraId="63754B1C" w14:textId="4381B439"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3,6%</w:t>
            </w:r>
          </w:p>
        </w:tc>
        <w:tc>
          <w:tcPr>
            <w:tcW w:w="409" w:type="pct"/>
            <w:tcBorders>
              <w:top w:val="nil"/>
              <w:left w:val="nil"/>
              <w:bottom w:val="nil"/>
              <w:right w:val="single" w:sz="4" w:space="0" w:color="auto"/>
            </w:tcBorders>
            <w:shd w:val="clear" w:color="auto" w:fill="auto"/>
            <w:noWrap/>
            <w:vAlign w:val="center"/>
            <w:hideMark/>
          </w:tcPr>
          <w:p w14:paraId="25CF5547" w14:textId="2C87FF65"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35,6</w:t>
            </w:r>
          </w:p>
        </w:tc>
        <w:tc>
          <w:tcPr>
            <w:tcW w:w="407" w:type="pct"/>
            <w:tcBorders>
              <w:top w:val="nil"/>
              <w:left w:val="nil"/>
              <w:bottom w:val="nil"/>
              <w:right w:val="single" w:sz="4" w:space="0" w:color="auto"/>
            </w:tcBorders>
            <w:shd w:val="clear" w:color="auto" w:fill="auto"/>
            <w:noWrap/>
            <w:vAlign w:val="center"/>
            <w:hideMark/>
          </w:tcPr>
          <w:p w14:paraId="1E07520C" w14:textId="3ACF354E"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3,5%</w:t>
            </w:r>
          </w:p>
        </w:tc>
      </w:tr>
      <w:tr w:rsidR="00BD7F4E" w:rsidRPr="0040191A" w14:paraId="70FA783F" w14:textId="77777777" w:rsidTr="003B3329">
        <w:trPr>
          <w:trHeight w:val="290"/>
        </w:trPr>
        <w:tc>
          <w:tcPr>
            <w:tcW w:w="2025" w:type="pct"/>
            <w:tcBorders>
              <w:top w:val="nil"/>
              <w:left w:val="single" w:sz="4" w:space="0" w:color="auto"/>
              <w:bottom w:val="nil"/>
              <w:right w:val="single" w:sz="4" w:space="0" w:color="auto"/>
            </w:tcBorders>
            <w:shd w:val="clear" w:color="auto" w:fill="auto"/>
            <w:noWrap/>
            <w:vAlign w:val="center"/>
            <w:hideMark/>
          </w:tcPr>
          <w:p w14:paraId="4123F670" w14:textId="77777777" w:rsidR="00BD7F4E" w:rsidRPr="0040191A" w:rsidRDefault="00BD7F4E" w:rsidP="00BD7F4E">
            <w:pPr>
              <w:jc w:val="right"/>
              <w:rPr>
                <w:rFonts w:ascii="Calibri" w:eastAsia="Times New Roman" w:hAnsi="Calibri" w:cs="Calibri"/>
                <w:i/>
                <w:iCs/>
                <w:color w:val="000000"/>
                <w:sz w:val="18"/>
                <w:szCs w:val="18"/>
                <w:lang w:eastAsia="nl-BE"/>
              </w:rPr>
            </w:pPr>
            <w:r w:rsidRPr="0040191A">
              <w:rPr>
                <w:rFonts w:ascii="Calibri" w:eastAsia="Times New Roman" w:hAnsi="Calibri" w:cs="Calibri"/>
                <w:i/>
                <w:iCs/>
                <w:color w:val="000000"/>
                <w:sz w:val="18"/>
                <w:szCs w:val="18"/>
                <w:lang w:eastAsia="nl-BE"/>
              </w:rPr>
              <w:t>VSB (incl WZC)</w:t>
            </w:r>
          </w:p>
        </w:tc>
        <w:tc>
          <w:tcPr>
            <w:tcW w:w="431" w:type="pct"/>
            <w:tcBorders>
              <w:top w:val="nil"/>
              <w:left w:val="single" w:sz="4" w:space="0" w:color="auto"/>
              <w:bottom w:val="nil"/>
              <w:right w:val="single" w:sz="4" w:space="0" w:color="auto"/>
            </w:tcBorders>
            <w:shd w:val="clear" w:color="auto" w:fill="auto"/>
            <w:noWrap/>
            <w:vAlign w:val="center"/>
            <w:hideMark/>
          </w:tcPr>
          <w:p w14:paraId="1BB202B4" w14:textId="45857A79"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2.831,6</w:t>
            </w:r>
          </w:p>
        </w:tc>
        <w:tc>
          <w:tcPr>
            <w:tcW w:w="431" w:type="pct"/>
            <w:tcBorders>
              <w:top w:val="nil"/>
              <w:left w:val="nil"/>
              <w:bottom w:val="nil"/>
              <w:right w:val="single" w:sz="4" w:space="0" w:color="auto"/>
            </w:tcBorders>
            <w:shd w:val="clear" w:color="auto" w:fill="auto"/>
            <w:noWrap/>
            <w:vAlign w:val="center"/>
            <w:hideMark/>
          </w:tcPr>
          <w:p w14:paraId="171E68F8" w14:textId="3606175A"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2.834,7</w:t>
            </w:r>
          </w:p>
        </w:tc>
        <w:tc>
          <w:tcPr>
            <w:tcW w:w="431" w:type="pct"/>
            <w:tcBorders>
              <w:top w:val="nil"/>
              <w:left w:val="nil"/>
              <w:bottom w:val="nil"/>
              <w:right w:val="single" w:sz="4" w:space="0" w:color="auto"/>
            </w:tcBorders>
            <w:shd w:val="clear" w:color="auto" w:fill="auto"/>
            <w:noWrap/>
            <w:vAlign w:val="center"/>
            <w:hideMark/>
          </w:tcPr>
          <w:p w14:paraId="04ADA0B4" w14:textId="6C374919"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2.809,7</w:t>
            </w:r>
          </w:p>
        </w:tc>
        <w:tc>
          <w:tcPr>
            <w:tcW w:w="409" w:type="pct"/>
            <w:tcBorders>
              <w:top w:val="nil"/>
              <w:left w:val="nil"/>
              <w:bottom w:val="nil"/>
              <w:right w:val="single" w:sz="4" w:space="0" w:color="auto"/>
            </w:tcBorders>
            <w:shd w:val="clear" w:color="auto" w:fill="auto"/>
            <w:noWrap/>
            <w:vAlign w:val="center"/>
            <w:hideMark/>
          </w:tcPr>
          <w:p w14:paraId="13FACC1F" w14:textId="2A8CC503"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-21,9</w:t>
            </w:r>
          </w:p>
        </w:tc>
        <w:tc>
          <w:tcPr>
            <w:tcW w:w="455" w:type="pct"/>
            <w:tcBorders>
              <w:top w:val="nil"/>
              <w:left w:val="nil"/>
              <w:bottom w:val="nil"/>
              <w:right w:val="single" w:sz="4" w:space="0" w:color="auto"/>
            </w:tcBorders>
            <w:shd w:val="clear" w:color="auto" w:fill="auto"/>
            <w:noWrap/>
            <w:vAlign w:val="center"/>
            <w:hideMark/>
          </w:tcPr>
          <w:p w14:paraId="1775739E" w14:textId="35E94BCD"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-0,8%</w:t>
            </w:r>
          </w:p>
        </w:tc>
        <w:tc>
          <w:tcPr>
            <w:tcW w:w="409" w:type="pct"/>
            <w:tcBorders>
              <w:top w:val="nil"/>
              <w:left w:val="nil"/>
              <w:bottom w:val="nil"/>
              <w:right w:val="single" w:sz="4" w:space="0" w:color="auto"/>
            </w:tcBorders>
            <w:shd w:val="clear" w:color="auto" w:fill="auto"/>
            <w:noWrap/>
            <w:vAlign w:val="center"/>
            <w:hideMark/>
          </w:tcPr>
          <w:p w14:paraId="0FE12A46" w14:textId="77C4B47D"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-25,0</w:t>
            </w:r>
          </w:p>
        </w:tc>
        <w:tc>
          <w:tcPr>
            <w:tcW w:w="407" w:type="pct"/>
            <w:tcBorders>
              <w:top w:val="nil"/>
              <w:left w:val="nil"/>
              <w:bottom w:val="nil"/>
              <w:right w:val="single" w:sz="4" w:space="0" w:color="auto"/>
            </w:tcBorders>
            <w:shd w:val="clear" w:color="auto" w:fill="auto"/>
            <w:noWrap/>
            <w:vAlign w:val="center"/>
            <w:hideMark/>
          </w:tcPr>
          <w:p w14:paraId="4C1F89E8" w14:textId="399A5D98"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-0,9%</w:t>
            </w:r>
          </w:p>
        </w:tc>
      </w:tr>
      <w:tr w:rsidR="00BD7F4E" w:rsidRPr="0040191A" w14:paraId="1B5CBE10" w14:textId="77777777" w:rsidTr="003B3329">
        <w:trPr>
          <w:trHeight w:val="290"/>
        </w:trPr>
        <w:tc>
          <w:tcPr>
            <w:tcW w:w="2025" w:type="pct"/>
            <w:tcBorders>
              <w:top w:val="nil"/>
              <w:left w:val="single" w:sz="4" w:space="0" w:color="auto"/>
              <w:bottom w:val="nil"/>
              <w:right w:val="single" w:sz="4" w:space="0" w:color="auto"/>
            </w:tcBorders>
            <w:shd w:val="clear" w:color="auto" w:fill="auto"/>
            <w:noWrap/>
            <w:vAlign w:val="center"/>
            <w:hideMark/>
          </w:tcPr>
          <w:p w14:paraId="53E40976" w14:textId="77777777" w:rsidR="00BD7F4E" w:rsidRPr="0040191A" w:rsidRDefault="00BD7F4E" w:rsidP="00BD7F4E">
            <w:pPr>
              <w:jc w:val="right"/>
              <w:rPr>
                <w:rFonts w:ascii="Calibri" w:eastAsia="Times New Roman" w:hAnsi="Calibri" w:cs="Calibri"/>
                <w:i/>
                <w:iCs/>
                <w:color w:val="000000"/>
                <w:sz w:val="18"/>
                <w:szCs w:val="18"/>
                <w:lang w:eastAsia="nl-BE"/>
              </w:rPr>
            </w:pPr>
            <w:r w:rsidRPr="0040191A">
              <w:rPr>
                <w:rFonts w:ascii="Calibri" w:eastAsia="Times New Roman" w:hAnsi="Calibri" w:cs="Calibri"/>
                <w:i/>
                <w:iCs/>
                <w:color w:val="000000"/>
                <w:sz w:val="18"/>
                <w:szCs w:val="18"/>
                <w:lang w:eastAsia="nl-BE"/>
              </w:rPr>
              <w:t>Agion</w:t>
            </w:r>
          </w:p>
        </w:tc>
        <w:tc>
          <w:tcPr>
            <w:tcW w:w="431" w:type="pct"/>
            <w:tcBorders>
              <w:top w:val="nil"/>
              <w:left w:val="single" w:sz="4" w:space="0" w:color="auto"/>
              <w:bottom w:val="nil"/>
              <w:right w:val="single" w:sz="4" w:space="0" w:color="auto"/>
            </w:tcBorders>
            <w:shd w:val="clear" w:color="auto" w:fill="auto"/>
            <w:noWrap/>
            <w:vAlign w:val="center"/>
            <w:hideMark/>
          </w:tcPr>
          <w:p w14:paraId="6E4BE861" w14:textId="52E288B8"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349,3</w:t>
            </w:r>
          </w:p>
        </w:tc>
        <w:tc>
          <w:tcPr>
            <w:tcW w:w="431" w:type="pct"/>
            <w:tcBorders>
              <w:top w:val="nil"/>
              <w:left w:val="nil"/>
              <w:bottom w:val="nil"/>
              <w:right w:val="single" w:sz="4" w:space="0" w:color="auto"/>
            </w:tcBorders>
            <w:shd w:val="clear" w:color="auto" w:fill="auto"/>
            <w:noWrap/>
            <w:vAlign w:val="center"/>
            <w:hideMark/>
          </w:tcPr>
          <w:p w14:paraId="711EBC62" w14:textId="42BB93E7"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317,8</w:t>
            </w:r>
          </w:p>
        </w:tc>
        <w:tc>
          <w:tcPr>
            <w:tcW w:w="431" w:type="pct"/>
            <w:tcBorders>
              <w:top w:val="nil"/>
              <w:left w:val="nil"/>
              <w:bottom w:val="nil"/>
              <w:right w:val="single" w:sz="4" w:space="0" w:color="auto"/>
            </w:tcBorders>
            <w:shd w:val="clear" w:color="auto" w:fill="auto"/>
            <w:noWrap/>
            <w:vAlign w:val="center"/>
            <w:hideMark/>
          </w:tcPr>
          <w:p w14:paraId="432DF237" w14:textId="140AD3B9"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308,0</w:t>
            </w:r>
          </w:p>
        </w:tc>
        <w:tc>
          <w:tcPr>
            <w:tcW w:w="409" w:type="pct"/>
            <w:tcBorders>
              <w:top w:val="nil"/>
              <w:left w:val="nil"/>
              <w:bottom w:val="nil"/>
              <w:right w:val="single" w:sz="4" w:space="0" w:color="auto"/>
            </w:tcBorders>
            <w:shd w:val="clear" w:color="auto" w:fill="auto"/>
            <w:noWrap/>
            <w:vAlign w:val="center"/>
            <w:hideMark/>
          </w:tcPr>
          <w:p w14:paraId="54B1F023" w14:textId="1FC8F663"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-41,3</w:t>
            </w:r>
          </w:p>
        </w:tc>
        <w:tc>
          <w:tcPr>
            <w:tcW w:w="455" w:type="pct"/>
            <w:tcBorders>
              <w:top w:val="nil"/>
              <w:left w:val="nil"/>
              <w:bottom w:val="nil"/>
              <w:right w:val="single" w:sz="4" w:space="0" w:color="auto"/>
            </w:tcBorders>
            <w:shd w:val="clear" w:color="auto" w:fill="auto"/>
            <w:noWrap/>
            <w:vAlign w:val="center"/>
            <w:hideMark/>
          </w:tcPr>
          <w:p w14:paraId="4956457B" w14:textId="69540F45"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-11,8%</w:t>
            </w:r>
          </w:p>
        </w:tc>
        <w:tc>
          <w:tcPr>
            <w:tcW w:w="409" w:type="pct"/>
            <w:tcBorders>
              <w:top w:val="nil"/>
              <w:left w:val="nil"/>
              <w:bottom w:val="nil"/>
              <w:right w:val="single" w:sz="4" w:space="0" w:color="auto"/>
            </w:tcBorders>
            <w:shd w:val="clear" w:color="auto" w:fill="auto"/>
            <w:noWrap/>
            <w:vAlign w:val="center"/>
            <w:hideMark/>
          </w:tcPr>
          <w:p w14:paraId="0DB46690" w14:textId="58DFB528"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-9,8</w:t>
            </w:r>
          </w:p>
        </w:tc>
        <w:tc>
          <w:tcPr>
            <w:tcW w:w="407" w:type="pct"/>
            <w:tcBorders>
              <w:top w:val="nil"/>
              <w:left w:val="nil"/>
              <w:bottom w:val="nil"/>
              <w:right w:val="single" w:sz="4" w:space="0" w:color="auto"/>
            </w:tcBorders>
            <w:shd w:val="clear" w:color="auto" w:fill="auto"/>
            <w:noWrap/>
            <w:vAlign w:val="center"/>
            <w:hideMark/>
          </w:tcPr>
          <w:p w14:paraId="5CCF64D9" w14:textId="39915471"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-3,1%</w:t>
            </w:r>
          </w:p>
        </w:tc>
      </w:tr>
      <w:tr w:rsidR="00BD7F4E" w:rsidRPr="0040191A" w14:paraId="5FF5BB54" w14:textId="77777777" w:rsidTr="003B3329">
        <w:trPr>
          <w:trHeight w:val="290"/>
        </w:trPr>
        <w:tc>
          <w:tcPr>
            <w:tcW w:w="2025" w:type="pct"/>
            <w:tcBorders>
              <w:top w:val="nil"/>
              <w:left w:val="single" w:sz="4" w:space="0" w:color="auto"/>
              <w:bottom w:val="nil"/>
              <w:right w:val="single" w:sz="4" w:space="0" w:color="auto"/>
            </w:tcBorders>
            <w:shd w:val="clear" w:color="auto" w:fill="auto"/>
            <w:noWrap/>
            <w:vAlign w:val="center"/>
            <w:hideMark/>
          </w:tcPr>
          <w:p w14:paraId="4FF42E7F" w14:textId="77777777" w:rsidR="00BD7F4E" w:rsidRPr="0040191A" w:rsidRDefault="00BD7F4E" w:rsidP="00BD7F4E">
            <w:pPr>
              <w:jc w:val="right"/>
              <w:rPr>
                <w:rFonts w:ascii="Calibri" w:eastAsia="Times New Roman" w:hAnsi="Calibri" w:cs="Calibri"/>
                <w:i/>
                <w:iCs/>
                <w:color w:val="000000"/>
                <w:sz w:val="18"/>
                <w:szCs w:val="18"/>
                <w:lang w:eastAsia="nl-BE"/>
              </w:rPr>
            </w:pPr>
            <w:r w:rsidRPr="0040191A">
              <w:rPr>
                <w:rFonts w:ascii="Calibri" w:eastAsia="Times New Roman" w:hAnsi="Calibri" w:cs="Calibri"/>
                <w:i/>
                <w:iCs/>
                <w:color w:val="000000"/>
                <w:sz w:val="18"/>
                <w:szCs w:val="18"/>
                <w:lang w:eastAsia="nl-BE"/>
              </w:rPr>
              <w:t>BAM</w:t>
            </w:r>
          </w:p>
        </w:tc>
        <w:tc>
          <w:tcPr>
            <w:tcW w:w="431" w:type="pct"/>
            <w:tcBorders>
              <w:top w:val="nil"/>
              <w:left w:val="single" w:sz="4" w:space="0" w:color="auto"/>
              <w:bottom w:val="nil"/>
              <w:right w:val="single" w:sz="4" w:space="0" w:color="auto"/>
            </w:tcBorders>
            <w:shd w:val="clear" w:color="auto" w:fill="auto"/>
            <w:noWrap/>
            <w:vAlign w:val="center"/>
            <w:hideMark/>
          </w:tcPr>
          <w:p w14:paraId="65A8B14D" w14:textId="09542993"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171,2</w:t>
            </w:r>
          </w:p>
        </w:tc>
        <w:tc>
          <w:tcPr>
            <w:tcW w:w="431" w:type="pct"/>
            <w:tcBorders>
              <w:top w:val="nil"/>
              <w:left w:val="nil"/>
              <w:bottom w:val="nil"/>
              <w:right w:val="single" w:sz="4" w:space="0" w:color="auto"/>
            </w:tcBorders>
            <w:shd w:val="clear" w:color="auto" w:fill="auto"/>
            <w:noWrap/>
            <w:vAlign w:val="center"/>
            <w:hideMark/>
          </w:tcPr>
          <w:p w14:paraId="13A6B7C8" w14:textId="2BB8814A"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147,4</w:t>
            </w:r>
          </w:p>
        </w:tc>
        <w:tc>
          <w:tcPr>
            <w:tcW w:w="431" w:type="pct"/>
            <w:tcBorders>
              <w:top w:val="nil"/>
              <w:left w:val="nil"/>
              <w:bottom w:val="nil"/>
              <w:right w:val="single" w:sz="4" w:space="0" w:color="auto"/>
            </w:tcBorders>
            <w:shd w:val="clear" w:color="auto" w:fill="auto"/>
            <w:noWrap/>
            <w:vAlign w:val="center"/>
            <w:hideMark/>
          </w:tcPr>
          <w:p w14:paraId="7DE54134" w14:textId="4925146F"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153,2</w:t>
            </w:r>
          </w:p>
        </w:tc>
        <w:tc>
          <w:tcPr>
            <w:tcW w:w="409" w:type="pct"/>
            <w:tcBorders>
              <w:top w:val="nil"/>
              <w:left w:val="nil"/>
              <w:bottom w:val="nil"/>
              <w:right w:val="single" w:sz="4" w:space="0" w:color="auto"/>
            </w:tcBorders>
            <w:shd w:val="clear" w:color="auto" w:fill="auto"/>
            <w:noWrap/>
            <w:vAlign w:val="center"/>
            <w:hideMark/>
          </w:tcPr>
          <w:p w14:paraId="5F036804" w14:textId="0D90AE43"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-18,0</w:t>
            </w:r>
          </w:p>
        </w:tc>
        <w:tc>
          <w:tcPr>
            <w:tcW w:w="455" w:type="pct"/>
            <w:tcBorders>
              <w:top w:val="nil"/>
              <w:left w:val="nil"/>
              <w:bottom w:val="nil"/>
              <w:right w:val="single" w:sz="4" w:space="0" w:color="auto"/>
            </w:tcBorders>
            <w:shd w:val="clear" w:color="auto" w:fill="auto"/>
            <w:noWrap/>
            <w:vAlign w:val="center"/>
            <w:hideMark/>
          </w:tcPr>
          <w:p w14:paraId="20BA52AC" w14:textId="1DBED141"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-10,5%</w:t>
            </w:r>
          </w:p>
        </w:tc>
        <w:tc>
          <w:tcPr>
            <w:tcW w:w="409" w:type="pct"/>
            <w:tcBorders>
              <w:top w:val="nil"/>
              <w:left w:val="nil"/>
              <w:bottom w:val="nil"/>
              <w:right w:val="single" w:sz="4" w:space="0" w:color="auto"/>
            </w:tcBorders>
            <w:shd w:val="clear" w:color="auto" w:fill="auto"/>
            <w:noWrap/>
            <w:vAlign w:val="center"/>
            <w:hideMark/>
          </w:tcPr>
          <w:p w14:paraId="27025592" w14:textId="70BAC56D"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5,9</w:t>
            </w:r>
          </w:p>
        </w:tc>
        <w:tc>
          <w:tcPr>
            <w:tcW w:w="407" w:type="pct"/>
            <w:tcBorders>
              <w:top w:val="nil"/>
              <w:left w:val="nil"/>
              <w:bottom w:val="nil"/>
              <w:right w:val="single" w:sz="4" w:space="0" w:color="auto"/>
            </w:tcBorders>
            <w:shd w:val="clear" w:color="auto" w:fill="auto"/>
            <w:noWrap/>
            <w:vAlign w:val="center"/>
            <w:hideMark/>
          </w:tcPr>
          <w:p w14:paraId="1F9987A6" w14:textId="2D1A5FBD"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4,0%</w:t>
            </w:r>
          </w:p>
        </w:tc>
      </w:tr>
      <w:tr w:rsidR="00BD7F4E" w:rsidRPr="0040191A" w14:paraId="1716B422" w14:textId="77777777" w:rsidTr="003B3329">
        <w:trPr>
          <w:trHeight w:val="290"/>
        </w:trPr>
        <w:tc>
          <w:tcPr>
            <w:tcW w:w="2025" w:type="pct"/>
            <w:tcBorders>
              <w:top w:val="nil"/>
              <w:left w:val="single" w:sz="4" w:space="0" w:color="auto"/>
              <w:bottom w:val="nil"/>
              <w:right w:val="single" w:sz="4" w:space="0" w:color="auto"/>
            </w:tcBorders>
            <w:shd w:val="clear" w:color="auto" w:fill="auto"/>
            <w:noWrap/>
            <w:vAlign w:val="center"/>
            <w:hideMark/>
          </w:tcPr>
          <w:p w14:paraId="71205F0D" w14:textId="77777777" w:rsidR="00BD7F4E" w:rsidRPr="0040191A" w:rsidRDefault="00BD7F4E" w:rsidP="00BD7F4E">
            <w:pPr>
              <w:jc w:val="right"/>
              <w:rPr>
                <w:rFonts w:ascii="Calibri" w:eastAsia="Times New Roman" w:hAnsi="Calibri" w:cs="Calibri"/>
                <w:i/>
                <w:iCs/>
                <w:color w:val="000000"/>
                <w:sz w:val="18"/>
                <w:szCs w:val="18"/>
                <w:lang w:eastAsia="nl-BE"/>
              </w:rPr>
            </w:pPr>
            <w:r w:rsidRPr="0040191A">
              <w:rPr>
                <w:rFonts w:ascii="Calibri" w:eastAsia="Times New Roman" w:hAnsi="Calibri" w:cs="Calibri"/>
                <w:i/>
                <w:iCs/>
                <w:color w:val="000000"/>
                <w:sz w:val="18"/>
                <w:szCs w:val="18"/>
                <w:lang w:eastAsia="nl-BE"/>
              </w:rPr>
              <w:t>De Vlaamse Waterweg</w:t>
            </w:r>
          </w:p>
        </w:tc>
        <w:tc>
          <w:tcPr>
            <w:tcW w:w="431" w:type="pct"/>
            <w:tcBorders>
              <w:top w:val="nil"/>
              <w:left w:val="single" w:sz="4" w:space="0" w:color="auto"/>
              <w:bottom w:val="nil"/>
              <w:right w:val="single" w:sz="4" w:space="0" w:color="auto"/>
            </w:tcBorders>
            <w:shd w:val="clear" w:color="auto" w:fill="auto"/>
            <w:noWrap/>
            <w:vAlign w:val="center"/>
            <w:hideMark/>
          </w:tcPr>
          <w:p w14:paraId="01EB7840" w14:textId="591E2B8A"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472,4</w:t>
            </w:r>
          </w:p>
        </w:tc>
        <w:tc>
          <w:tcPr>
            <w:tcW w:w="431" w:type="pct"/>
            <w:tcBorders>
              <w:top w:val="nil"/>
              <w:left w:val="nil"/>
              <w:bottom w:val="nil"/>
              <w:right w:val="single" w:sz="4" w:space="0" w:color="auto"/>
            </w:tcBorders>
            <w:shd w:val="clear" w:color="auto" w:fill="auto"/>
            <w:noWrap/>
            <w:vAlign w:val="center"/>
            <w:hideMark/>
          </w:tcPr>
          <w:p w14:paraId="4170F2E9" w14:textId="47962510"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451,8</w:t>
            </w:r>
          </w:p>
        </w:tc>
        <w:tc>
          <w:tcPr>
            <w:tcW w:w="431" w:type="pct"/>
            <w:tcBorders>
              <w:top w:val="nil"/>
              <w:left w:val="nil"/>
              <w:bottom w:val="nil"/>
              <w:right w:val="single" w:sz="4" w:space="0" w:color="auto"/>
            </w:tcBorders>
            <w:shd w:val="clear" w:color="auto" w:fill="auto"/>
            <w:noWrap/>
            <w:vAlign w:val="center"/>
            <w:hideMark/>
          </w:tcPr>
          <w:p w14:paraId="2523AF50" w14:textId="5D7FB9DB"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438,3</w:t>
            </w:r>
          </w:p>
        </w:tc>
        <w:tc>
          <w:tcPr>
            <w:tcW w:w="409" w:type="pct"/>
            <w:tcBorders>
              <w:top w:val="nil"/>
              <w:left w:val="nil"/>
              <w:bottom w:val="nil"/>
              <w:right w:val="single" w:sz="4" w:space="0" w:color="auto"/>
            </w:tcBorders>
            <w:shd w:val="clear" w:color="auto" w:fill="auto"/>
            <w:noWrap/>
            <w:vAlign w:val="center"/>
            <w:hideMark/>
          </w:tcPr>
          <w:p w14:paraId="6509524C" w14:textId="7DB33D91"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-34,1</w:t>
            </w:r>
          </w:p>
        </w:tc>
        <w:tc>
          <w:tcPr>
            <w:tcW w:w="455" w:type="pct"/>
            <w:tcBorders>
              <w:top w:val="nil"/>
              <w:left w:val="nil"/>
              <w:bottom w:val="nil"/>
              <w:right w:val="single" w:sz="4" w:space="0" w:color="auto"/>
            </w:tcBorders>
            <w:shd w:val="clear" w:color="auto" w:fill="auto"/>
            <w:noWrap/>
            <w:vAlign w:val="center"/>
            <w:hideMark/>
          </w:tcPr>
          <w:p w14:paraId="31A71D54" w14:textId="29316935"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-7,2%</w:t>
            </w:r>
          </w:p>
        </w:tc>
        <w:tc>
          <w:tcPr>
            <w:tcW w:w="409" w:type="pct"/>
            <w:tcBorders>
              <w:top w:val="nil"/>
              <w:left w:val="nil"/>
              <w:bottom w:val="nil"/>
              <w:right w:val="single" w:sz="4" w:space="0" w:color="auto"/>
            </w:tcBorders>
            <w:shd w:val="clear" w:color="auto" w:fill="auto"/>
            <w:noWrap/>
            <w:vAlign w:val="center"/>
            <w:hideMark/>
          </w:tcPr>
          <w:p w14:paraId="731CF2AF" w14:textId="301C4562"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-13,5</w:t>
            </w:r>
          </w:p>
        </w:tc>
        <w:tc>
          <w:tcPr>
            <w:tcW w:w="407" w:type="pct"/>
            <w:tcBorders>
              <w:top w:val="nil"/>
              <w:left w:val="nil"/>
              <w:bottom w:val="nil"/>
              <w:right w:val="single" w:sz="4" w:space="0" w:color="auto"/>
            </w:tcBorders>
            <w:shd w:val="clear" w:color="auto" w:fill="auto"/>
            <w:noWrap/>
            <w:vAlign w:val="center"/>
            <w:hideMark/>
          </w:tcPr>
          <w:p w14:paraId="3897153E" w14:textId="2B470AD6"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-3,0%</w:t>
            </w:r>
          </w:p>
        </w:tc>
      </w:tr>
      <w:tr w:rsidR="00BD7F4E" w:rsidRPr="0040191A" w14:paraId="77B6F57B" w14:textId="77777777" w:rsidTr="003B3329">
        <w:trPr>
          <w:trHeight w:val="290"/>
        </w:trPr>
        <w:tc>
          <w:tcPr>
            <w:tcW w:w="2025" w:type="pct"/>
            <w:tcBorders>
              <w:top w:val="nil"/>
              <w:left w:val="single" w:sz="4" w:space="0" w:color="auto"/>
              <w:bottom w:val="nil"/>
              <w:right w:val="single" w:sz="4" w:space="0" w:color="auto"/>
            </w:tcBorders>
            <w:shd w:val="clear" w:color="auto" w:fill="auto"/>
            <w:noWrap/>
            <w:vAlign w:val="center"/>
            <w:hideMark/>
          </w:tcPr>
          <w:p w14:paraId="5D093033" w14:textId="77777777" w:rsidR="00BD7F4E" w:rsidRPr="0040191A" w:rsidRDefault="00BD7F4E" w:rsidP="00BD7F4E">
            <w:pPr>
              <w:jc w:val="right"/>
              <w:rPr>
                <w:rFonts w:ascii="Calibri" w:eastAsia="Times New Roman" w:hAnsi="Calibri" w:cs="Calibri"/>
                <w:i/>
                <w:iCs/>
                <w:color w:val="000000"/>
                <w:sz w:val="18"/>
                <w:szCs w:val="18"/>
                <w:lang w:eastAsia="nl-BE"/>
              </w:rPr>
            </w:pPr>
            <w:r w:rsidRPr="0040191A">
              <w:rPr>
                <w:rFonts w:ascii="Calibri" w:eastAsia="Times New Roman" w:hAnsi="Calibri" w:cs="Calibri"/>
                <w:i/>
                <w:iCs/>
                <w:color w:val="000000"/>
                <w:sz w:val="18"/>
                <w:szCs w:val="18"/>
                <w:lang w:eastAsia="nl-BE"/>
              </w:rPr>
              <w:t>De Werkvennootschap</w:t>
            </w:r>
          </w:p>
        </w:tc>
        <w:tc>
          <w:tcPr>
            <w:tcW w:w="431" w:type="pct"/>
            <w:tcBorders>
              <w:top w:val="nil"/>
              <w:left w:val="single" w:sz="4" w:space="0" w:color="auto"/>
              <w:bottom w:val="nil"/>
              <w:right w:val="single" w:sz="4" w:space="0" w:color="auto"/>
            </w:tcBorders>
            <w:shd w:val="clear" w:color="auto" w:fill="auto"/>
            <w:noWrap/>
            <w:vAlign w:val="center"/>
            <w:hideMark/>
          </w:tcPr>
          <w:p w14:paraId="448B090A" w14:textId="0540A42E"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69,5</w:t>
            </w:r>
          </w:p>
        </w:tc>
        <w:tc>
          <w:tcPr>
            <w:tcW w:w="431" w:type="pct"/>
            <w:tcBorders>
              <w:top w:val="nil"/>
              <w:left w:val="nil"/>
              <w:bottom w:val="nil"/>
              <w:right w:val="single" w:sz="4" w:space="0" w:color="auto"/>
            </w:tcBorders>
            <w:shd w:val="clear" w:color="auto" w:fill="auto"/>
            <w:noWrap/>
            <w:vAlign w:val="center"/>
            <w:hideMark/>
          </w:tcPr>
          <w:p w14:paraId="24E6AFC8" w14:textId="0EC7DCEA"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49,4</w:t>
            </w:r>
          </w:p>
        </w:tc>
        <w:tc>
          <w:tcPr>
            <w:tcW w:w="431" w:type="pct"/>
            <w:tcBorders>
              <w:top w:val="nil"/>
              <w:left w:val="nil"/>
              <w:bottom w:val="nil"/>
              <w:right w:val="single" w:sz="4" w:space="0" w:color="auto"/>
            </w:tcBorders>
            <w:shd w:val="clear" w:color="auto" w:fill="auto"/>
            <w:noWrap/>
            <w:vAlign w:val="center"/>
            <w:hideMark/>
          </w:tcPr>
          <w:p w14:paraId="40F25BC1" w14:textId="5FD7EBFC"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44,7</w:t>
            </w:r>
          </w:p>
        </w:tc>
        <w:tc>
          <w:tcPr>
            <w:tcW w:w="409" w:type="pct"/>
            <w:tcBorders>
              <w:top w:val="nil"/>
              <w:left w:val="nil"/>
              <w:bottom w:val="nil"/>
              <w:right w:val="single" w:sz="4" w:space="0" w:color="auto"/>
            </w:tcBorders>
            <w:shd w:val="clear" w:color="auto" w:fill="auto"/>
            <w:noWrap/>
            <w:vAlign w:val="center"/>
            <w:hideMark/>
          </w:tcPr>
          <w:p w14:paraId="2CB6DB9F" w14:textId="7E3D8ED9"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-24,9</w:t>
            </w:r>
          </w:p>
        </w:tc>
        <w:tc>
          <w:tcPr>
            <w:tcW w:w="455" w:type="pct"/>
            <w:tcBorders>
              <w:top w:val="nil"/>
              <w:left w:val="nil"/>
              <w:bottom w:val="nil"/>
              <w:right w:val="single" w:sz="4" w:space="0" w:color="auto"/>
            </w:tcBorders>
            <w:shd w:val="clear" w:color="auto" w:fill="auto"/>
            <w:noWrap/>
            <w:vAlign w:val="center"/>
            <w:hideMark/>
          </w:tcPr>
          <w:p w14:paraId="7E143ACD" w14:textId="3E96F8FB"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-35,8%</w:t>
            </w:r>
          </w:p>
        </w:tc>
        <w:tc>
          <w:tcPr>
            <w:tcW w:w="409" w:type="pct"/>
            <w:tcBorders>
              <w:top w:val="nil"/>
              <w:left w:val="nil"/>
              <w:bottom w:val="nil"/>
              <w:right w:val="single" w:sz="4" w:space="0" w:color="auto"/>
            </w:tcBorders>
            <w:shd w:val="clear" w:color="auto" w:fill="auto"/>
            <w:noWrap/>
            <w:vAlign w:val="center"/>
            <w:hideMark/>
          </w:tcPr>
          <w:p w14:paraId="6920B4B8" w14:textId="1D76B64B"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-4,8</w:t>
            </w:r>
          </w:p>
        </w:tc>
        <w:tc>
          <w:tcPr>
            <w:tcW w:w="407" w:type="pct"/>
            <w:tcBorders>
              <w:top w:val="nil"/>
              <w:left w:val="nil"/>
              <w:bottom w:val="nil"/>
              <w:right w:val="single" w:sz="4" w:space="0" w:color="auto"/>
            </w:tcBorders>
            <w:shd w:val="clear" w:color="auto" w:fill="auto"/>
            <w:noWrap/>
            <w:vAlign w:val="center"/>
            <w:hideMark/>
          </w:tcPr>
          <w:p w14:paraId="26C1E690" w14:textId="108686F6"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-9,7%</w:t>
            </w:r>
          </w:p>
        </w:tc>
      </w:tr>
      <w:tr w:rsidR="00BD7F4E" w:rsidRPr="0040191A" w14:paraId="3DC13255" w14:textId="77777777" w:rsidTr="003B3329">
        <w:trPr>
          <w:trHeight w:val="290"/>
        </w:trPr>
        <w:tc>
          <w:tcPr>
            <w:tcW w:w="2025" w:type="pct"/>
            <w:tcBorders>
              <w:top w:val="nil"/>
              <w:left w:val="single" w:sz="4" w:space="0" w:color="auto"/>
              <w:bottom w:val="nil"/>
              <w:right w:val="single" w:sz="4" w:space="0" w:color="auto"/>
            </w:tcBorders>
            <w:shd w:val="clear" w:color="auto" w:fill="auto"/>
            <w:noWrap/>
            <w:vAlign w:val="center"/>
            <w:hideMark/>
          </w:tcPr>
          <w:p w14:paraId="40F4615A" w14:textId="77777777" w:rsidR="00BD7F4E" w:rsidRPr="0040191A" w:rsidRDefault="00BD7F4E" w:rsidP="00BD7F4E">
            <w:pPr>
              <w:jc w:val="right"/>
              <w:rPr>
                <w:rFonts w:ascii="Calibri" w:eastAsia="Times New Roman" w:hAnsi="Calibri" w:cs="Calibri"/>
                <w:i/>
                <w:iCs/>
                <w:color w:val="000000"/>
                <w:sz w:val="18"/>
                <w:szCs w:val="18"/>
                <w:lang w:eastAsia="nl-BE"/>
              </w:rPr>
            </w:pPr>
            <w:r w:rsidRPr="0040191A">
              <w:rPr>
                <w:rFonts w:ascii="Calibri" w:eastAsia="Times New Roman" w:hAnsi="Calibri" w:cs="Calibri"/>
                <w:i/>
                <w:iCs/>
                <w:color w:val="000000"/>
                <w:sz w:val="18"/>
                <w:szCs w:val="18"/>
                <w:lang w:eastAsia="nl-BE"/>
              </w:rPr>
              <w:t>VVM-De Lijn</w:t>
            </w:r>
          </w:p>
        </w:tc>
        <w:tc>
          <w:tcPr>
            <w:tcW w:w="431" w:type="pct"/>
            <w:tcBorders>
              <w:top w:val="nil"/>
              <w:left w:val="single" w:sz="4" w:space="0" w:color="auto"/>
              <w:bottom w:val="nil"/>
              <w:right w:val="single" w:sz="4" w:space="0" w:color="auto"/>
            </w:tcBorders>
            <w:shd w:val="clear" w:color="auto" w:fill="auto"/>
            <w:noWrap/>
            <w:vAlign w:val="center"/>
            <w:hideMark/>
          </w:tcPr>
          <w:p w14:paraId="7A47824C" w14:textId="1C55338E"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1.244,9</w:t>
            </w:r>
          </w:p>
        </w:tc>
        <w:tc>
          <w:tcPr>
            <w:tcW w:w="431" w:type="pct"/>
            <w:tcBorders>
              <w:top w:val="nil"/>
              <w:left w:val="nil"/>
              <w:bottom w:val="nil"/>
              <w:right w:val="single" w:sz="4" w:space="0" w:color="auto"/>
            </w:tcBorders>
            <w:shd w:val="clear" w:color="auto" w:fill="auto"/>
            <w:noWrap/>
            <w:vAlign w:val="center"/>
            <w:hideMark/>
          </w:tcPr>
          <w:p w14:paraId="245E9E30" w14:textId="390979E0"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1.236,4</w:t>
            </w:r>
          </w:p>
        </w:tc>
        <w:tc>
          <w:tcPr>
            <w:tcW w:w="431" w:type="pct"/>
            <w:tcBorders>
              <w:top w:val="nil"/>
              <w:left w:val="nil"/>
              <w:bottom w:val="nil"/>
              <w:right w:val="single" w:sz="4" w:space="0" w:color="auto"/>
            </w:tcBorders>
            <w:shd w:val="clear" w:color="auto" w:fill="auto"/>
            <w:noWrap/>
            <w:vAlign w:val="center"/>
            <w:hideMark/>
          </w:tcPr>
          <w:p w14:paraId="5CE76596" w14:textId="6B6DFD1A"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1.237,4</w:t>
            </w:r>
          </w:p>
        </w:tc>
        <w:tc>
          <w:tcPr>
            <w:tcW w:w="409" w:type="pct"/>
            <w:tcBorders>
              <w:top w:val="nil"/>
              <w:left w:val="nil"/>
              <w:bottom w:val="nil"/>
              <w:right w:val="single" w:sz="4" w:space="0" w:color="auto"/>
            </w:tcBorders>
            <w:shd w:val="clear" w:color="auto" w:fill="auto"/>
            <w:noWrap/>
            <w:vAlign w:val="center"/>
            <w:hideMark/>
          </w:tcPr>
          <w:p w14:paraId="343116A4" w14:textId="3D977FA9"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-7,6</w:t>
            </w:r>
          </w:p>
        </w:tc>
        <w:tc>
          <w:tcPr>
            <w:tcW w:w="455" w:type="pct"/>
            <w:tcBorders>
              <w:top w:val="nil"/>
              <w:left w:val="nil"/>
              <w:bottom w:val="nil"/>
              <w:right w:val="single" w:sz="4" w:space="0" w:color="auto"/>
            </w:tcBorders>
            <w:shd w:val="clear" w:color="auto" w:fill="auto"/>
            <w:noWrap/>
            <w:vAlign w:val="center"/>
            <w:hideMark/>
          </w:tcPr>
          <w:p w14:paraId="5A3E61AD" w14:textId="1A6E876B"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-0,6%</w:t>
            </w:r>
          </w:p>
        </w:tc>
        <w:tc>
          <w:tcPr>
            <w:tcW w:w="409" w:type="pct"/>
            <w:tcBorders>
              <w:top w:val="nil"/>
              <w:left w:val="nil"/>
              <w:bottom w:val="nil"/>
              <w:right w:val="single" w:sz="4" w:space="0" w:color="auto"/>
            </w:tcBorders>
            <w:shd w:val="clear" w:color="auto" w:fill="auto"/>
            <w:noWrap/>
            <w:vAlign w:val="center"/>
            <w:hideMark/>
          </w:tcPr>
          <w:p w14:paraId="26360A5B" w14:textId="4BF0F27C"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1,0</w:t>
            </w:r>
          </w:p>
        </w:tc>
        <w:tc>
          <w:tcPr>
            <w:tcW w:w="407" w:type="pct"/>
            <w:tcBorders>
              <w:top w:val="nil"/>
              <w:left w:val="nil"/>
              <w:bottom w:val="nil"/>
              <w:right w:val="single" w:sz="4" w:space="0" w:color="auto"/>
            </w:tcBorders>
            <w:shd w:val="clear" w:color="auto" w:fill="auto"/>
            <w:noWrap/>
            <w:vAlign w:val="center"/>
            <w:hideMark/>
          </w:tcPr>
          <w:p w14:paraId="02381D1A" w14:textId="33FBE927"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0,1%</w:t>
            </w:r>
          </w:p>
        </w:tc>
      </w:tr>
      <w:tr w:rsidR="00BD7F4E" w:rsidRPr="0040191A" w14:paraId="2488506B" w14:textId="77777777" w:rsidTr="003B3329">
        <w:trPr>
          <w:trHeight w:val="290"/>
        </w:trPr>
        <w:tc>
          <w:tcPr>
            <w:tcW w:w="2025" w:type="pct"/>
            <w:tcBorders>
              <w:top w:val="nil"/>
              <w:left w:val="single" w:sz="4" w:space="0" w:color="auto"/>
              <w:bottom w:val="nil"/>
              <w:right w:val="single" w:sz="4" w:space="0" w:color="auto"/>
            </w:tcBorders>
            <w:shd w:val="clear" w:color="auto" w:fill="auto"/>
            <w:noWrap/>
            <w:vAlign w:val="center"/>
            <w:hideMark/>
          </w:tcPr>
          <w:p w14:paraId="37B4B016" w14:textId="77777777" w:rsidR="00BD7F4E" w:rsidRPr="0040191A" w:rsidRDefault="00BD7F4E" w:rsidP="00BD7F4E">
            <w:pPr>
              <w:jc w:val="right"/>
              <w:rPr>
                <w:rFonts w:ascii="Calibri" w:eastAsia="Times New Roman" w:hAnsi="Calibri" w:cs="Calibri"/>
                <w:i/>
                <w:iCs/>
                <w:color w:val="000000"/>
                <w:sz w:val="18"/>
                <w:szCs w:val="18"/>
                <w:lang w:eastAsia="nl-BE"/>
              </w:rPr>
            </w:pPr>
            <w:r w:rsidRPr="0040191A">
              <w:rPr>
                <w:rFonts w:ascii="Calibri" w:eastAsia="Times New Roman" w:hAnsi="Calibri" w:cs="Calibri"/>
                <w:i/>
                <w:iCs/>
                <w:color w:val="000000"/>
                <w:sz w:val="18"/>
                <w:szCs w:val="18"/>
                <w:lang w:eastAsia="nl-BE"/>
              </w:rPr>
              <w:t>U&amp;HS</w:t>
            </w:r>
          </w:p>
        </w:tc>
        <w:tc>
          <w:tcPr>
            <w:tcW w:w="431" w:type="pct"/>
            <w:tcBorders>
              <w:top w:val="nil"/>
              <w:left w:val="single" w:sz="4" w:space="0" w:color="auto"/>
              <w:bottom w:val="nil"/>
              <w:right w:val="single" w:sz="4" w:space="0" w:color="auto"/>
            </w:tcBorders>
            <w:shd w:val="clear" w:color="auto" w:fill="auto"/>
            <w:noWrap/>
            <w:vAlign w:val="center"/>
            <w:hideMark/>
          </w:tcPr>
          <w:p w14:paraId="29D4183B" w14:textId="55D9EA06"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3.715,8</w:t>
            </w:r>
          </w:p>
        </w:tc>
        <w:tc>
          <w:tcPr>
            <w:tcW w:w="431" w:type="pct"/>
            <w:tcBorders>
              <w:top w:val="nil"/>
              <w:left w:val="nil"/>
              <w:bottom w:val="nil"/>
              <w:right w:val="single" w:sz="4" w:space="0" w:color="auto"/>
            </w:tcBorders>
            <w:shd w:val="clear" w:color="auto" w:fill="auto"/>
            <w:noWrap/>
            <w:vAlign w:val="center"/>
            <w:hideMark/>
          </w:tcPr>
          <w:p w14:paraId="48B259EA" w14:textId="5B94B266"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3.585,7</w:t>
            </w:r>
          </w:p>
        </w:tc>
        <w:tc>
          <w:tcPr>
            <w:tcW w:w="431" w:type="pct"/>
            <w:tcBorders>
              <w:top w:val="nil"/>
              <w:left w:val="nil"/>
              <w:bottom w:val="nil"/>
              <w:right w:val="single" w:sz="4" w:space="0" w:color="auto"/>
            </w:tcBorders>
            <w:shd w:val="clear" w:color="auto" w:fill="auto"/>
            <w:noWrap/>
            <w:vAlign w:val="center"/>
            <w:hideMark/>
          </w:tcPr>
          <w:p w14:paraId="7D302E9C" w14:textId="1F77B509"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3.622,4</w:t>
            </w:r>
          </w:p>
        </w:tc>
        <w:tc>
          <w:tcPr>
            <w:tcW w:w="409" w:type="pct"/>
            <w:tcBorders>
              <w:top w:val="nil"/>
              <w:left w:val="nil"/>
              <w:bottom w:val="nil"/>
              <w:right w:val="single" w:sz="4" w:space="0" w:color="auto"/>
            </w:tcBorders>
            <w:shd w:val="clear" w:color="auto" w:fill="auto"/>
            <w:noWrap/>
            <w:vAlign w:val="center"/>
            <w:hideMark/>
          </w:tcPr>
          <w:p w14:paraId="3C791740" w14:textId="2A6CB33A"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-93,4</w:t>
            </w:r>
          </w:p>
        </w:tc>
        <w:tc>
          <w:tcPr>
            <w:tcW w:w="455" w:type="pct"/>
            <w:tcBorders>
              <w:top w:val="nil"/>
              <w:left w:val="nil"/>
              <w:bottom w:val="nil"/>
              <w:right w:val="single" w:sz="4" w:space="0" w:color="auto"/>
            </w:tcBorders>
            <w:shd w:val="clear" w:color="auto" w:fill="auto"/>
            <w:noWrap/>
            <w:vAlign w:val="center"/>
            <w:hideMark/>
          </w:tcPr>
          <w:p w14:paraId="0C7DC067" w14:textId="3DC84E4E"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-2,5%</w:t>
            </w:r>
          </w:p>
        </w:tc>
        <w:tc>
          <w:tcPr>
            <w:tcW w:w="409" w:type="pct"/>
            <w:tcBorders>
              <w:top w:val="nil"/>
              <w:left w:val="nil"/>
              <w:bottom w:val="nil"/>
              <w:right w:val="single" w:sz="4" w:space="0" w:color="auto"/>
            </w:tcBorders>
            <w:shd w:val="clear" w:color="auto" w:fill="auto"/>
            <w:noWrap/>
            <w:vAlign w:val="center"/>
            <w:hideMark/>
          </w:tcPr>
          <w:p w14:paraId="4F4AF434" w14:textId="2BAB8329"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36,7</w:t>
            </w:r>
          </w:p>
        </w:tc>
        <w:tc>
          <w:tcPr>
            <w:tcW w:w="407" w:type="pct"/>
            <w:tcBorders>
              <w:top w:val="nil"/>
              <w:left w:val="nil"/>
              <w:bottom w:val="nil"/>
              <w:right w:val="single" w:sz="4" w:space="0" w:color="auto"/>
            </w:tcBorders>
            <w:shd w:val="clear" w:color="auto" w:fill="auto"/>
            <w:noWrap/>
            <w:vAlign w:val="center"/>
            <w:hideMark/>
          </w:tcPr>
          <w:p w14:paraId="09873EFE" w14:textId="687D6678"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1,0%</w:t>
            </w:r>
          </w:p>
        </w:tc>
      </w:tr>
      <w:tr w:rsidR="00BD7F4E" w:rsidRPr="0040191A" w14:paraId="231E6DBD" w14:textId="77777777" w:rsidTr="003B3329">
        <w:trPr>
          <w:trHeight w:val="290"/>
        </w:trPr>
        <w:tc>
          <w:tcPr>
            <w:tcW w:w="2025" w:type="pct"/>
            <w:tcBorders>
              <w:top w:val="nil"/>
              <w:left w:val="single" w:sz="4" w:space="0" w:color="auto"/>
              <w:bottom w:val="nil"/>
              <w:right w:val="nil"/>
            </w:tcBorders>
            <w:shd w:val="clear" w:color="auto" w:fill="auto"/>
            <w:noWrap/>
            <w:vAlign w:val="center"/>
            <w:hideMark/>
          </w:tcPr>
          <w:p w14:paraId="1C81F0EA" w14:textId="77777777" w:rsidR="00BD7F4E" w:rsidRPr="0040191A" w:rsidRDefault="00BD7F4E" w:rsidP="00BD7F4E">
            <w:pPr>
              <w:jc w:val="right"/>
              <w:rPr>
                <w:rFonts w:ascii="Calibri" w:eastAsia="Times New Roman" w:hAnsi="Calibri" w:cs="Calibri"/>
                <w:i/>
                <w:iCs/>
                <w:color w:val="000000"/>
                <w:sz w:val="18"/>
                <w:szCs w:val="18"/>
                <w:lang w:eastAsia="nl-BE"/>
              </w:rPr>
            </w:pPr>
            <w:r w:rsidRPr="0040191A">
              <w:rPr>
                <w:rFonts w:ascii="Calibri" w:eastAsia="Times New Roman" w:hAnsi="Calibri" w:cs="Calibri"/>
                <w:i/>
                <w:iCs/>
                <w:color w:val="000000"/>
                <w:sz w:val="18"/>
                <w:szCs w:val="18"/>
                <w:lang w:eastAsia="nl-BE"/>
              </w:rPr>
              <w:t>Correctie MC U&amp;HS</w:t>
            </w:r>
          </w:p>
        </w:tc>
        <w:tc>
          <w:tcPr>
            <w:tcW w:w="431" w:type="pct"/>
            <w:tcBorders>
              <w:top w:val="nil"/>
              <w:left w:val="single" w:sz="4" w:space="0" w:color="auto"/>
              <w:bottom w:val="nil"/>
              <w:right w:val="nil"/>
            </w:tcBorders>
            <w:shd w:val="clear" w:color="auto" w:fill="auto"/>
            <w:noWrap/>
            <w:vAlign w:val="center"/>
            <w:hideMark/>
          </w:tcPr>
          <w:p w14:paraId="400404E5" w14:textId="42F3DC83" w:rsidR="00BD7F4E" w:rsidRPr="00BD7F4E" w:rsidRDefault="00BD7F4E" w:rsidP="00BD7F4E">
            <w:pPr>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 </w:t>
            </w:r>
          </w:p>
        </w:tc>
        <w:tc>
          <w:tcPr>
            <w:tcW w:w="431" w:type="pct"/>
            <w:tcBorders>
              <w:top w:val="nil"/>
              <w:left w:val="single" w:sz="4" w:space="0" w:color="auto"/>
              <w:bottom w:val="nil"/>
              <w:right w:val="single" w:sz="4" w:space="0" w:color="auto"/>
            </w:tcBorders>
            <w:shd w:val="clear" w:color="auto" w:fill="auto"/>
            <w:noWrap/>
            <w:vAlign w:val="center"/>
            <w:hideMark/>
          </w:tcPr>
          <w:p w14:paraId="753C8E65" w14:textId="06D07B7B"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-50,0</w:t>
            </w:r>
          </w:p>
        </w:tc>
        <w:tc>
          <w:tcPr>
            <w:tcW w:w="431" w:type="pct"/>
            <w:tcBorders>
              <w:top w:val="nil"/>
              <w:left w:val="single" w:sz="4" w:space="0" w:color="auto"/>
              <w:bottom w:val="nil"/>
              <w:right w:val="single" w:sz="4" w:space="0" w:color="auto"/>
            </w:tcBorders>
            <w:shd w:val="clear" w:color="auto" w:fill="auto"/>
            <w:noWrap/>
            <w:vAlign w:val="center"/>
            <w:hideMark/>
          </w:tcPr>
          <w:p w14:paraId="2F2FA44A" w14:textId="1FF34C4A"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0,0</w:t>
            </w:r>
          </w:p>
        </w:tc>
        <w:tc>
          <w:tcPr>
            <w:tcW w:w="409" w:type="pct"/>
            <w:tcBorders>
              <w:top w:val="nil"/>
              <w:left w:val="nil"/>
              <w:bottom w:val="nil"/>
              <w:right w:val="single" w:sz="4" w:space="0" w:color="auto"/>
            </w:tcBorders>
            <w:shd w:val="clear" w:color="auto" w:fill="auto"/>
            <w:noWrap/>
            <w:vAlign w:val="center"/>
            <w:hideMark/>
          </w:tcPr>
          <w:p w14:paraId="51BE7E6D" w14:textId="679DBDE6"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0,0</w:t>
            </w:r>
          </w:p>
        </w:tc>
        <w:tc>
          <w:tcPr>
            <w:tcW w:w="455" w:type="pct"/>
            <w:tcBorders>
              <w:top w:val="nil"/>
              <w:left w:val="nil"/>
              <w:bottom w:val="nil"/>
              <w:right w:val="single" w:sz="4" w:space="0" w:color="auto"/>
            </w:tcBorders>
            <w:shd w:val="clear" w:color="auto" w:fill="auto"/>
            <w:noWrap/>
            <w:vAlign w:val="center"/>
            <w:hideMark/>
          </w:tcPr>
          <w:p w14:paraId="140509BF" w14:textId="5455BF1F"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0,0%</w:t>
            </w:r>
          </w:p>
        </w:tc>
        <w:tc>
          <w:tcPr>
            <w:tcW w:w="409" w:type="pct"/>
            <w:tcBorders>
              <w:top w:val="nil"/>
              <w:left w:val="nil"/>
              <w:bottom w:val="nil"/>
              <w:right w:val="single" w:sz="4" w:space="0" w:color="auto"/>
            </w:tcBorders>
            <w:shd w:val="clear" w:color="auto" w:fill="auto"/>
            <w:noWrap/>
            <w:vAlign w:val="center"/>
            <w:hideMark/>
          </w:tcPr>
          <w:p w14:paraId="20539850" w14:textId="0F7392EE"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50,0</w:t>
            </w:r>
          </w:p>
        </w:tc>
        <w:tc>
          <w:tcPr>
            <w:tcW w:w="407" w:type="pct"/>
            <w:tcBorders>
              <w:top w:val="nil"/>
              <w:left w:val="nil"/>
              <w:bottom w:val="nil"/>
              <w:right w:val="single" w:sz="4" w:space="0" w:color="auto"/>
            </w:tcBorders>
            <w:shd w:val="clear" w:color="auto" w:fill="auto"/>
            <w:noWrap/>
            <w:vAlign w:val="center"/>
            <w:hideMark/>
          </w:tcPr>
          <w:p w14:paraId="42070A2E" w14:textId="0EEC9346"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-100,0%</w:t>
            </w:r>
          </w:p>
        </w:tc>
      </w:tr>
      <w:tr w:rsidR="00BD7F4E" w:rsidRPr="0040191A" w14:paraId="7932C531" w14:textId="77777777" w:rsidTr="003B3329">
        <w:trPr>
          <w:trHeight w:val="290"/>
        </w:trPr>
        <w:tc>
          <w:tcPr>
            <w:tcW w:w="2025" w:type="pct"/>
            <w:tcBorders>
              <w:top w:val="nil"/>
              <w:left w:val="single" w:sz="4" w:space="0" w:color="auto"/>
              <w:bottom w:val="nil"/>
              <w:right w:val="nil"/>
            </w:tcBorders>
            <w:shd w:val="clear" w:color="auto" w:fill="auto"/>
            <w:noWrap/>
            <w:vAlign w:val="center"/>
            <w:hideMark/>
          </w:tcPr>
          <w:p w14:paraId="6164BC22" w14:textId="77777777" w:rsidR="00BD7F4E" w:rsidRPr="0040191A" w:rsidRDefault="00BD7F4E" w:rsidP="00BD7F4E">
            <w:pPr>
              <w:jc w:val="right"/>
              <w:rPr>
                <w:rFonts w:ascii="Calibri" w:eastAsia="Times New Roman" w:hAnsi="Calibri" w:cs="Calibri"/>
                <w:i/>
                <w:iCs/>
                <w:color w:val="000000"/>
                <w:sz w:val="18"/>
                <w:szCs w:val="18"/>
                <w:lang w:eastAsia="nl-BE"/>
              </w:rPr>
            </w:pPr>
            <w:r w:rsidRPr="0040191A">
              <w:rPr>
                <w:rFonts w:ascii="Calibri" w:eastAsia="Times New Roman" w:hAnsi="Calibri" w:cs="Calibri"/>
                <w:i/>
                <w:iCs/>
                <w:color w:val="000000"/>
                <w:sz w:val="18"/>
                <w:szCs w:val="18"/>
                <w:lang w:eastAsia="nl-BE"/>
              </w:rPr>
              <w:t>Andere</w:t>
            </w:r>
          </w:p>
        </w:tc>
        <w:tc>
          <w:tcPr>
            <w:tcW w:w="431" w:type="pct"/>
            <w:tcBorders>
              <w:top w:val="nil"/>
              <w:left w:val="single" w:sz="4" w:space="0" w:color="auto"/>
              <w:bottom w:val="nil"/>
              <w:right w:val="nil"/>
            </w:tcBorders>
            <w:shd w:val="clear" w:color="auto" w:fill="auto"/>
            <w:noWrap/>
            <w:vAlign w:val="center"/>
            <w:hideMark/>
          </w:tcPr>
          <w:p w14:paraId="70924156" w14:textId="7089B662"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6.259,1</w:t>
            </w:r>
          </w:p>
        </w:tc>
        <w:tc>
          <w:tcPr>
            <w:tcW w:w="431" w:type="pct"/>
            <w:tcBorders>
              <w:top w:val="nil"/>
              <w:left w:val="single" w:sz="4" w:space="0" w:color="auto"/>
              <w:bottom w:val="nil"/>
              <w:right w:val="nil"/>
            </w:tcBorders>
            <w:shd w:val="clear" w:color="auto" w:fill="auto"/>
            <w:noWrap/>
            <w:vAlign w:val="center"/>
            <w:hideMark/>
          </w:tcPr>
          <w:p w14:paraId="35E16A0B" w14:textId="5ED24AB0"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6.187,4</w:t>
            </w:r>
          </w:p>
        </w:tc>
        <w:tc>
          <w:tcPr>
            <w:tcW w:w="431" w:type="pct"/>
            <w:tcBorders>
              <w:top w:val="nil"/>
              <w:left w:val="single" w:sz="4" w:space="0" w:color="auto"/>
              <w:bottom w:val="nil"/>
              <w:right w:val="nil"/>
            </w:tcBorders>
            <w:shd w:val="clear" w:color="auto" w:fill="auto"/>
            <w:noWrap/>
            <w:vAlign w:val="center"/>
            <w:hideMark/>
          </w:tcPr>
          <w:p w14:paraId="23ADEDC2" w14:textId="387B467A"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6.166,7</w:t>
            </w:r>
          </w:p>
        </w:tc>
        <w:tc>
          <w:tcPr>
            <w:tcW w:w="409" w:type="pct"/>
            <w:tcBorders>
              <w:top w:val="nil"/>
              <w:left w:val="single" w:sz="4" w:space="0" w:color="auto"/>
              <w:bottom w:val="nil"/>
              <w:right w:val="single" w:sz="4" w:space="0" w:color="auto"/>
            </w:tcBorders>
            <w:shd w:val="clear" w:color="auto" w:fill="auto"/>
            <w:noWrap/>
            <w:vAlign w:val="center"/>
            <w:hideMark/>
          </w:tcPr>
          <w:p w14:paraId="6286E312" w14:textId="2A1A043D"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-92,4</w:t>
            </w:r>
          </w:p>
        </w:tc>
        <w:tc>
          <w:tcPr>
            <w:tcW w:w="455" w:type="pct"/>
            <w:tcBorders>
              <w:top w:val="nil"/>
              <w:left w:val="nil"/>
              <w:bottom w:val="nil"/>
              <w:right w:val="single" w:sz="4" w:space="0" w:color="auto"/>
            </w:tcBorders>
            <w:shd w:val="clear" w:color="auto" w:fill="auto"/>
            <w:noWrap/>
            <w:vAlign w:val="center"/>
            <w:hideMark/>
          </w:tcPr>
          <w:p w14:paraId="6BC22132" w14:textId="756FB80C"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-1,5%</w:t>
            </w:r>
          </w:p>
        </w:tc>
        <w:tc>
          <w:tcPr>
            <w:tcW w:w="409" w:type="pct"/>
            <w:tcBorders>
              <w:top w:val="nil"/>
              <w:left w:val="nil"/>
              <w:bottom w:val="nil"/>
              <w:right w:val="single" w:sz="4" w:space="0" w:color="auto"/>
            </w:tcBorders>
            <w:shd w:val="clear" w:color="auto" w:fill="auto"/>
            <w:noWrap/>
            <w:vAlign w:val="center"/>
            <w:hideMark/>
          </w:tcPr>
          <w:p w14:paraId="11807E71" w14:textId="193D3B5B"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-20,6</w:t>
            </w:r>
          </w:p>
        </w:tc>
        <w:tc>
          <w:tcPr>
            <w:tcW w:w="407" w:type="pct"/>
            <w:tcBorders>
              <w:top w:val="nil"/>
              <w:left w:val="nil"/>
              <w:bottom w:val="nil"/>
              <w:right w:val="single" w:sz="4" w:space="0" w:color="auto"/>
            </w:tcBorders>
            <w:shd w:val="clear" w:color="auto" w:fill="auto"/>
            <w:noWrap/>
            <w:vAlign w:val="center"/>
            <w:hideMark/>
          </w:tcPr>
          <w:p w14:paraId="097F7186" w14:textId="68803A46"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-0,3%</w:t>
            </w:r>
          </w:p>
        </w:tc>
      </w:tr>
      <w:tr w:rsidR="00BD7F4E" w:rsidRPr="0040191A" w14:paraId="6E66B4DD" w14:textId="77777777" w:rsidTr="003B3329">
        <w:trPr>
          <w:trHeight w:val="290"/>
        </w:trPr>
        <w:tc>
          <w:tcPr>
            <w:tcW w:w="2025" w:type="pct"/>
            <w:tcBorders>
              <w:top w:val="nil"/>
              <w:left w:val="single" w:sz="4" w:space="0" w:color="auto"/>
              <w:bottom w:val="nil"/>
              <w:right w:val="nil"/>
            </w:tcBorders>
            <w:shd w:val="clear" w:color="auto" w:fill="auto"/>
            <w:noWrap/>
            <w:vAlign w:val="center"/>
            <w:hideMark/>
          </w:tcPr>
          <w:p w14:paraId="2BC3ECC0" w14:textId="77777777" w:rsidR="00BD7F4E" w:rsidRPr="0040191A" w:rsidRDefault="00BD7F4E" w:rsidP="00BD7F4E">
            <w:pPr>
              <w:jc w:val="right"/>
              <w:rPr>
                <w:rFonts w:ascii="Calibri" w:eastAsia="Times New Roman" w:hAnsi="Calibri" w:cs="Calibri"/>
                <w:i/>
                <w:iCs/>
                <w:color w:val="000000"/>
                <w:sz w:val="18"/>
                <w:szCs w:val="18"/>
                <w:lang w:eastAsia="nl-BE"/>
              </w:rPr>
            </w:pPr>
            <w:r w:rsidRPr="0040191A">
              <w:rPr>
                <w:rFonts w:ascii="Calibri" w:eastAsia="Times New Roman" w:hAnsi="Calibri" w:cs="Calibri"/>
                <w:i/>
                <w:iCs/>
                <w:color w:val="000000"/>
                <w:sz w:val="18"/>
                <w:szCs w:val="18"/>
                <w:lang w:eastAsia="nl-BE"/>
              </w:rPr>
              <w:t>Correctie MC</w:t>
            </w:r>
          </w:p>
        </w:tc>
        <w:tc>
          <w:tcPr>
            <w:tcW w:w="431" w:type="pct"/>
            <w:tcBorders>
              <w:top w:val="nil"/>
              <w:left w:val="single" w:sz="4" w:space="0" w:color="auto"/>
              <w:bottom w:val="nil"/>
              <w:right w:val="single" w:sz="4" w:space="0" w:color="auto"/>
            </w:tcBorders>
            <w:shd w:val="clear" w:color="auto" w:fill="auto"/>
            <w:noWrap/>
            <w:vAlign w:val="center"/>
            <w:hideMark/>
          </w:tcPr>
          <w:p w14:paraId="165E56A6" w14:textId="6A34489F" w:rsidR="00BD7F4E" w:rsidRPr="00BD7F4E" w:rsidRDefault="00BD7F4E" w:rsidP="00BD7F4E">
            <w:pPr>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 </w:t>
            </w:r>
          </w:p>
        </w:tc>
        <w:tc>
          <w:tcPr>
            <w:tcW w:w="431" w:type="pct"/>
            <w:tcBorders>
              <w:top w:val="nil"/>
              <w:left w:val="single" w:sz="4" w:space="0" w:color="auto"/>
              <w:bottom w:val="nil"/>
              <w:right w:val="single" w:sz="4" w:space="0" w:color="auto"/>
            </w:tcBorders>
            <w:shd w:val="clear" w:color="auto" w:fill="auto"/>
            <w:noWrap/>
            <w:vAlign w:val="center"/>
            <w:hideMark/>
          </w:tcPr>
          <w:p w14:paraId="3C2ECA10" w14:textId="1E421C25"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-50,0</w:t>
            </w:r>
          </w:p>
        </w:tc>
        <w:tc>
          <w:tcPr>
            <w:tcW w:w="431" w:type="pct"/>
            <w:tcBorders>
              <w:top w:val="nil"/>
              <w:left w:val="nil"/>
              <w:bottom w:val="nil"/>
              <w:right w:val="single" w:sz="4" w:space="0" w:color="auto"/>
            </w:tcBorders>
            <w:shd w:val="clear" w:color="auto" w:fill="auto"/>
            <w:noWrap/>
            <w:vAlign w:val="center"/>
            <w:hideMark/>
          </w:tcPr>
          <w:p w14:paraId="6A0AA4A5" w14:textId="1C41F7E8"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0,0</w:t>
            </w:r>
          </w:p>
        </w:tc>
        <w:tc>
          <w:tcPr>
            <w:tcW w:w="409" w:type="pct"/>
            <w:tcBorders>
              <w:top w:val="nil"/>
              <w:left w:val="nil"/>
              <w:bottom w:val="nil"/>
              <w:right w:val="single" w:sz="4" w:space="0" w:color="auto"/>
            </w:tcBorders>
            <w:shd w:val="clear" w:color="auto" w:fill="auto"/>
            <w:noWrap/>
            <w:vAlign w:val="center"/>
            <w:hideMark/>
          </w:tcPr>
          <w:p w14:paraId="355B502B" w14:textId="33BC4833"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0,0</w:t>
            </w:r>
          </w:p>
        </w:tc>
        <w:tc>
          <w:tcPr>
            <w:tcW w:w="455" w:type="pct"/>
            <w:tcBorders>
              <w:top w:val="nil"/>
              <w:left w:val="nil"/>
              <w:bottom w:val="nil"/>
              <w:right w:val="single" w:sz="4" w:space="0" w:color="auto"/>
            </w:tcBorders>
            <w:shd w:val="clear" w:color="auto" w:fill="auto"/>
            <w:noWrap/>
            <w:vAlign w:val="center"/>
            <w:hideMark/>
          </w:tcPr>
          <w:p w14:paraId="0B1F4FA0" w14:textId="548232B7"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0,0%</w:t>
            </w:r>
          </w:p>
        </w:tc>
        <w:tc>
          <w:tcPr>
            <w:tcW w:w="409" w:type="pct"/>
            <w:tcBorders>
              <w:top w:val="nil"/>
              <w:left w:val="nil"/>
              <w:bottom w:val="nil"/>
              <w:right w:val="single" w:sz="4" w:space="0" w:color="auto"/>
            </w:tcBorders>
            <w:shd w:val="clear" w:color="auto" w:fill="auto"/>
            <w:noWrap/>
            <w:vAlign w:val="center"/>
            <w:hideMark/>
          </w:tcPr>
          <w:p w14:paraId="4B3E63F9" w14:textId="3C9D704E"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50,0</w:t>
            </w:r>
          </w:p>
        </w:tc>
        <w:tc>
          <w:tcPr>
            <w:tcW w:w="407" w:type="pct"/>
            <w:tcBorders>
              <w:top w:val="nil"/>
              <w:left w:val="nil"/>
              <w:bottom w:val="nil"/>
              <w:right w:val="single" w:sz="4" w:space="0" w:color="auto"/>
            </w:tcBorders>
            <w:shd w:val="clear" w:color="auto" w:fill="auto"/>
            <w:noWrap/>
            <w:vAlign w:val="center"/>
            <w:hideMark/>
          </w:tcPr>
          <w:p w14:paraId="338E1FCC" w14:textId="777F47C8" w:rsidR="00BD7F4E" w:rsidRPr="00BD7F4E" w:rsidRDefault="00BD7F4E" w:rsidP="00BD7F4E">
            <w:pPr>
              <w:jc w:val="right"/>
              <w:rPr>
                <w:rFonts w:ascii="Calibri" w:eastAsia="Times New Roman" w:hAnsi="Calibri" w:cs="Calibri"/>
                <w:i/>
                <w:iCs/>
                <w:color w:val="000000"/>
                <w:sz w:val="18"/>
                <w:szCs w:val="18"/>
                <w:lang w:eastAsia="nl-BE"/>
              </w:rPr>
            </w:pPr>
            <w:r w:rsidRPr="00BD7F4E">
              <w:rPr>
                <w:rFonts w:ascii="Calibri" w:hAnsi="Calibri" w:cs="Calibri"/>
                <w:i/>
                <w:iCs/>
                <w:color w:val="000000"/>
                <w:sz w:val="18"/>
                <w:szCs w:val="18"/>
              </w:rPr>
              <w:t>-100,0%</w:t>
            </w:r>
          </w:p>
        </w:tc>
      </w:tr>
      <w:tr w:rsidR="00BD7F4E" w:rsidRPr="0040191A" w14:paraId="3ACE6FE9" w14:textId="77777777" w:rsidTr="003B3329">
        <w:trPr>
          <w:trHeight w:val="290"/>
        </w:trPr>
        <w:tc>
          <w:tcPr>
            <w:tcW w:w="2025" w:type="pct"/>
            <w:tcBorders>
              <w:top w:val="single" w:sz="4" w:space="0" w:color="auto"/>
              <w:left w:val="single" w:sz="4" w:space="0" w:color="auto"/>
              <w:bottom w:val="single" w:sz="4" w:space="0" w:color="auto"/>
              <w:right w:val="nil"/>
            </w:tcBorders>
            <w:shd w:val="clear" w:color="auto" w:fill="auto"/>
            <w:noWrap/>
            <w:vAlign w:val="center"/>
            <w:hideMark/>
          </w:tcPr>
          <w:p w14:paraId="753587BB" w14:textId="77777777" w:rsidR="00BD7F4E" w:rsidRPr="0040191A" w:rsidRDefault="00BD7F4E" w:rsidP="00BD7F4E">
            <w:pPr>
              <w:rPr>
                <w:rFonts w:ascii="Calibri" w:eastAsia="Times New Roman" w:hAnsi="Calibri" w:cs="Calibri"/>
                <w:b/>
                <w:bCs/>
                <w:color w:val="000000"/>
                <w:sz w:val="18"/>
                <w:szCs w:val="18"/>
                <w:lang w:eastAsia="nl-BE"/>
              </w:rPr>
            </w:pPr>
            <w:r w:rsidRPr="0040191A">
              <w:rPr>
                <w:rFonts w:ascii="Calibri" w:eastAsia="Times New Roman" w:hAnsi="Calibri" w:cs="Calibri"/>
                <w:b/>
                <w:bCs/>
                <w:color w:val="000000"/>
                <w:sz w:val="18"/>
                <w:szCs w:val="18"/>
                <w:lang w:eastAsia="nl-BE"/>
              </w:rPr>
              <w:t>Uitg. RP</w:t>
            </w:r>
          </w:p>
        </w:tc>
        <w:tc>
          <w:tcPr>
            <w:tcW w:w="4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A4FE1B" w14:textId="1A44CB17" w:rsidR="00BD7F4E" w:rsidRPr="00BD7F4E" w:rsidRDefault="00BD7F4E" w:rsidP="00BD7F4E">
            <w:pPr>
              <w:jc w:val="right"/>
              <w:rPr>
                <w:rFonts w:ascii="Calibri" w:eastAsia="Times New Roman" w:hAnsi="Calibri" w:cs="Calibri"/>
                <w:b/>
                <w:bCs/>
                <w:color w:val="000000"/>
                <w:sz w:val="18"/>
                <w:szCs w:val="18"/>
                <w:lang w:eastAsia="nl-BE"/>
              </w:rPr>
            </w:pPr>
            <w:r w:rsidRPr="00BD7F4E">
              <w:rPr>
                <w:rFonts w:ascii="Calibri" w:hAnsi="Calibri" w:cs="Calibri"/>
                <w:b/>
                <w:bCs/>
                <w:color w:val="000000"/>
                <w:sz w:val="18"/>
                <w:szCs w:val="18"/>
              </w:rPr>
              <w:t>21.652,5</w:t>
            </w:r>
          </w:p>
        </w:tc>
        <w:tc>
          <w:tcPr>
            <w:tcW w:w="4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B51E4F" w14:textId="36BD9648" w:rsidR="00BD7F4E" w:rsidRPr="00BD7F4E" w:rsidRDefault="00BD7F4E" w:rsidP="00BD7F4E">
            <w:pPr>
              <w:jc w:val="right"/>
              <w:rPr>
                <w:rFonts w:ascii="Calibri" w:eastAsia="Times New Roman" w:hAnsi="Calibri" w:cs="Calibri"/>
                <w:b/>
                <w:bCs/>
                <w:color w:val="000000"/>
                <w:sz w:val="18"/>
                <w:szCs w:val="18"/>
                <w:lang w:eastAsia="nl-BE"/>
              </w:rPr>
            </w:pPr>
            <w:r w:rsidRPr="00BD7F4E">
              <w:rPr>
                <w:rFonts w:ascii="Calibri" w:hAnsi="Calibri" w:cs="Calibri"/>
                <w:b/>
                <w:bCs/>
                <w:color w:val="000000"/>
                <w:sz w:val="18"/>
                <w:szCs w:val="18"/>
              </w:rPr>
              <w:t>21.014,6</w:t>
            </w:r>
          </w:p>
        </w:tc>
        <w:tc>
          <w:tcPr>
            <w:tcW w:w="431" w:type="pct"/>
            <w:tcBorders>
              <w:top w:val="single" w:sz="4" w:space="0" w:color="auto"/>
              <w:left w:val="nil"/>
              <w:bottom w:val="single" w:sz="4" w:space="0" w:color="auto"/>
              <w:right w:val="single" w:sz="4" w:space="0" w:color="auto"/>
            </w:tcBorders>
            <w:shd w:val="clear" w:color="auto" w:fill="auto"/>
            <w:noWrap/>
            <w:vAlign w:val="center"/>
            <w:hideMark/>
          </w:tcPr>
          <w:p w14:paraId="2C58A800" w14:textId="5026F5BB" w:rsidR="00BD7F4E" w:rsidRPr="00BD7F4E" w:rsidRDefault="00BD7F4E" w:rsidP="00BD7F4E">
            <w:pPr>
              <w:jc w:val="right"/>
              <w:rPr>
                <w:rFonts w:ascii="Calibri" w:eastAsia="Times New Roman" w:hAnsi="Calibri" w:cs="Calibri"/>
                <w:b/>
                <w:bCs/>
                <w:color w:val="000000"/>
                <w:sz w:val="18"/>
                <w:szCs w:val="18"/>
                <w:lang w:eastAsia="nl-BE"/>
              </w:rPr>
            </w:pPr>
            <w:r w:rsidRPr="00BD7F4E">
              <w:rPr>
                <w:rFonts w:ascii="Calibri" w:hAnsi="Calibri" w:cs="Calibri"/>
                <w:b/>
                <w:bCs/>
                <w:color w:val="000000"/>
                <w:sz w:val="18"/>
                <w:szCs w:val="18"/>
              </w:rPr>
              <w:t>21.182,7</w:t>
            </w:r>
          </w:p>
        </w:tc>
        <w:tc>
          <w:tcPr>
            <w:tcW w:w="409" w:type="pct"/>
            <w:tcBorders>
              <w:top w:val="single" w:sz="4" w:space="0" w:color="auto"/>
              <w:left w:val="nil"/>
              <w:bottom w:val="single" w:sz="4" w:space="0" w:color="auto"/>
              <w:right w:val="single" w:sz="4" w:space="0" w:color="auto"/>
            </w:tcBorders>
            <w:shd w:val="clear" w:color="auto" w:fill="auto"/>
            <w:noWrap/>
            <w:vAlign w:val="center"/>
            <w:hideMark/>
          </w:tcPr>
          <w:p w14:paraId="6031BFAC" w14:textId="0A3553D5" w:rsidR="00BD7F4E" w:rsidRPr="00BD7F4E" w:rsidRDefault="00BD7F4E" w:rsidP="00BD7F4E">
            <w:pPr>
              <w:jc w:val="right"/>
              <w:rPr>
                <w:rFonts w:ascii="Calibri" w:eastAsia="Times New Roman" w:hAnsi="Calibri" w:cs="Calibri"/>
                <w:b/>
                <w:bCs/>
                <w:color w:val="000000"/>
                <w:sz w:val="18"/>
                <w:szCs w:val="18"/>
                <w:lang w:eastAsia="nl-BE"/>
              </w:rPr>
            </w:pPr>
            <w:r w:rsidRPr="00BD7F4E">
              <w:rPr>
                <w:rFonts w:ascii="Calibri" w:hAnsi="Calibri" w:cs="Calibri"/>
                <w:b/>
                <w:bCs/>
                <w:color w:val="000000"/>
                <w:sz w:val="18"/>
                <w:szCs w:val="18"/>
              </w:rPr>
              <w:t>-469,8</w:t>
            </w: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14:paraId="6F9301BF" w14:textId="6AA897F4" w:rsidR="00BD7F4E" w:rsidRPr="00BD7F4E" w:rsidRDefault="00BD7F4E" w:rsidP="00BD7F4E">
            <w:pPr>
              <w:jc w:val="right"/>
              <w:rPr>
                <w:rFonts w:ascii="Calibri" w:eastAsia="Times New Roman" w:hAnsi="Calibri" w:cs="Calibri"/>
                <w:b/>
                <w:bCs/>
                <w:color w:val="000000"/>
                <w:sz w:val="18"/>
                <w:szCs w:val="18"/>
                <w:lang w:eastAsia="nl-BE"/>
              </w:rPr>
            </w:pPr>
            <w:r w:rsidRPr="00BD7F4E">
              <w:rPr>
                <w:rFonts w:ascii="Calibri" w:hAnsi="Calibri" w:cs="Calibri"/>
                <w:b/>
                <w:bCs/>
                <w:color w:val="000000"/>
                <w:sz w:val="18"/>
                <w:szCs w:val="18"/>
              </w:rPr>
              <w:t>-2,2%</w:t>
            </w:r>
          </w:p>
        </w:tc>
        <w:tc>
          <w:tcPr>
            <w:tcW w:w="409" w:type="pct"/>
            <w:tcBorders>
              <w:top w:val="single" w:sz="4" w:space="0" w:color="auto"/>
              <w:left w:val="nil"/>
              <w:bottom w:val="single" w:sz="4" w:space="0" w:color="auto"/>
              <w:right w:val="single" w:sz="4" w:space="0" w:color="auto"/>
            </w:tcBorders>
            <w:shd w:val="clear" w:color="auto" w:fill="auto"/>
            <w:noWrap/>
            <w:vAlign w:val="center"/>
            <w:hideMark/>
          </w:tcPr>
          <w:p w14:paraId="75B6FB89" w14:textId="32A7FA56" w:rsidR="00BD7F4E" w:rsidRPr="00BD7F4E" w:rsidRDefault="00BD7F4E" w:rsidP="00BD7F4E">
            <w:pPr>
              <w:jc w:val="right"/>
              <w:rPr>
                <w:rFonts w:ascii="Calibri" w:eastAsia="Times New Roman" w:hAnsi="Calibri" w:cs="Calibri"/>
                <w:b/>
                <w:bCs/>
                <w:color w:val="000000"/>
                <w:sz w:val="18"/>
                <w:szCs w:val="18"/>
                <w:lang w:eastAsia="nl-BE"/>
              </w:rPr>
            </w:pPr>
            <w:r w:rsidRPr="00BD7F4E">
              <w:rPr>
                <w:rFonts w:ascii="Calibri" w:hAnsi="Calibri" w:cs="Calibri"/>
                <w:b/>
                <w:bCs/>
                <w:color w:val="000000"/>
                <w:sz w:val="18"/>
                <w:szCs w:val="18"/>
              </w:rPr>
              <w:t>168,1</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14:paraId="07DCC06B" w14:textId="14297319" w:rsidR="00BD7F4E" w:rsidRPr="00BD7F4E" w:rsidRDefault="00BD7F4E" w:rsidP="00BD7F4E">
            <w:pPr>
              <w:jc w:val="right"/>
              <w:rPr>
                <w:rFonts w:ascii="Calibri" w:eastAsia="Times New Roman" w:hAnsi="Calibri" w:cs="Calibri"/>
                <w:b/>
                <w:bCs/>
                <w:color w:val="000000"/>
                <w:sz w:val="18"/>
                <w:szCs w:val="18"/>
                <w:lang w:eastAsia="nl-BE"/>
              </w:rPr>
            </w:pPr>
            <w:r w:rsidRPr="00BD7F4E">
              <w:rPr>
                <w:rFonts w:ascii="Calibri" w:hAnsi="Calibri" w:cs="Calibri"/>
                <w:b/>
                <w:bCs/>
                <w:color w:val="000000"/>
                <w:sz w:val="18"/>
                <w:szCs w:val="18"/>
              </w:rPr>
              <w:t>0,8%</w:t>
            </w:r>
          </w:p>
        </w:tc>
      </w:tr>
      <w:tr w:rsidR="00BD7F4E" w:rsidRPr="0040191A" w14:paraId="4137736F" w14:textId="77777777" w:rsidTr="003B3329">
        <w:trPr>
          <w:trHeight w:val="290"/>
        </w:trPr>
        <w:tc>
          <w:tcPr>
            <w:tcW w:w="2025" w:type="pct"/>
            <w:tcBorders>
              <w:top w:val="nil"/>
              <w:left w:val="single" w:sz="4" w:space="0" w:color="auto"/>
              <w:bottom w:val="single" w:sz="4" w:space="0" w:color="auto"/>
              <w:right w:val="nil"/>
            </w:tcBorders>
            <w:shd w:val="clear" w:color="auto" w:fill="auto"/>
            <w:vAlign w:val="center"/>
            <w:hideMark/>
          </w:tcPr>
          <w:p w14:paraId="1CA80979" w14:textId="77777777" w:rsidR="00BD7F4E" w:rsidRPr="0040191A" w:rsidRDefault="00BD7F4E" w:rsidP="00BD7F4E">
            <w:pPr>
              <w:rPr>
                <w:rFonts w:ascii="Calibri" w:eastAsia="Times New Roman" w:hAnsi="Calibri" w:cs="Calibri"/>
                <w:color w:val="000000"/>
                <w:sz w:val="18"/>
                <w:szCs w:val="18"/>
                <w:lang w:eastAsia="nl-BE"/>
              </w:rPr>
            </w:pPr>
            <w:r w:rsidRPr="0040191A">
              <w:rPr>
                <w:rFonts w:ascii="Calibri" w:eastAsia="Times New Roman" w:hAnsi="Calibri" w:cs="Calibri"/>
                <w:color w:val="000000"/>
                <w:sz w:val="18"/>
                <w:szCs w:val="18"/>
                <w:lang w:eastAsia="nl-BE"/>
              </w:rPr>
              <w:t>Onderbenutting Universiteiten en Hogescholen</w:t>
            </w:r>
          </w:p>
        </w:tc>
        <w:tc>
          <w:tcPr>
            <w:tcW w:w="431" w:type="pct"/>
            <w:tcBorders>
              <w:top w:val="nil"/>
              <w:left w:val="single" w:sz="4" w:space="0" w:color="auto"/>
              <w:bottom w:val="single" w:sz="4" w:space="0" w:color="auto"/>
              <w:right w:val="single" w:sz="4" w:space="0" w:color="auto"/>
            </w:tcBorders>
            <w:shd w:val="clear" w:color="auto" w:fill="auto"/>
            <w:noWrap/>
            <w:vAlign w:val="center"/>
            <w:hideMark/>
          </w:tcPr>
          <w:p w14:paraId="758039E6" w14:textId="1E2EE0F7" w:rsidR="00BD7F4E" w:rsidRPr="00BD7F4E" w:rsidRDefault="00BD7F4E" w:rsidP="00BD7F4E">
            <w:pPr>
              <w:jc w:val="right"/>
              <w:rPr>
                <w:rFonts w:ascii="Calibri" w:eastAsia="Times New Roman" w:hAnsi="Calibri" w:cs="Calibri"/>
                <w:color w:val="000000"/>
                <w:sz w:val="18"/>
                <w:szCs w:val="18"/>
                <w:lang w:eastAsia="nl-BE"/>
              </w:rPr>
            </w:pPr>
            <w:r w:rsidRPr="00BD7F4E">
              <w:rPr>
                <w:rFonts w:ascii="Calibri" w:hAnsi="Calibri" w:cs="Calibri"/>
                <w:color w:val="000000"/>
                <w:sz w:val="18"/>
                <w:szCs w:val="18"/>
              </w:rPr>
              <w:t>-130,1</w:t>
            </w:r>
          </w:p>
        </w:tc>
        <w:tc>
          <w:tcPr>
            <w:tcW w:w="431" w:type="pct"/>
            <w:tcBorders>
              <w:top w:val="nil"/>
              <w:left w:val="single" w:sz="4" w:space="0" w:color="auto"/>
              <w:bottom w:val="single" w:sz="4" w:space="0" w:color="auto"/>
              <w:right w:val="single" w:sz="4" w:space="0" w:color="auto"/>
            </w:tcBorders>
            <w:shd w:val="clear" w:color="auto" w:fill="auto"/>
            <w:noWrap/>
            <w:vAlign w:val="center"/>
            <w:hideMark/>
          </w:tcPr>
          <w:p w14:paraId="533A2FAE" w14:textId="4F47B237" w:rsidR="00BD7F4E" w:rsidRPr="00BD7F4E" w:rsidRDefault="00BD7F4E" w:rsidP="00BD7F4E">
            <w:pPr>
              <w:rPr>
                <w:rFonts w:ascii="Calibri" w:eastAsia="Times New Roman" w:hAnsi="Calibri" w:cs="Calibri"/>
                <w:color w:val="000000"/>
                <w:sz w:val="18"/>
                <w:szCs w:val="18"/>
                <w:lang w:eastAsia="nl-BE"/>
              </w:rPr>
            </w:pPr>
            <w:r w:rsidRPr="00BD7F4E">
              <w:rPr>
                <w:rFonts w:ascii="Calibri" w:hAnsi="Calibri" w:cs="Calibri"/>
                <w:color w:val="000000"/>
                <w:sz w:val="18"/>
                <w:szCs w:val="18"/>
              </w:rPr>
              <w:t> </w:t>
            </w:r>
          </w:p>
        </w:tc>
        <w:tc>
          <w:tcPr>
            <w:tcW w:w="431" w:type="pct"/>
            <w:tcBorders>
              <w:top w:val="nil"/>
              <w:left w:val="nil"/>
              <w:bottom w:val="single" w:sz="4" w:space="0" w:color="auto"/>
              <w:right w:val="single" w:sz="4" w:space="0" w:color="auto"/>
            </w:tcBorders>
            <w:shd w:val="clear" w:color="auto" w:fill="auto"/>
            <w:noWrap/>
            <w:vAlign w:val="center"/>
            <w:hideMark/>
          </w:tcPr>
          <w:p w14:paraId="7A43FB40" w14:textId="0D1CFC2C" w:rsidR="00BD7F4E" w:rsidRPr="00BD7F4E" w:rsidRDefault="00BD7F4E" w:rsidP="00BD7F4E">
            <w:pPr>
              <w:rPr>
                <w:rFonts w:ascii="Calibri" w:eastAsia="Times New Roman" w:hAnsi="Calibri" w:cs="Calibri"/>
                <w:color w:val="000000"/>
                <w:sz w:val="18"/>
                <w:szCs w:val="18"/>
                <w:lang w:eastAsia="nl-BE"/>
              </w:rPr>
            </w:pPr>
            <w:r w:rsidRPr="00BD7F4E">
              <w:rPr>
                <w:rFonts w:ascii="Calibri" w:hAnsi="Calibri" w:cs="Calibri"/>
                <w:color w:val="000000"/>
                <w:sz w:val="18"/>
                <w:szCs w:val="18"/>
              </w:rPr>
              <w:t> </w:t>
            </w:r>
          </w:p>
        </w:tc>
        <w:tc>
          <w:tcPr>
            <w:tcW w:w="409" w:type="pct"/>
            <w:tcBorders>
              <w:top w:val="nil"/>
              <w:left w:val="nil"/>
              <w:bottom w:val="single" w:sz="4" w:space="0" w:color="auto"/>
              <w:right w:val="single" w:sz="4" w:space="0" w:color="auto"/>
            </w:tcBorders>
            <w:shd w:val="clear" w:color="auto" w:fill="auto"/>
            <w:noWrap/>
            <w:vAlign w:val="center"/>
            <w:hideMark/>
          </w:tcPr>
          <w:p w14:paraId="1D0ACCAC" w14:textId="078BB374" w:rsidR="00BD7F4E" w:rsidRPr="00BD7F4E" w:rsidRDefault="00BD7F4E" w:rsidP="00BD7F4E">
            <w:pPr>
              <w:jc w:val="right"/>
              <w:rPr>
                <w:rFonts w:ascii="Calibri" w:eastAsia="Times New Roman" w:hAnsi="Calibri" w:cs="Calibri"/>
                <w:color w:val="000000"/>
                <w:sz w:val="18"/>
                <w:szCs w:val="18"/>
                <w:lang w:eastAsia="nl-BE"/>
              </w:rPr>
            </w:pPr>
            <w:r w:rsidRPr="00BD7F4E">
              <w:rPr>
                <w:rFonts w:ascii="Calibri" w:hAnsi="Calibri" w:cs="Calibri"/>
                <w:color w:val="000000"/>
                <w:sz w:val="18"/>
                <w:szCs w:val="18"/>
              </w:rPr>
              <w:t>130,1</w:t>
            </w:r>
          </w:p>
        </w:tc>
        <w:tc>
          <w:tcPr>
            <w:tcW w:w="455" w:type="pct"/>
            <w:tcBorders>
              <w:top w:val="nil"/>
              <w:left w:val="nil"/>
              <w:bottom w:val="single" w:sz="4" w:space="0" w:color="auto"/>
              <w:right w:val="single" w:sz="4" w:space="0" w:color="auto"/>
            </w:tcBorders>
            <w:shd w:val="clear" w:color="auto" w:fill="auto"/>
            <w:noWrap/>
            <w:vAlign w:val="center"/>
            <w:hideMark/>
          </w:tcPr>
          <w:p w14:paraId="425AB73A" w14:textId="073ABFC4" w:rsidR="00BD7F4E" w:rsidRPr="00BD7F4E" w:rsidRDefault="00BD7F4E" w:rsidP="00BD7F4E">
            <w:pPr>
              <w:jc w:val="right"/>
              <w:rPr>
                <w:rFonts w:ascii="Calibri" w:eastAsia="Times New Roman" w:hAnsi="Calibri" w:cs="Calibri"/>
                <w:color w:val="000000"/>
                <w:sz w:val="18"/>
                <w:szCs w:val="18"/>
                <w:lang w:eastAsia="nl-BE"/>
              </w:rPr>
            </w:pPr>
            <w:r w:rsidRPr="00BD7F4E">
              <w:rPr>
                <w:rFonts w:ascii="Calibri" w:hAnsi="Calibri" w:cs="Calibri"/>
                <w:color w:val="000000"/>
                <w:sz w:val="18"/>
                <w:szCs w:val="18"/>
              </w:rPr>
              <w:t>-100,0%</w:t>
            </w:r>
          </w:p>
        </w:tc>
        <w:tc>
          <w:tcPr>
            <w:tcW w:w="409" w:type="pct"/>
            <w:tcBorders>
              <w:top w:val="nil"/>
              <w:left w:val="nil"/>
              <w:bottom w:val="single" w:sz="4" w:space="0" w:color="auto"/>
              <w:right w:val="single" w:sz="4" w:space="0" w:color="auto"/>
            </w:tcBorders>
            <w:shd w:val="clear" w:color="auto" w:fill="auto"/>
            <w:noWrap/>
            <w:vAlign w:val="center"/>
            <w:hideMark/>
          </w:tcPr>
          <w:p w14:paraId="2D34169F" w14:textId="46411A3E" w:rsidR="00BD7F4E" w:rsidRPr="00BD7F4E" w:rsidRDefault="00BD7F4E" w:rsidP="00BD7F4E">
            <w:pPr>
              <w:jc w:val="right"/>
              <w:rPr>
                <w:rFonts w:ascii="Calibri" w:eastAsia="Times New Roman" w:hAnsi="Calibri" w:cs="Calibri"/>
                <w:color w:val="000000"/>
                <w:sz w:val="18"/>
                <w:szCs w:val="18"/>
                <w:lang w:eastAsia="nl-BE"/>
              </w:rPr>
            </w:pPr>
            <w:r w:rsidRPr="00BD7F4E">
              <w:rPr>
                <w:rFonts w:ascii="Calibri" w:hAnsi="Calibri" w:cs="Calibri"/>
                <w:color w:val="000000"/>
                <w:sz w:val="18"/>
                <w:szCs w:val="18"/>
              </w:rPr>
              <w:t>0,0</w:t>
            </w:r>
          </w:p>
        </w:tc>
        <w:tc>
          <w:tcPr>
            <w:tcW w:w="407" w:type="pct"/>
            <w:tcBorders>
              <w:top w:val="nil"/>
              <w:left w:val="nil"/>
              <w:bottom w:val="single" w:sz="4" w:space="0" w:color="auto"/>
              <w:right w:val="single" w:sz="4" w:space="0" w:color="auto"/>
            </w:tcBorders>
            <w:shd w:val="clear" w:color="auto" w:fill="auto"/>
            <w:noWrap/>
            <w:vAlign w:val="center"/>
            <w:hideMark/>
          </w:tcPr>
          <w:p w14:paraId="4254907A" w14:textId="5CA4AA3F" w:rsidR="00BD7F4E" w:rsidRPr="00BD7F4E" w:rsidRDefault="00BD7F4E" w:rsidP="00BD7F4E">
            <w:pPr>
              <w:jc w:val="right"/>
              <w:rPr>
                <w:rFonts w:ascii="Calibri" w:eastAsia="Times New Roman" w:hAnsi="Calibri" w:cs="Calibri"/>
                <w:color w:val="000000"/>
                <w:sz w:val="18"/>
                <w:szCs w:val="18"/>
                <w:lang w:eastAsia="nl-BE"/>
              </w:rPr>
            </w:pPr>
            <w:r w:rsidRPr="00BD7F4E">
              <w:rPr>
                <w:rFonts w:ascii="Calibri" w:hAnsi="Calibri" w:cs="Calibri"/>
                <w:color w:val="000000"/>
                <w:sz w:val="18"/>
                <w:szCs w:val="18"/>
              </w:rPr>
              <w:t>0,0%</w:t>
            </w:r>
          </w:p>
        </w:tc>
      </w:tr>
      <w:tr w:rsidR="00BD7F4E" w:rsidRPr="0040191A" w14:paraId="7B14FEC6" w14:textId="77777777" w:rsidTr="003B3329">
        <w:trPr>
          <w:trHeight w:val="290"/>
        </w:trPr>
        <w:tc>
          <w:tcPr>
            <w:tcW w:w="2025" w:type="pct"/>
            <w:tcBorders>
              <w:top w:val="nil"/>
              <w:left w:val="single" w:sz="4" w:space="0" w:color="auto"/>
              <w:bottom w:val="single" w:sz="4" w:space="0" w:color="auto"/>
              <w:right w:val="nil"/>
            </w:tcBorders>
            <w:shd w:val="clear" w:color="auto" w:fill="auto"/>
            <w:noWrap/>
            <w:vAlign w:val="center"/>
            <w:hideMark/>
          </w:tcPr>
          <w:p w14:paraId="07543E5F" w14:textId="77777777" w:rsidR="00BD7F4E" w:rsidRPr="0040191A" w:rsidRDefault="00BD7F4E" w:rsidP="00BD7F4E">
            <w:pPr>
              <w:rPr>
                <w:rFonts w:ascii="Calibri" w:eastAsia="Times New Roman" w:hAnsi="Calibri" w:cs="Calibri"/>
                <w:color w:val="000000"/>
                <w:sz w:val="18"/>
                <w:szCs w:val="18"/>
                <w:lang w:eastAsia="nl-BE"/>
              </w:rPr>
            </w:pPr>
            <w:r w:rsidRPr="0040191A">
              <w:rPr>
                <w:rFonts w:ascii="Calibri" w:eastAsia="Times New Roman" w:hAnsi="Calibri" w:cs="Calibri"/>
                <w:color w:val="000000"/>
                <w:sz w:val="18"/>
                <w:szCs w:val="18"/>
                <w:lang w:eastAsia="nl-BE"/>
              </w:rPr>
              <w:t>Onderbenutting</w:t>
            </w:r>
          </w:p>
        </w:tc>
        <w:tc>
          <w:tcPr>
            <w:tcW w:w="431" w:type="pct"/>
            <w:tcBorders>
              <w:top w:val="nil"/>
              <w:left w:val="single" w:sz="4" w:space="0" w:color="auto"/>
              <w:bottom w:val="single" w:sz="4" w:space="0" w:color="auto"/>
              <w:right w:val="single" w:sz="4" w:space="0" w:color="auto"/>
            </w:tcBorders>
            <w:shd w:val="clear" w:color="auto" w:fill="auto"/>
            <w:noWrap/>
            <w:vAlign w:val="center"/>
            <w:hideMark/>
          </w:tcPr>
          <w:p w14:paraId="45E97C35" w14:textId="682B34AB" w:rsidR="00BD7F4E" w:rsidRPr="00BD7F4E" w:rsidRDefault="00BD7F4E" w:rsidP="00BD7F4E">
            <w:pPr>
              <w:jc w:val="right"/>
              <w:rPr>
                <w:rFonts w:ascii="Calibri" w:eastAsia="Times New Roman" w:hAnsi="Calibri" w:cs="Calibri"/>
                <w:color w:val="000000"/>
                <w:sz w:val="18"/>
                <w:szCs w:val="18"/>
                <w:lang w:eastAsia="nl-BE"/>
              </w:rPr>
            </w:pPr>
            <w:r w:rsidRPr="00BD7F4E">
              <w:rPr>
                <w:rFonts w:ascii="Calibri" w:hAnsi="Calibri" w:cs="Calibri"/>
                <w:color w:val="000000"/>
                <w:sz w:val="18"/>
                <w:szCs w:val="18"/>
              </w:rPr>
              <w:t>-1.021,9</w:t>
            </w:r>
          </w:p>
        </w:tc>
        <w:tc>
          <w:tcPr>
            <w:tcW w:w="431" w:type="pct"/>
            <w:tcBorders>
              <w:top w:val="nil"/>
              <w:left w:val="single" w:sz="4" w:space="0" w:color="auto"/>
              <w:bottom w:val="single" w:sz="4" w:space="0" w:color="auto"/>
              <w:right w:val="single" w:sz="4" w:space="0" w:color="auto"/>
            </w:tcBorders>
            <w:shd w:val="clear" w:color="auto" w:fill="auto"/>
            <w:noWrap/>
            <w:vAlign w:val="center"/>
            <w:hideMark/>
          </w:tcPr>
          <w:p w14:paraId="294ED1DA" w14:textId="2CC451C3" w:rsidR="00BD7F4E" w:rsidRPr="00BD7F4E" w:rsidRDefault="00BD7F4E" w:rsidP="00BD7F4E">
            <w:pPr>
              <w:rPr>
                <w:rFonts w:ascii="Calibri" w:eastAsia="Times New Roman" w:hAnsi="Calibri" w:cs="Calibri"/>
                <w:color w:val="000000"/>
                <w:sz w:val="18"/>
                <w:szCs w:val="18"/>
                <w:lang w:eastAsia="nl-BE"/>
              </w:rPr>
            </w:pPr>
            <w:r w:rsidRPr="00BD7F4E">
              <w:rPr>
                <w:rFonts w:ascii="Calibri" w:hAnsi="Calibri" w:cs="Calibri"/>
                <w:color w:val="000000"/>
                <w:sz w:val="18"/>
                <w:szCs w:val="18"/>
              </w:rPr>
              <w:t> </w:t>
            </w:r>
          </w:p>
        </w:tc>
        <w:tc>
          <w:tcPr>
            <w:tcW w:w="431" w:type="pct"/>
            <w:tcBorders>
              <w:top w:val="nil"/>
              <w:left w:val="nil"/>
              <w:bottom w:val="single" w:sz="4" w:space="0" w:color="auto"/>
              <w:right w:val="single" w:sz="4" w:space="0" w:color="auto"/>
            </w:tcBorders>
            <w:shd w:val="clear" w:color="auto" w:fill="auto"/>
            <w:noWrap/>
            <w:vAlign w:val="center"/>
            <w:hideMark/>
          </w:tcPr>
          <w:p w14:paraId="4FD54E71" w14:textId="3865FD6D" w:rsidR="00BD7F4E" w:rsidRPr="00BD7F4E" w:rsidRDefault="00BD7F4E" w:rsidP="00BD7F4E">
            <w:pPr>
              <w:rPr>
                <w:rFonts w:ascii="Calibri" w:eastAsia="Times New Roman" w:hAnsi="Calibri" w:cs="Calibri"/>
                <w:color w:val="000000"/>
                <w:sz w:val="18"/>
                <w:szCs w:val="18"/>
                <w:lang w:eastAsia="nl-BE"/>
              </w:rPr>
            </w:pPr>
            <w:r w:rsidRPr="00BD7F4E">
              <w:rPr>
                <w:rFonts w:ascii="Calibri" w:hAnsi="Calibri" w:cs="Calibri"/>
                <w:color w:val="000000"/>
                <w:sz w:val="18"/>
                <w:szCs w:val="18"/>
              </w:rPr>
              <w:t> </w:t>
            </w:r>
          </w:p>
        </w:tc>
        <w:tc>
          <w:tcPr>
            <w:tcW w:w="409" w:type="pct"/>
            <w:tcBorders>
              <w:top w:val="nil"/>
              <w:left w:val="nil"/>
              <w:bottom w:val="single" w:sz="4" w:space="0" w:color="auto"/>
              <w:right w:val="single" w:sz="4" w:space="0" w:color="auto"/>
            </w:tcBorders>
            <w:shd w:val="clear" w:color="auto" w:fill="auto"/>
            <w:noWrap/>
            <w:vAlign w:val="center"/>
            <w:hideMark/>
          </w:tcPr>
          <w:p w14:paraId="452F325F" w14:textId="1D750D0F" w:rsidR="00BD7F4E" w:rsidRPr="00BD7F4E" w:rsidRDefault="00BD7F4E" w:rsidP="00BD7F4E">
            <w:pPr>
              <w:jc w:val="right"/>
              <w:rPr>
                <w:rFonts w:ascii="Calibri" w:eastAsia="Times New Roman" w:hAnsi="Calibri" w:cs="Calibri"/>
                <w:color w:val="000000"/>
                <w:sz w:val="18"/>
                <w:szCs w:val="18"/>
                <w:lang w:eastAsia="nl-BE"/>
              </w:rPr>
            </w:pPr>
            <w:r w:rsidRPr="00BD7F4E">
              <w:rPr>
                <w:rFonts w:ascii="Calibri" w:hAnsi="Calibri" w:cs="Calibri"/>
                <w:color w:val="000000"/>
                <w:sz w:val="18"/>
                <w:szCs w:val="18"/>
              </w:rPr>
              <w:t>1.021,9</w:t>
            </w:r>
          </w:p>
        </w:tc>
        <w:tc>
          <w:tcPr>
            <w:tcW w:w="455" w:type="pct"/>
            <w:tcBorders>
              <w:top w:val="nil"/>
              <w:left w:val="nil"/>
              <w:bottom w:val="single" w:sz="4" w:space="0" w:color="auto"/>
              <w:right w:val="single" w:sz="4" w:space="0" w:color="auto"/>
            </w:tcBorders>
            <w:shd w:val="clear" w:color="auto" w:fill="auto"/>
            <w:noWrap/>
            <w:vAlign w:val="center"/>
            <w:hideMark/>
          </w:tcPr>
          <w:p w14:paraId="3EAC40E0" w14:textId="6857BA41" w:rsidR="00BD7F4E" w:rsidRPr="00BD7F4E" w:rsidRDefault="00BD7F4E" w:rsidP="00BD7F4E">
            <w:pPr>
              <w:jc w:val="right"/>
              <w:rPr>
                <w:rFonts w:ascii="Calibri" w:eastAsia="Times New Roman" w:hAnsi="Calibri" w:cs="Calibri"/>
                <w:color w:val="000000"/>
                <w:sz w:val="18"/>
                <w:szCs w:val="18"/>
                <w:lang w:eastAsia="nl-BE"/>
              </w:rPr>
            </w:pPr>
            <w:r w:rsidRPr="00BD7F4E">
              <w:rPr>
                <w:rFonts w:ascii="Calibri" w:hAnsi="Calibri" w:cs="Calibri"/>
                <w:color w:val="000000"/>
                <w:sz w:val="18"/>
                <w:szCs w:val="18"/>
              </w:rPr>
              <w:t>-100,0%</w:t>
            </w:r>
          </w:p>
        </w:tc>
        <w:tc>
          <w:tcPr>
            <w:tcW w:w="409" w:type="pct"/>
            <w:tcBorders>
              <w:top w:val="nil"/>
              <w:left w:val="nil"/>
              <w:bottom w:val="single" w:sz="4" w:space="0" w:color="auto"/>
              <w:right w:val="single" w:sz="4" w:space="0" w:color="auto"/>
            </w:tcBorders>
            <w:shd w:val="clear" w:color="auto" w:fill="auto"/>
            <w:noWrap/>
            <w:vAlign w:val="center"/>
            <w:hideMark/>
          </w:tcPr>
          <w:p w14:paraId="7141AD76" w14:textId="497EF8CC" w:rsidR="00BD7F4E" w:rsidRPr="00BD7F4E" w:rsidRDefault="00BD7F4E" w:rsidP="00BD7F4E">
            <w:pPr>
              <w:jc w:val="right"/>
              <w:rPr>
                <w:rFonts w:ascii="Calibri" w:eastAsia="Times New Roman" w:hAnsi="Calibri" w:cs="Calibri"/>
                <w:color w:val="000000"/>
                <w:sz w:val="18"/>
                <w:szCs w:val="18"/>
                <w:lang w:eastAsia="nl-BE"/>
              </w:rPr>
            </w:pPr>
            <w:r w:rsidRPr="00BD7F4E">
              <w:rPr>
                <w:rFonts w:ascii="Calibri" w:hAnsi="Calibri" w:cs="Calibri"/>
                <w:color w:val="000000"/>
                <w:sz w:val="18"/>
                <w:szCs w:val="18"/>
              </w:rPr>
              <w:t>0,0</w:t>
            </w:r>
          </w:p>
        </w:tc>
        <w:tc>
          <w:tcPr>
            <w:tcW w:w="407" w:type="pct"/>
            <w:tcBorders>
              <w:top w:val="nil"/>
              <w:left w:val="nil"/>
              <w:bottom w:val="single" w:sz="4" w:space="0" w:color="auto"/>
              <w:right w:val="single" w:sz="4" w:space="0" w:color="auto"/>
            </w:tcBorders>
            <w:shd w:val="clear" w:color="auto" w:fill="auto"/>
            <w:noWrap/>
            <w:vAlign w:val="center"/>
            <w:hideMark/>
          </w:tcPr>
          <w:p w14:paraId="7FA86AC5" w14:textId="6490BF3C" w:rsidR="00BD7F4E" w:rsidRPr="00BD7F4E" w:rsidRDefault="00BD7F4E" w:rsidP="00BD7F4E">
            <w:pPr>
              <w:jc w:val="right"/>
              <w:rPr>
                <w:rFonts w:ascii="Calibri" w:eastAsia="Times New Roman" w:hAnsi="Calibri" w:cs="Calibri"/>
                <w:color w:val="000000"/>
                <w:sz w:val="18"/>
                <w:szCs w:val="18"/>
                <w:lang w:eastAsia="nl-BE"/>
              </w:rPr>
            </w:pPr>
            <w:r w:rsidRPr="00BD7F4E">
              <w:rPr>
                <w:rFonts w:ascii="Calibri" w:hAnsi="Calibri" w:cs="Calibri"/>
                <w:color w:val="000000"/>
                <w:sz w:val="18"/>
                <w:szCs w:val="18"/>
              </w:rPr>
              <w:t>0,0%</w:t>
            </w:r>
          </w:p>
        </w:tc>
      </w:tr>
      <w:tr w:rsidR="00BD7F4E" w:rsidRPr="0040191A" w14:paraId="2216D4AD" w14:textId="77777777" w:rsidTr="003B3329">
        <w:trPr>
          <w:trHeight w:val="290"/>
        </w:trPr>
        <w:tc>
          <w:tcPr>
            <w:tcW w:w="2025" w:type="pct"/>
            <w:tcBorders>
              <w:top w:val="nil"/>
              <w:left w:val="single" w:sz="4" w:space="0" w:color="auto"/>
              <w:bottom w:val="single" w:sz="4" w:space="0" w:color="auto"/>
              <w:right w:val="nil"/>
            </w:tcBorders>
            <w:shd w:val="clear" w:color="auto" w:fill="auto"/>
            <w:noWrap/>
            <w:vAlign w:val="center"/>
            <w:hideMark/>
          </w:tcPr>
          <w:p w14:paraId="6F7EF1D4" w14:textId="77777777" w:rsidR="00BD7F4E" w:rsidRPr="0040191A" w:rsidRDefault="00BD7F4E" w:rsidP="00BD7F4E">
            <w:pPr>
              <w:rPr>
                <w:rFonts w:ascii="Calibri" w:eastAsia="Times New Roman" w:hAnsi="Calibri" w:cs="Calibri"/>
                <w:b/>
                <w:bCs/>
                <w:color w:val="000000"/>
                <w:sz w:val="18"/>
                <w:szCs w:val="18"/>
                <w:lang w:eastAsia="nl-BE"/>
              </w:rPr>
            </w:pPr>
            <w:r w:rsidRPr="0040191A">
              <w:rPr>
                <w:rFonts w:ascii="Calibri" w:eastAsia="Times New Roman" w:hAnsi="Calibri" w:cs="Calibri"/>
                <w:b/>
                <w:bCs/>
                <w:color w:val="000000"/>
                <w:sz w:val="18"/>
                <w:szCs w:val="18"/>
                <w:lang w:eastAsia="nl-BE"/>
              </w:rPr>
              <w:t>Totaal Uitgaven</w:t>
            </w:r>
          </w:p>
        </w:tc>
        <w:tc>
          <w:tcPr>
            <w:tcW w:w="431" w:type="pct"/>
            <w:tcBorders>
              <w:top w:val="nil"/>
              <w:left w:val="single" w:sz="4" w:space="0" w:color="auto"/>
              <w:bottom w:val="single" w:sz="4" w:space="0" w:color="auto"/>
              <w:right w:val="single" w:sz="4" w:space="0" w:color="auto"/>
            </w:tcBorders>
            <w:shd w:val="clear" w:color="auto" w:fill="auto"/>
            <w:noWrap/>
            <w:vAlign w:val="center"/>
            <w:hideMark/>
          </w:tcPr>
          <w:p w14:paraId="7410549D" w14:textId="04C3E416" w:rsidR="00BD7F4E" w:rsidRPr="00BD7F4E" w:rsidRDefault="00BD7F4E" w:rsidP="00BD7F4E">
            <w:pPr>
              <w:jc w:val="right"/>
              <w:rPr>
                <w:rFonts w:ascii="Calibri" w:eastAsia="Times New Roman" w:hAnsi="Calibri" w:cs="Calibri"/>
                <w:b/>
                <w:bCs/>
                <w:color w:val="000000"/>
                <w:sz w:val="18"/>
                <w:szCs w:val="18"/>
                <w:lang w:eastAsia="nl-BE"/>
              </w:rPr>
            </w:pPr>
            <w:r w:rsidRPr="00BD7F4E">
              <w:rPr>
                <w:rFonts w:ascii="Calibri" w:hAnsi="Calibri" w:cs="Calibri"/>
                <w:b/>
                <w:bCs/>
                <w:color w:val="000000"/>
                <w:sz w:val="18"/>
                <w:szCs w:val="18"/>
              </w:rPr>
              <w:t>45.338,1</w:t>
            </w:r>
          </w:p>
        </w:tc>
        <w:tc>
          <w:tcPr>
            <w:tcW w:w="431" w:type="pct"/>
            <w:tcBorders>
              <w:top w:val="nil"/>
              <w:left w:val="single" w:sz="4" w:space="0" w:color="auto"/>
              <w:bottom w:val="single" w:sz="4" w:space="0" w:color="auto"/>
              <w:right w:val="single" w:sz="4" w:space="0" w:color="auto"/>
            </w:tcBorders>
            <w:shd w:val="clear" w:color="auto" w:fill="auto"/>
            <w:noWrap/>
            <w:vAlign w:val="center"/>
            <w:hideMark/>
          </w:tcPr>
          <w:p w14:paraId="318AFBF4" w14:textId="4AF2BCDB" w:rsidR="00BD7F4E" w:rsidRPr="00BD7F4E" w:rsidRDefault="00BD7F4E" w:rsidP="00BD7F4E">
            <w:pPr>
              <w:jc w:val="right"/>
              <w:rPr>
                <w:rFonts w:ascii="Calibri" w:eastAsia="Times New Roman" w:hAnsi="Calibri" w:cs="Calibri"/>
                <w:b/>
                <w:bCs/>
                <w:color w:val="000000"/>
                <w:sz w:val="18"/>
                <w:szCs w:val="18"/>
                <w:lang w:eastAsia="nl-BE"/>
              </w:rPr>
            </w:pPr>
            <w:r w:rsidRPr="00BD7F4E">
              <w:rPr>
                <w:rFonts w:ascii="Calibri" w:hAnsi="Calibri" w:cs="Calibri"/>
                <w:b/>
                <w:bCs/>
                <w:color w:val="000000"/>
                <w:sz w:val="18"/>
                <w:szCs w:val="18"/>
              </w:rPr>
              <w:t>45.407,6</w:t>
            </w:r>
          </w:p>
        </w:tc>
        <w:tc>
          <w:tcPr>
            <w:tcW w:w="431" w:type="pct"/>
            <w:tcBorders>
              <w:top w:val="nil"/>
              <w:left w:val="nil"/>
              <w:bottom w:val="single" w:sz="4" w:space="0" w:color="auto"/>
              <w:right w:val="single" w:sz="4" w:space="0" w:color="auto"/>
            </w:tcBorders>
            <w:shd w:val="clear" w:color="auto" w:fill="auto"/>
            <w:noWrap/>
            <w:vAlign w:val="center"/>
            <w:hideMark/>
          </w:tcPr>
          <w:p w14:paraId="3BF08F4A" w14:textId="1698D1A6" w:rsidR="00BD7F4E" w:rsidRPr="00BD7F4E" w:rsidRDefault="00BD7F4E" w:rsidP="00BD7F4E">
            <w:pPr>
              <w:jc w:val="right"/>
              <w:rPr>
                <w:rFonts w:ascii="Calibri" w:eastAsia="Times New Roman" w:hAnsi="Calibri" w:cs="Calibri"/>
                <w:b/>
                <w:bCs/>
                <w:color w:val="000000"/>
                <w:sz w:val="18"/>
                <w:szCs w:val="18"/>
                <w:lang w:eastAsia="nl-BE"/>
              </w:rPr>
            </w:pPr>
            <w:r w:rsidRPr="00BD7F4E">
              <w:rPr>
                <w:rFonts w:ascii="Calibri" w:hAnsi="Calibri" w:cs="Calibri"/>
                <w:b/>
                <w:bCs/>
                <w:color w:val="000000"/>
                <w:sz w:val="18"/>
                <w:szCs w:val="18"/>
              </w:rPr>
              <w:t>45.612,5</w:t>
            </w:r>
          </w:p>
        </w:tc>
        <w:tc>
          <w:tcPr>
            <w:tcW w:w="409" w:type="pct"/>
            <w:tcBorders>
              <w:top w:val="nil"/>
              <w:left w:val="nil"/>
              <w:bottom w:val="single" w:sz="4" w:space="0" w:color="auto"/>
              <w:right w:val="single" w:sz="4" w:space="0" w:color="auto"/>
            </w:tcBorders>
            <w:shd w:val="clear" w:color="auto" w:fill="auto"/>
            <w:noWrap/>
            <w:vAlign w:val="center"/>
            <w:hideMark/>
          </w:tcPr>
          <w:p w14:paraId="16B5E6F2" w14:textId="0B06292B" w:rsidR="00BD7F4E" w:rsidRPr="00BD7F4E" w:rsidRDefault="00BD7F4E" w:rsidP="00BD7F4E">
            <w:pPr>
              <w:jc w:val="right"/>
              <w:rPr>
                <w:rFonts w:ascii="Calibri" w:eastAsia="Times New Roman" w:hAnsi="Calibri" w:cs="Calibri"/>
                <w:b/>
                <w:bCs/>
                <w:color w:val="000000"/>
                <w:sz w:val="18"/>
                <w:szCs w:val="18"/>
                <w:lang w:eastAsia="nl-BE"/>
              </w:rPr>
            </w:pPr>
            <w:r w:rsidRPr="00BD7F4E">
              <w:rPr>
                <w:rFonts w:ascii="Calibri" w:hAnsi="Calibri" w:cs="Calibri"/>
                <w:b/>
                <w:bCs/>
                <w:color w:val="000000"/>
                <w:sz w:val="18"/>
                <w:szCs w:val="18"/>
              </w:rPr>
              <w:t>274,4</w:t>
            </w:r>
          </w:p>
        </w:tc>
        <w:tc>
          <w:tcPr>
            <w:tcW w:w="455" w:type="pct"/>
            <w:tcBorders>
              <w:top w:val="nil"/>
              <w:left w:val="nil"/>
              <w:bottom w:val="single" w:sz="4" w:space="0" w:color="auto"/>
              <w:right w:val="single" w:sz="4" w:space="0" w:color="auto"/>
            </w:tcBorders>
            <w:shd w:val="clear" w:color="auto" w:fill="auto"/>
            <w:noWrap/>
            <w:vAlign w:val="center"/>
            <w:hideMark/>
          </w:tcPr>
          <w:p w14:paraId="5B699C51" w14:textId="13C0B134" w:rsidR="00BD7F4E" w:rsidRPr="00BD7F4E" w:rsidRDefault="00BD7F4E" w:rsidP="00BD7F4E">
            <w:pPr>
              <w:jc w:val="right"/>
              <w:rPr>
                <w:rFonts w:ascii="Calibri" w:eastAsia="Times New Roman" w:hAnsi="Calibri" w:cs="Calibri"/>
                <w:b/>
                <w:bCs/>
                <w:color w:val="000000"/>
                <w:sz w:val="18"/>
                <w:szCs w:val="18"/>
                <w:lang w:eastAsia="nl-BE"/>
              </w:rPr>
            </w:pPr>
            <w:r w:rsidRPr="00BD7F4E">
              <w:rPr>
                <w:rFonts w:ascii="Calibri" w:hAnsi="Calibri" w:cs="Calibri"/>
                <w:b/>
                <w:bCs/>
                <w:color w:val="000000"/>
                <w:sz w:val="18"/>
                <w:szCs w:val="18"/>
              </w:rPr>
              <w:t>0,6%</w:t>
            </w:r>
          </w:p>
        </w:tc>
        <w:tc>
          <w:tcPr>
            <w:tcW w:w="409" w:type="pct"/>
            <w:tcBorders>
              <w:top w:val="nil"/>
              <w:left w:val="nil"/>
              <w:bottom w:val="single" w:sz="4" w:space="0" w:color="auto"/>
              <w:right w:val="single" w:sz="4" w:space="0" w:color="auto"/>
            </w:tcBorders>
            <w:shd w:val="clear" w:color="auto" w:fill="auto"/>
            <w:noWrap/>
            <w:vAlign w:val="center"/>
            <w:hideMark/>
          </w:tcPr>
          <w:p w14:paraId="7D9EB76C" w14:textId="543DB885" w:rsidR="00BD7F4E" w:rsidRPr="00BD7F4E" w:rsidRDefault="00BD7F4E" w:rsidP="00BD7F4E">
            <w:pPr>
              <w:jc w:val="right"/>
              <w:rPr>
                <w:rFonts w:ascii="Calibri" w:eastAsia="Times New Roman" w:hAnsi="Calibri" w:cs="Calibri"/>
                <w:b/>
                <w:bCs/>
                <w:color w:val="000000"/>
                <w:sz w:val="18"/>
                <w:szCs w:val="18"/>
                <w:lang w:eastAsia="nl-BE"/>
              </w:rPr>
            </w:pPr>
            <w:r w:rsidRPr="00BD7F4E">
              <w:rPr>
                <w:rFonts w:ascii="Calibri" w:hAnsi="Calibri" w:cs="Calibri"/>
                <w:b/>
                <w:bCs/>
                <w:color w:val="000000"/>
                <w:sz w:val="18"/>
                <w:szCs w:val="18"/>
              </w:rPr>
              <w:t>204,9</w:t>
            </w:r>
          </w:p>
        </w:tc>
        <w:tc>
          <w:tcPr>
            <w:tcW w:w="407" w:type="pct"/>
            <w:tcBorders>
              <w:top w:val="nil"/>
              <w:left w:val="nil"/>
              <w:bottom w:val="single" w:sz="4" w:space="0" w:color="auto"/>
              <w:right w:val="single" w:sz="4" w:space="0" w:color="auto"/>
            </w:tcBorders>
            <w:shd w:val="clear" w:color="auto" w:fill="auto"/>
            <w:noWrap/>
            <w:vAlign w:val="center"/>
            <w:hideMark/>
          </w:tcPr>
          <w:p w14:paraId="4CEFAEEF" w14:textId="5406CD07" w:rsidR="00BD7F4E" w:rsidRPr="00BD7F4E" w:rsidRDefault="00BD7F4E" w:rsidP="00BD7F4E">
            <w:pPr>
              <w:jc w:val="right"/>
              <w:rPr>
                <w:rFonts w:ascii="Calibri" w:eastAsia="Times New Roman" w:hAnsi="Calibri" w:cs="Calibri"/>
                <w:b/>
                <w:bCs/>
                <w:color w:val="000000"/>
                <w:sz w:val="18"/>
                <w:szCs w:val="18"/>
                <w:lang w:eastAsia="nl-BE"/>
              </w:rPr>
            </w:pPr>
            <w:r w:rsidRPr="00BD7F4E">
              <w:rPr>
                <w:rFonts w:ascii="Calibri" w:hAnsi="Calibri" w:cs="Calibri"/>
                <w:b/>
                <w:bCs/>
                <w:color w:val="000000"/>
                <w:sz w:val="18"/>
                <w:szCs w:val="18"/>
              </w:rPr>
              <w:t>0,5%</w:t>
            </w:r>
          </w:p>
        </w:tc>
      </w:tr>
    </w:tbl>
    <w:p w14:paraId="716CB52D" w14:textId="77777777" w:rsidR="0040191A" w:rsidRDefault="0040191A" w:rsidP="00D82180">
      <w:pPr>
        <w:spacing w:after="120"/>
      </w:pPr>
    </w:p>
    <w:p w14:paraId="4FEA404C" w14:textId="68B1720F" w:rsidR="0040191A" w:rsidRDefault="0040191A" w:rsidP="00D82180">
      <w:pPr>
        <w:spacing w:after="120"/>
      </w:pPr>
    </w:p>
    <w:p w14:paraId="7A718A1A" w14:textId="70CC13C9" w:rsidR="0040191A" w:rsidRDefault="0040191A" w:rsidP="00D82180">
      <w:pPr>
        <w:spacing w:after="120"/>
      </w:pPr>
    </w:p>
    <w:p w14:paraId="601FE819" w14:textId="4317FE71" w:rsidR="0040191A" w:rsidRDefault="0040191A" w:rsidP="00D82180">
      <w:pPr>
        <w:spacing w:after="120"/>
      </w:pPr>
    </w:p>
    <w:p w14:paraId="429BE37C" w14:textId="77777777" w:rsidR="00F617F9" w:rsidRDefault="00F617F9">
      <w:r>
        <w:br w:type="page"/>
      </w:r>
    </w:p>
    <w:p w14:paraId="7172EA4E" w14:textId="6F44631B" w:rsidR="00317F92" w:rsidRDefault="00317F92" w:rsidP="00F94295">
      <w:pPr>
        <w:pStyle w:val="Kop3"/>
        <w:numPr>
          <w:ilvl w:val="1"/>
          <w:numId w:val="24"/>
        </w:numPr>
      </w:pPr>
      <w:r>
        <w:lastRenderedPageBreak/>
        <w:t>Algemene uitgavenbegroting</w:t>
      </w:r>
    </w:p>
    <w:p w14:paraId="2D9AEB56" w14:textId="5ED77815" w:rsidR="0011566A" w:rsidRDefault="0011566A" w:rsidP="0011566A"/>
    <w:p w14:paraId="0B269706" w14:textId="667166E6" w:rsidR="0011566A" w:rsidRDefault="0011566A" w:rsidP="0011566A">
      <w:pPr>
        <w:pStyle w:val="Lijstalinea"/>
        <w:numPr>
          <w:ilvl w:val="0"/>
          <w:numId w:val="30"/>
        </w:numPr>
      </w:pPr>
      <w:r>
        <w:t>Apparaatskredieten</w:t>
      </w:r>
    </w:p>
    <w:p w14:paraId="01FE86D3" w14:textId="0D5E0250" w:rsidR="0011566A" w:rsidRDefault="0011566A" w:rsidP="0011566A"/>
    <w:p w14:paraId="6A8B7C72" w14:textId="723A413D" w:rsidR="0011566A" w:rsidRDefault="0011566A" w:rsidP="000C0A25">
      <w:pPr>
        <w:pStyle w:val="Lijstalinea"/>
        <w:autoSpaceDE w:val="0"/>
        <w:autoSpaceDN w:val="0"/>
        <w:adjustRightInd w:val="0"/>
        <w:spacing w:after="200" w:line="276" w:lineRule="auto"/>
        <w:jc w:val="both"/>
      </w:pPr>
      <w:r>
        <w:t>Ingevolge de inwerkingtreding van de wijziging van het Vlaams personeelsstatuut (VPS), m.b.t. de overheveling van personeelsleden van de federale overheid vanaf 1 januari 2015 in het kader van een staatshervorming, wordt de onderbenutting op de apparaatskredieten</w:t>
      </w:r>
      <w:r w:rsidR="000C0A25">
        <w:t xml:space="preserve"> geïmpacteerd. </w:t>
      </w:r>
      <w:r>
        <w:t>De éénmalige kostprijs voor het verleden wordt aangerekend op de onderbenutting binnen de apparaatskredieten. De budgettaire impact situeert zich voornamelijk binnen het departement WVG (justitiehuizen) en wordt ingeschat op 4,46 miljoen euro</w:t>
      </w:r>
      <w:r w:rsidR="009D2ED0">
        <w:t>.</w:t>
      </w:r>
    </w:p>
    <w:p w14:paraId="3FE5A6C3" w14:textId="29750228" w:rsidR="009D2ED0" w:rsidRDefault="009D2ED0" w:rsidP="000C0A25">
      <w:pPr>
        <w:pStyle w:val="Lijstalinea"/>
        <w:autoSpaceDE w:val="0"/>
        <w:autoSpaceDN w:val="0"/>
        <w:adjustRightInd w:val="0"/>
        <w:spacing w:after="200" w:line="276" w:lineRule="auto"/>
        <w:jc w:val="both"/>
      </w:pPr>
    </w:p>
    <w:p w14:paraId="08E07E71" w14:textId="0B2D3D21" w:rsidR="009D2ED0" w:rsidRPr="0011566A" w:rsidRDefault="009D2ED0" w:rsidP="000C0A25">
      <w:pPr>
        <w:pStyle w:val="Lijstalinea"/>
        <w:autoSpaceDE w:val="0"/>
        <w:autoSpaceDN w:val="0"/>
        <w:adjustRightInd w:val="0"/>
        <w:spacing w:after="200" w:line="276" w:lineRule="auto"/>
        <w:jc w:val="both"/>
      </w:pPr>
      <w:r>
        <w:t>Op de apparaatskred</w:t>
      </w:r>
      <w:r w:rsidR="00A978A1">
        <w:t>ieten van h</w:t>
      </w:r>
      <w:r w:rsidR="00C80F5E">
        <w:t>e</w:t>
      </w:r>
      <w:r w:rsidR="00A978A1">
        <w:t>t</w:t>
      </w:r>
      <w:r>
        <w:t xml:space="preserve"> beleidsdomein MOW w</w:t>
      </w:r>
      <w:r w:rsidR="007B6681">
        <w:t>erd</w:t>
      </w:r>
      <w:r>
        <w:t xml:space="preserve"> een overbenutting op de loonkredieten </w:t>
      </w:r>
      <w:r w:rsidR="007B6681">
        <w:t xml:space="preserve">gerealiseerd </w:t>
      </w:r>
      <w:r>
        <w:t xml:space="preserve">van </w:t>
      </w:r>
      <w:r w:rsidR="007B6681">
        <w:t>4</w:t>
      </w:r>
      <w:r w:rsidR="00A978A1">
        <w:t>,</w:t>
      </w:r>
      <w:r w:rsidR="007B6681">
        <w:t>2</w:t>
      </w:r>
      <w:r>
        <w:t xml:space="preserve"> miljoen euro. </w:t>
      </w:r>
    </w:p>
    <w:p w14:paraId="60939F81" w14:textId="77777777" w:rsidR="00A362F4" w:rsidRDefault="00A362F4" w:rsidP="006D0370"/>
    <w:p w14:paraId="1A5B0ABB" w14:textId="77777777" w:rsidR="00AE51D7" w:rsidRDefault="00AE51D7" w:rsidP="00AE51D7">
      <w:pPr>
        <w:pStyle w:val="Lijstalinea"/>
        <w:numPr>
          <w:ilvl w:val="0"/>
          <w:numId w:val="30"/>
        </w:numPr>
        <w:jc w:val="both"/>
      </w:pPr>
      <w:r>
        <w:t>Financien en Begroting</w:t>
      </w:r>
    </w:p>
    <w:p w14:paraId="31B76CDE" w14:textId="77777777" w:rsidR="00AE51D7" w:rsidRDefault="00AE51D7" w:rsidP="00AE51D7">
      <w:pPr>
        <w:pStyle w:val="Lijstalinea"/>
        <w:jc w:val="both"/>
      </w:pPr>
    </w:p>
    <w:p w14:paraId="5BB537D7" w14:textId="08A04026" w:rsidR="001A55D3" w:rsidRDefault="00F06A64" w:rsidP="00C90E9F">
      <w:pPr>
        <w:pStyle w:val="Lijstalinea"/>
        <w:autoSpaceDE w:val="0"/>
        <w:autoSpaceDN w:val="0"/>
        <w:adjustRightInd w:val="0"/>
        <w:spacing w:after="200" w:line="276" w:lineRule="auto"/>
        <w:jc w:val="both"/>
      </w:pPr>
      <w:r w:rsidRPr="00B3501D">
        <w:t xml:space="preserve">Overeenkomstig de meest recente maandvooruitzichten van het Planbureau </w:t>
      </w:r>
      <w:r w:rsidR="00A978A1">
        <w:t>(</w:t>
      </w:r>
      <w:r w:rsidR="007B6681">
        <w:t>4</w:t>
      </w:r>
      <w:r w:rsidR="00AB74E6">
        <w:t xml:space="preserve"> </w:t>
      </w:r>
      <w:r w:rsidR="007B6681">
        <w:t xml:space="preserve">februari </w:t>
      </w:r>
      <w:r>
        <w:t xml:space="preserve">2019) </w:t>
      </w:r>
      <w:r w:rsidRPr="00B3501D">
        <w:t xml:space="preserve">voor de afgevlakte gezondheidsindex zou er in </w:t>
      </w:r>
      <w:r w:rsidR="009D2ED0">
        <w:t xml:space="preserve">februari </w:t>
      </w:r>
      <w:r>
        <w:t>2019</w:t>
      </w:r>
      <w:r w:rsidRPr="00B3501D">
        <w:t xml:space="preserve"> een overschrijding van de spilindex plaatsvinden. </w:t>
      </w:r>
      <w:r>
        <w:t xml:space="preserve">Hierdoor is er een impact (i.e. 2% verhoging) op het vakantiegeld 2020 dat ESR-matig aanrekenbaar is op 2019 </w:t>
      </w:r>
      <w:r w:rsidR="009D2ED0">
        <w:t xml:space="preserve">bij de ministeries en de Lijn. De </w:t>
      </w:r>
      <w:r w:rsidR="00C40C68">
        <w:t>ESR</w:t>
      </w:r>
      <w:r w:rsidR="009D2ED0">
        <w:t>-impact werd echter meegenomen bij enerzijds de apparaatskredieten bij de ministeries en anderzijds de prognoses van de Lijn</w:t>
      </w:r>
      <w:r>
        <w:t>.</w:t>
      </w:r>
    </w:p>
    <w:p w14:paraId="5704B430" w14:textId="77777777" w:rsidR="00F06A64" w:rsidRDefault="00F06A64" w:rsidP="00AE51D7">
      <w:pPr>
        <w:pStyle w:val="Lijstalinea"/>
        <w:jc w:val="both"/>
      </w:pPr>
    </w:p>
    <w:p w14:paraId="3AAD966A" w14:textId="77777777" w:rsidR="00AE51D7" w:rsidRDefault="00AE51D7" w:rsidP="00AE51D7">
      <w:pPr>
        <w:pStyle w:val="Lijstalinea"/>
        <w:jc w:val="both"/>
      </w:pPr>
    </w:p>
    <w:p w14:paraId="30702990" w14:textId="77777777" w:rsidR="00AE51D7" w:rsidRDefault="00AE51D7" w:rsidP="00AE51D7">
      <w:pPr>
        <w:pStyle w:val="Lijstalinea"/>
        <w:numPr>
          <w:ilvl w:val="0"/>
          <w:numId w:val="30"/>
        </w:numPr>
        <w:jc w:val="both"/>
      </w:pPr>
      <w:r>
        <w:t>Onderwijs en Vorming</w:t>
      </w:r>
    </w:p>
    <w:p w14:paraId="59F756F9" w14:textId="77777777" w:rsidR="0062766C" w:rsidRDefault="0062766C" w:rsidP="009D2ED0">
      <w:pPr>
        <w:ind w:left="360"/>
        <w:jc w:val="both"/>
      </w:pPr>
    </w:p>
    <w:p w14:paraId="463086B1" w14:textId="40EB8A2A" w:rsidR="007B6681" w:rsidRDefault="007B6681" w:rsidP="007B6681">
      <w:pPr>
        <w:ind w:left="708"/>
        <w:jc w:val="both"/>
      </w:pPr>
      <w:r>
        <w:t xml:space="preserve">De overbenutting op het loonmodel bij onderwijs bedraagt 3,9 miljoen euro wat 33,1 miljoen minder is dan de inschatting van de overbenutting door het departement onderwijs (37 miljoen euro) naar aanleiding van de monitoring van december. </w:t>
      </w:r>
    </w:p>
    <w:p w14:paraId="3F980625" w14:textId="77777777" w:rsidR="007B6681" w:rsidRDefault="007B6681" w:rsidP="00A25661">
      <w:pPr>
        <w:autoSpaceDE w:val="0"/>
        <w:autoSpaceDN w:val="0"/>
        <w:adjustRightInd w:val="0"/>
        <w:spacing w:after="200" w:line="276" w:lineRule="auto"/>
        <w:ind w:left="708"/>
        <w:jc w:val="both"/>
      </w:pPr>
    </w:p>
    <w:p w14:paraId="59B3C385" w14:textId="13BB348C" w:rsidR="0062766C" w:rsidRDefault="0062766C" w:rsidP="007600BF">
      <w:pPr>
        <w:jc w:val="both"/>
      </w:pPr>
    </w:p>
    <w:p w14:paraId="6060BC3A" w14:textId="77777777" w:rsidR="00AE51D7" w:rsidRDefault="00AE51D7" w:rsidP="00AE51D7">
      <w:pPr>
        <w:pStyle w:val="Lijstalinea"/>
        <w:numPr>
          <w:ilvl w:val="0"/>
          <w:numId w:val="30"/>
        </w:numPr>
        <w:jc w:val="both"/>
      </w:pPr>
      <w:r>
        <w:t>Werk en Sociale Economie</w:t>
      </w:r>
    </w:p>
    <w:p w14:paraId="7A21E105" w14:textId="77777777" w:rsidR="00AE51D7" w:rsidRDefault="00AE51D7" w:rsidP="00AE51D7">
      <w:pPr>
        <w:pStyle w:val="Lijstalinea"/>
        <w:jc w:val="both"/>
      </w:pPr>
    </w:p>
    <w:p w14:paraId="4C4819B1" w14:textId="77777777" w:rsidR="00CE0352" w:rsidRPr="00F76237" w:rsidRDefault="00CE0352" w:rsidP="00CE0352">
      <w:pPr>
        <w:pStyle w:val="Lijstalinea"/>
        <w:numPr>
          <w:ilvl w:val="0"/>
          <w:numId w:val="34"/>
        </w:numPr>
        <w:spacing w:after="200" w:line="276" w:lineRule="auto"/>
      </w:pPr>
      <w:r w:rsidRPr="00F76237">
        <w:t>Voor de uitgaven door federale operatoren werd begin februari een eerste ESR-afrekening ontvangen.</w:t>
      </w:r>
    </w:p>
    <w:p w14:paraId="050E7272" w14:textId="2FC70668" w:rsidR="00CE0352" w:rsidRPr="00F76237" w:rsidRDefault="00CE0352" w:rsidP="00CE0352">
      <w:pPr>
        <w:pStyle w:val="Lijstalinea"/>
      </w:pPr>
      <w:r w:rsidRPr="00F76237">
        <w:t>De grootste verschillen situeren zich bij het hervormd doelgroepenbeleid, waarvoor op basis van de informatie van de RSZ een overbenutting van 58,8 miljoen wordt verwacht ten opzichte van de begrotingsaanpassing 2019, de gerapporteerde uitgaven liggen 31,0 miljoen hoger dan geraamd in het monitoringrapport van december. De wijziging is op te splitsen over de doelgroepvermindering voor ouderen (5</w:t>
      </w:r>
      <w:r w:rsidR="00F76237" w:rsidRPr="00F76237">
        <w:t>6</w:t>
      </w:r>
      <w:r w:rsidRPr="00F76237">
        <w:t>,</w:t>
      </w:r>
      <w:r w:rsidR="00F76237" w:rsidRPr="00F76237">
        <w:t>6</w:t>
      </w:r>
      <w:r w:rsidRPr="00F76237">
        <w:t xml:space="preserve"> miljoen hoger dan geraamd bij de begrotingsaanpassing 2019; 25,</w:t>
      </w:r>
      <w:r w:rsidR="00F76237" w:rsidRPr="00F76237">
        <w:t>2</w:t>
      </w:r>
      <w:r w:rsidRPr="00F76237">
        <w:t xml:space="preserve"> miljoen hoger dan geraamd in het monitoringrapport van december) </w:t>
      </w:r>
      <w:r w:rsidRPr="003B3329">
        <w:t>en jongeren (1,8 miljoen hoger dan geraamd bij de begrotingsaanpassing 2019 en 5,4 miljoen hoger dan geraamd in het monitoringrapport van december).</w:t>
      </w:r>
    </w:p>
    <w:p w14:paraId="699AB319" w14:textId="6CA1359D" w:rsidR="000E4F2D" w:rsidRDefault="00CE0352" w:rsidP="003B3329">
      <w:pPr>
        <w:pStyle w:val="Lijstalinea"/>
        <w:numPr>
          <w:ilvl w:val="0"/>
          <w:numId w:val="34"/>
        </w:numPr>
        <w:spacing w:after="200" w:line="276" w:lineRule="auto"/>
      </w:pPr>
      <w:r w:rsidRPr="00F76237">
        <w:t>Voor de dienstencheques komt de onderbenutting uit op 1</w:t>
      </w:r>
      <w:r w:rsidR="00F76237" w:rsidRPr="00F76237">
        <w:t>1</w:t>
      </w:r>
      <w:r w:rsidRPr="00F76237">
        <w:t>,</w:t>
      </w:r>
      <w:r w:rsidR="00F76237" w:rsidRPr="00F76237">
        <w:t>9</w:t>
      </w:r>
      <w:r w:rsidRPr="00F76237">
        <w:t xml:space="preserve"> miljoen euro. De onderbenutting ligt </w:t>
      </w:r>
      <w:r w:rsidR="00F76237" w:rsidRPr="00F76237">
        <w:t>1</w:t>
      </w:r>
      <w:r w:rsidRPr="00F76237">
        <w:t>,</w:t>
      </w:r>
      <w:r w:rsidR="00F76237" w:rsidRPr="00F76237">
        <w:t>8</w:t>
      </w:r>
      <w:r w:rsidRPr="00F76237">
        <w:t xml:space="preserve"> miljoen euro hoger in vergelijking met de monitoring van december. De aanrekening is gebaseerd op de facturen die tussen 1 oktober 2018 en 30 september </w:t>
      </w:r>
      <w:r w:rsidRPr="00F76237">
        <w:lastRenderedPageBreak/>
        <w:t>2019 werden ontvangen. De in deze periode aangekochte en gefactureerde dienstencheques bepalen immers de ESR-aanrekenbare uitgave voor Vlaanderen in 2019, rekening houdend met een doorlooptijd van de facturen van 3 maanden.</w:t>
      </w:r>
    </w:p>
    <w:p w14:paraId="7BDCBE2C" w14:textId="77777777" w:rsidR="000E4F2D" w:rsidRPr="00E25B8B" w:rsidRDefault="000E4F2D" w:rsidP="000E4F2D">
      <w:pPr>
        <w:ind w:left="708"/>
        <w:jc w:val="both"/>
      </w:pPr>
    </w:p>
    <w:p w14:paraId="10B348AB" w14:textId="77777777" w:rsidR="0092183C" w:rsidRDefault="0092183C" w:rsidP="0092183C">
      <w:pPr>
        <w:pStyle w:val="Lijstalinea"/>
        <w:numPr>
          <w:ilvl w:val="0"/>
          <w:numId w:val="30"/>
        </w:numPr>
        <w:jc w:val="both"/>
      </w:pPr>
      <w:r>
        <w:t>Omgeving</w:t>
      </w:r>
    </w:p>
    <w:p w14:paraId="48F77C92" w14:textId="77777777" w:rsidR="0017350B" w:rsidRPr="0092183C" w:rsidRDefault="0017350B" w:rsidP="0017350B">
      <w:pPr>
        <w:pStyle w:val="Lijstalinea"/>
        <w:jc w:val="both"/>
      </w:pPr>
    </w:p>
    <w:p w14:paraId="5972CC92" w14:textId="2D4AD4F8" w:rsidR="00AE51D7" w:rsidRDefault="0092183C" w:rsidP="00E25B8B">
      <w:pPr>
        <w:ind w:left="708"/>
        <w:jc w:val="both"/>
      </w:pPr>
      <w:r w:rsidRPr="00D5104C">
        <w:t>Op de renovatiepremie</w:t>
      </w:r>
      <w:r w:rsidR="00BB3DDF">
        <w:t xml:space="preserve"> is er </w:t>
      </w:r>
      <w:r w:rsidRPr="00D5104C">
        <w:t>– in afwachting van een aanpassing van de regelgeving waarbij de renovatiepremie en de VAP-premie zullen worden geïntegr</w:t>
      </w:r>
      <w:r w:rsidR="0017350B">
        <w:t xml:space="preserve">eerd – een onderbenutting van </w:t>
      </w:r>
      <w:r w:rsidR="003B3329">
        <w:t>40,3</w:t>
      </w:r>
      <w:r w:rsidR="00317852">
        <w:t xml:space="preserve"> </w:t>
      </w:r>
      <w:r w:rsidRPr="00D5104C">
        <w:t>miljoen euro</w:t>
      </w:r>
      <w:r w:rsidR="003B3329">
        <w:t xml:space="preserve"> of 3,3 miljoen euro meer dan geraamd in december.</w:t>
      </w:r>
    </w:p>
    <w:p w14:paraId="3DD2FAA0" w14:textId="47315543" w:rsidR="00317852" w:rsidRDefault="00317852" w:rsidP="00E25B8B">
      <w:pPr>
        <w:ind w:left="708"/>
        <w:jc w:val="both"/>
      </w:pPr>
    </w:p>
    <w:p w14:paraId="4AA0BC7D" w14:textId="6D50C5E9" w:rsidR="00317852" w:rsidRDefault="00317852" w:rsidP="00E25B8B">
      <w:pPr>
        <w:ind w:left="708"/>
        <w:jc w:val="both"/>
      </w:pPr>
      <w:r>
        <w:t>Ook bij de huursubsidies en de h</w:t>
      </w:r>
      <w:r w:rsidR="00C068EF">
        <w:t xml:space="preserve">uuurpremies </w:t>
      </w:r>
      <w:r w:rsidR="003B3329">
        <w:t xml:space="preserve">is er </w:t>
      </w:r>
      <w:r w:rsidR="00C068EF">
        <w:t>een o</w:t>
      </w:r>
      <w:r>
        <w:t>n</w:t>
      </w:r>
      <w:r w:rsidR="00C068EF">
        <w:t>de</w:t>
      </w:r>
      <w:r w:rsidR="000E4F2D">
        <w:t xml:space="preserve">rbenutting van </w:t>
      </w:r>
      <w:r w:rsidR="00C80F5E">
        <w:t>1</w:t>
      </w:r>
      <w:r w:rsidR="003B3329">
        <w:t>4</w:t>
      </w:r>
      <w:r w:rsidR="0038764C">
        <w:t>,</w:t>
      </w:r>
      <w:r w:rsidR="003B3329">
        <w:t>8</w:t>
      </w:r>
      <w:r>
        <w:t xml:space="preserve"> miljoen euro</w:t>
      </w:r>
      <w:r w:rsidR="003B3329">
        <w:t xml:space="preserve"> wat 1,5 miljoen euro meer is dan de raming naar aanleiding van de monitoringnota van december.</w:t>
      </w:r>
    </w:p>
    <w:p w14:paraId="241EED95" w14:textId="29B0047B" w:rsidR="00284DEA" w:rsidRDefault="00284DEA" w:rsidP="00284DEA">
      <w:pPr>
        <w:jc w:val="both"/>
      </w:pPr>
    </w:p>
    <w:p w14:paraId="2D75A86A" w14:textId="4263B279" w:rsidR="00C90E9F" w:rsidRPr="00D5104C" w:rsidRDefault="00C90E9F" w:rsidP="00284DEA">
      <w:pPr>
        <w:jc w:val="both"/>
      </w:pPr>
    </w:p>
    <w:p w14:paraId="518D4039" w14:textId="77777777" w:rsidR="00317F92" w:rsidRDefault="00317F92" w:rsidP="00F94295">
      <w:pPr>
        <w:pStyle w:val="Kop3"/>
        <w:numPr>
          <w:ilvl w:val="1"/>
          <w:numId w:val="24"/>
        </w:numPr>
      </w:pPr>
      <w:r>
        <w:t>DAB’s</w:t>
      </w:r>
    </w:p>
    <w:p w14:paraId="32E5B568" w14:textId="7BCDBD84" w:rsidR="007026F8" w:rsidRDefault="007026F8" w:rsidP="00F14C2C">
      <w:pPr>
        <w:pStyle w:val="Lijstalinea"/>
        <w:jc w:val="both"/>
      </w:pPr>
    </w:p>
    <w:p w14:paraId="781F2181" w14:textId="77777777" w:rsidR="00476E24" w:rsidRDefault="00476E24" w:rsidP="000E4F2D">
      <w:pPr>
        <w:ind w:left="708"/>
        <w:jc w:val="both"/>
      </w:pPr>
    </w:p>
    <w:p w14:paraId="1DC84B1B" w14:textId="3B1DE0D5" w:rsidR="00476E24" w:rsidRDefault="00476E24" w:rsidP="00476E24">
      <w:pPr>
        <w:pStyle w:val="Lijstalinea"/>
        <w:jc w:val="both"/>
      </w:pPr>
      <w:r w:rsidRPr="000E7781">
        <w:t>De</w:t>
      </w:r>
      <w:r>
        <w:t xml:space="preserve"> uitgaven van de DAB’s liggen 6,1 </w:t>
      </w:r>
      <w:r w:rsidRPr="000E7781">
        <w:t>mil</w:t>
      </w:r>
      <w:r>
        <w:t xml:space="preserve">joen euro hoger </w:t>
      </w:r>
      <w:r w:rsidRPr="000E7781">
        <w:t>dan begroot</w:t>
      </w:r>
      <w:r>
        <w:t xml:space="preserve"> bij de begroti</w:t>
      </w:r>
      <w:r w:rsidR="00C40C68">
        <w:t>n</w:t>
      </w:r>
      <w:r>
        <w:t>gsaanpassing 2019 en 100,1 miljoen euro hoger ten opzichte van de raming van december</w:t>
      </w:r>
      <w:r w:rsidRPr="000E7781">
        <w:t>.</w:t>
      </w:r>
    </w:p>
    <w:p w14:paraId="445A2774" w14:textId="77777777" w:rsidR="00476E24" w:rsidRDefault="00476E24" w:rsidP="00476E24">
      <w:pPr>
        <w:ind w:left="708"/>
        <w:jc w:val="both"/>
      </w:pPr>
    </w:p>
    <w:p w14:paraId="27F605C7" w14:textId="2D004C0B" w:rsidR="00476E24" w:rsidRDefault="00476E24" w:rsidP="00476E24">
      <w:pPr>
        <w:ind w:left="708"/>
        <w:jc w:val="both"/>
      </w:pPr>
      <w:r>
        <w:t>De grootste afwijking ten opzichte van BA19 situeert zich bij het Mina (+51,9 miljoen euro).</w:t>
      </w:r>
    </w:p>
    <w:p w14:paraId="5E9D3E66" w14:textId="46335594" w:rsidR="00476E24" w:rsidRDefault="00476E24" w:rsidP="00476E24">
      <w:pPr>
        <w:ind w:left="708"/>
        <w:jc w:val="both"/>
      </w:pPr>
      <w:r>
        <w:t xml:space="preserve">Deze overschrijding is te wijten aan een afboeking van dubieuze vorderingen ten belope van </w:t>
      </w:r>
      <w:r w:rsidR="00BD7F4E" w:rsidRPr="00BD7F4E">
        <w:t>64,9</w:t>
      </w:r>
      <w:r w:rsidRPr="00BD7F4E">
        <w:t xml:space="preserve"> miljoen euro milieuheffingen</w:t>
      </w:r>
      <w:r>
        <w:t xml:space="preserve"> aangezien er op dit ogenblik onzekerheid bestaat aangaande de effectieve inning. Tegen die vorderingen werd immers beroep aangetekend bij de bevoegde minister.</w:t>
      </w:r>
    </w:p>
    <w:p w14:paraId="74D613B7" w14:textId="77777777" w:rsidR="00D31E39" w:rsidRDefault="00D31E39" w:rsidP="00D31E39">
      <w:pPr>
        <w:jc w:val="both"/>
      </w:pPr>
    </w:p>
    <w:p w14:paraId="01CE89E0" w14:textId="77777777" w:rsidR="00D31E39" w:rsidRDefault="00D31E39" w:rsidP="00476E24">
      <w:pPr>
        <w:jc w:val="both"/>
      </w:pPr>
    </w:p>
    <w:p w14:paraId="73EABCAB" w14:textId="77777777" w:rsidR="001D1124" w:rsidRDefault="001D1124" w:rsidP="001D1124">
      <w:pPr>
        <w:ind w:left="708"/>
        <w:jc w:val="both"/>
      </w:pPr>
    </w:p>
    <w:p w14:paraId="0F54DC97" w14:textId="77777777" w:rsidR="00317F92" w:rsidRDefault="00317F92" w:rsidP="00F94295">
      <w:pPr>
        <w:pStyle w:val="Kop3"/>
        <w:numPr>
          <w:ilvl w:val="1"/>
          <w:numId w:val="24"/>
        </w:numPr>
      </w:pPr>
      <w:r>
        <w:t>Rechtspersonen</w:t>
      </w:r>
    </w:p>
    <w:p w14:paraId="459F590F" w14:textId="77777777" w:rsidR="00F14C2C" w:rsidRDefault="00F14C2C" w:rsidP="00F14C2C">
      <w:pPr>
        <w:pStyle w:val="Lijstalinea"/>
        <w:jc w:val="both"/>
      </w:pPr>
    </w:p>
    <w:p w14:paraId="618C5087" w14:textId="40E55A3A" w:rsidR="0017350B" w:rsidRDefault="0017350B" w:rsidP="006055CD">
      <w:pPr>
        <w:ind w:left="708"/>
        <w:jc w:val="both"/>
      </w:pPr>
    </w:p>
    <w:p w14:paraId="1858239F" w14:textId="7009D7D8" w:rsidR="007F1EFD" w:rsidRDefault="00513116" w:rsidP="007F1EFD">
      <w:pPr>
        <w:ind w:left="708"/>
        <w:jc w:val="both"/>
      </w:pPr>
      <w:r>
        <w:t xml:space="preserve">De uitgaven van de rechtspersonen liggen volgens de prognoses van die rechtspersonen </w:t>
      </w:r>
      <w:r w:rsidR="007F1EFD">
        <w:t>339</w:t>
      </w:r>
      <w:r w:rsidR="009C44FD">
        <w:t>,</w:t>
      </w:r>
      <w:r w:rsidR="008C2C2E">
        <w:t>7</w:t>
      </w:r>
      <w:r>
        <w:t xml:space="preserve"> m</w:t>
      </w:r>
      <w:r w:rsidR="00955500">
        <w:t>il</w:t>
      </w:r>
      <w:r>
        <w:t>joen euro lager ten opzichte van de</w:t>
      </w:r>
      <w:r w:rsidR="000F55E2">
        <w:t xml:space="preserve"> begrotingsaanpassing</w:t>
      </w:r>
      <w:r w:rsidR="00B245DA">
        <w:t xml:space="preserve"> 2019</w:t>
      </w:r>
      <w:r>
        <w:t>.</w:t>
      </w:r>
      <w:r w:rsidR="007F1EFD">
        <w:t xml:space="preserve"> </w:t>
      </w:r>
      <w:r w:rsidR="007F1EFD" w:rsidRPr="00217F81">
        <w:t>Ten opzichte van de monitorin</w:t>
      </w:r>
      <w:r w:rsidR="007F1EFD">
        <w:t>gnota van december liggen ze 68,1</w:t>
      </w:r>
      <w:r w:rsidR="007F1EFD" w:rsidRPr="00217F81">
        <w:t xml:space="preserve"> miljoen euro</w:t>
      </w:r>
      <w:r w:rsidR="007F1EFD">
        <w:t xml:space="preserve"> hoger</w:t>
      </w:r>
      <w:r w:rsidR="007F1EFD" w:rsidRPr="00217F81">
        <w:t>.</w:t>
      </w:r>
      <w:r w:rsidR="007F1EFD">
        <w:t xml:space="preserve"> Deze hogere uitgaven ten opzichte van de monitoring van december zijn echter te wijten aan een gewijzigde registratie van de uitgaven voor gezinsbijslag bij K&amp;G en het VUTG</w:t>
      </w:r>
      <w:r w:rsidR="004038AC">
        <w:t xml:space="preserve"> die gefina</w:t>
      </w:r>
      <w:r w:rsidR="004B3B83">
        <w:t>n</w:t>
      </w:r>
      <w:r w:rsidR="004038AC">
        <w:t>cierd worden met terugvorderingen. Door deze bruto registratie stijgen de uitgaven met 89,7 miljoen euro. De ontvangsten stijgen echter met eenzelfde bedrag.</w:t>
      </w:r>
    </w:p>
    <w:p w14:paraId="7737E7D6" w14:textId="1E96C033" w:rsidR="00513116" w:rsidRDefault="00513116" w:rsidP="00513116">
      <w:pPr>
        <w:pStyle w:val="Lijstalinea"/>
        <w:jc w:val="both"/>
      </w:pPr>
    </w:p>
    <w:p w14:paraId="551C51C0" w14:textId="276E0D01" w:rsidR="00B245DA" w:rsidRPr="00733B98" w:rsidRDefault="00B245DA" w:rsidP="004038AC">
      <w:pPr>
        <w:ind w:left="708"/>
        <w:jc w:val="both"/>
      </w:pPr>
      <w:r w:rsidRPr="001173A0">
        <w:t xml:space="preserve">Belangrijke positieve afwijkingen t.o.v. de bijdrage tot het vorderingensaldo </w:t>
      </w:r>
      <w:r w:rsidR="00733B98" w:rsidRPr="001173A0">
        <w:t xml:space="preserve">n.a.v. BA19 </w:t>
      </w:r>
      <w:r w:rsidRPr="001173A0">
        <w:t xml:space="preserve">situeren zich bij </w:t>
      </w:r>
      <w:r w:rsidR="001173A0">
        <w:t>VFLD</w:t>
      </w:r>
      <w:r w:rsidR="00233F42">
        <w:t xml:space="preserve"> </w:t>
      </w:r>
      <w:r w:rsidR="001173A0">
        <w:t>(-</w:t>
      </w:r>
      <w:r w:rsidR="007F1EFD">
        <w:t>30</w:t>
      </w:r>
      <w:r w:rsidR="001173A0">
        <w:t>,</w:t>
      </w:r>
      <w:r w:rsidR="007F1EFD">
        <w:t>4</w:t>
      </w:r>
      <w:r w:rsidR="001173A0">
        <w:t xml:space="preserve">), </w:t>
      </w:r>
      <w:r w:rsidR="00B34291" w:rsidRPr="001173A0">
        <w:t>Hermes (-1</w:t>
      </w:r>
      <w:r w:rsidR="007F1EFD">
        <w:t>24</w:t>
      </w:r>
      <w:r w:rsidR="00B34291" w:rsidRPr="001173A0">
        <w:t>) , K&amp;G</w:t>
      </w:r>
      <w:r w:rsidR="004038AC">
        <w:t>/VUTG</w:t>
      </w:r>
      <w:r w:rsidR="00B34291" w:rsidRPr="001173A0">
        <w:t xml:space="preserve"> (-</w:t>
      </w:r>
      <w:r w:rsidR="00677F17">
        <w:t>46</w:t>
      </w:r>
      <w:r w:rsidR="004038AC">
        <w:t>,</w:t>
      </w:r>
      <w:r w:rsidR="00677F17">
        <w:t>6</w:t>
      </w:r>
      <w:r w:rsidR="00733B98" w:rsidRPr="001173A0">
        <w:t xml:space="preserve">), </w:t>
      </w:r>
      <w:r w:rsidR="00B34291" w:rsidRPr="001173A0">
        <w:t>Agion (-</w:t>
      </w:r>
      <w:r w:rsidR="00677F17">
        <w:t>41</w:t>
      </w:r>
      <w:r w:rsidR="00B34291" w:rsidRPr="001173A0">
        <w:t>,</w:t>
      </w:r>
      <w:r w:rsidR="00677F17">
        <w:t>3</w:t>
      </w:r>
      <w:r w:rsidR="00DF2DF4" w:rsidRPr="001173A0">
        <w:t>)</w:t>
      </w:r>
      <w:r w:rsidR="009F5B08" w:rsidRPr="001173A0">
        <w:t xml:space="preserve">, </w:t>
      </w:r>
      <w:r w:rsidR="00B34291" w:rsidRPr="001173A0">
        <w:t>VDAB (-</w:t>
      </w:r>
      <w:r w:rsidR="00677F17">
        <w:t>25,8</w:t>
      </w:r>
      <w:r w:rsidR="00E72441" w:rsidRPr="001173A0">
        <w:t xml:space="preserve">), </w:t>
      </w:r>
      <w:r w:rsidR="00B34291" w:rsidRPr="001173A0">
        <w:t>De Vlaamse Waterweg (-</w:t>
      </w:r>
      <w:r w:rsidR="00677F17">
        <w:t>34</w:t>
      </w:r>
      <w:r w:rsidR="00B34291" w:rsidRPr="001173A0">
        <w:t>,</w:t>
      </w:r>
      <w:r w:rsidR="00677F17">
        <w:t>1</w:t>
      </w:r>
      <w:r w:rsidR="009F5B08" w:rsidRPr="001173A0">
        <w:t>)</w:t>
      </w:r>
      <w:r w:rsidR="002A6604" w:rsidRPr="001173A0">
        <w:t xml:space="preserve"> </w:t>
      </w:r>
      <w:r w:rsidR="001173A0">
        <w:t>en De Werkvenno</w:t>
      </w:r>
      <w:r w:rsidRPr="001173A0">
        <w:t>otschap</w:t>
      </w:r>
      <w:r w:rsidR="00DF2DF4" w:rsidRPr="001173A0">
        <w:t xml:space="preserve"> (-2</w:t>
      </w:r>
      <w:r w:rsidR="00677F17">
        <w:t>4</w:t>
      </w:r>
      <w:r w:rsidR="001173A0">
        <w:t>,</w:t>
      </w:r>
      <w:r w:rsidR="00677F17">
        <w:t>9</w:t>
      </w:r>
      <w:r w:rsidR="00437A32" w:rsidRPr="001173A0">
        <w:t>)</w:t>
      </w:r>
      <w:r w:rsidRPr="001173A0">
        <w:t xml:space="preserve">  </w:t>
      </w:r>
      <w:r w:rsidR="00B34291" w:rsidRPr="001173A0">
        <w:t>en de BAM/Lantis (</w:t>
      </w:r>
      <w:r w:rsidR="001173A0" w:rsidRPr="001173A0">
        <w:t>-</w:t>
      </w:r>
      <w:r w:rsidR="009E0C94">
        <w:t>1</w:t>
      </w:r>
      <w:r w:rsidR="001173A0" w:rsidRPr="001173A0">
        <w:t>8)</w:t>
      </w:r>
    </w:p>
    <w:p w14:paraId="3A790971" w14:textId="77777777" w:rsidR="00B245DA" w:rsidRPr="00733B98" w:rsidRDefault="00B245DA" w:rsidP="00B245DA">
      <w:pPr>
        <w:pStyle w:val="Lijstalinea"/>
        <w:jc w:val="both"/>
      </w:pPr>
    </w:p>
    <w:p w14:paraId="49A6BA0A" w14:textId="77777777" w:rsidR="001173A0" w:rsidRDefault="001173A0" w:rsidP="008F762A">
      <w:pPr>
        <w:ind w:left="708"/>
        <w:jc w:val="both"/>
      </w:pPr>
    </w:p>
    <w:p w14:paraId="0F3309E7" w14:textId="27096FFD" w:rsidR="001173A0" w:rsidRDefault="00233F42" w:rsidP="00233F42">
      <w:pPr>
        <w:ind w:left="708"/>
        <w:jc w:val="both"/>
      </w:pPr>
      <w:r>
        <w:t xml:space="preserve">Bij het VFLD situeert het overschot zich </w:t>
      </w:r>
      <w:r w:rsidR="001173A0">
        <w:t xml:space="preserve">op de provisies </w:t>
      </w:r>
      <w:r>
        <w:t>(</w:t>
      </w:r>
      <w:r w:rsidR="001173A0">
        <w:t xml:space="preserve">ongeveer </w:t>
      </w:r>
      <w:r w:rsidR="009E0C94">
        <w:t>2</w:t>
      </w:r>
      <w:r w:rsidR="001173A0">
        <w:t>,</w:t>
      </w:r>
      <w:r w:rsidR="009E0C94">
        <w:t>8</w:t>
      </w:r>
      <w:r w:rsidR="001173A0">
        <w:t xml:space="preserve"> miljoen</w:t>
      </w:r>
      <w:r>
        <w:t>), Vlaams rampenfonds (</w:t>
      </w:r>
      <w:r w:rsidR="001173A0">
        <w:t xml:space="preserve">ongeveer </w:t>
      </w:r>
      <w:r w:rsidR="009E0C94">
        <w:t>4</w:t>
      </w:r>
      <w:r w:rsidR="001173A0">
        <w:t xml:space="preserve"> miljoen</w:t>
      </w:r>
      <w:r>
        <w:t>)</w:t>
      </w:r>
      <w:r w:rsidR="001173A0">
        <w:t xml:space="preserve"> </w:t>
      </w:r>
      <w:r>
        <w:t>en het landbouwrampenfonds (</w:t>
      </w:r>
      <w:r w:rsidR="001173A0">
        <w:t xml:space="preserve">ongeveer </w:t>
      </w:r>
      <w:r w:rsidR="009E0C94">
        <w:t>22,5</w:t>
      </w:r>
      <w:r w:rsidR="001173A0">
        <w:t xml:space="preserve"> miljoen</w:t>
      </w:r>
      <w:r>
        <w:t>)</w:t>
      </w:r>
      <w:r w:rsidR="001173A0">
        <w:t>.</w:t>
      </w:r>
    </w:p>
    <w:p w14:paraId="452A8A81" w14:textId="77777777" w:rsidR="001173A0" w:rsidRDefault="001173A0" w:rsidP="008F762A">
      <w:pPr>
        <w:ind w:left="708"/>
        <w:jc w:val="both"/>
      </w:pPr>
    </w:p>
    <w:p w14:paraId="25D56AE2" w14:textId="139D0C70" w:rsidR="009E0C94" w:rsidRDefault="00B245DA" w:rsidP="009E0C94">
      <w:pPr>
        <w:ind w:left="708"/>
        <w:jc w:val="both"/>
      </w:pPr>
      <w:r w:rsidRPr="008F762A">
        <w:lastRenderedPageBreak/>
        <w:t xml:space="preserve">Bij het Hermes </w:t>
      </w:r>
      <w:r w:rsidR="008F762A" w:rsidRPr="008F762A">
        <w:t xml:space="preserve">situeren de overschotten zich </w:t>
      </w:r>
      <w:r w:rsidR="009E0C94">
        <w:t xml:space="preserve">voornamelijk </w:t>
      </w:r>
      <w:r w:rsidR="008F762A">
        <w:t>Clusters</w:t>
      </w:r>
      <w:r w:rsidR="009E0C94">
        <w:t>teun</w:t>
      </w:r>
      <w:r w:rsidR="008F762A">
        <w:t xml:space="preserve"> (</w:t>
      </w:r>
      <w:r w:rsidR="009E0C94" w:rsidRPr="009E0C94">
        <w:t>18 mln</w:t>
      </w:r>
      <w:r w:rsidR="008F762A">
        <w:t>)</w:t>
      </w:r>
      <w:r w:rsidR="001173A0">
        <w:t xml:space="preserve">, </w:t>
      </w:r>
      <w:r w:rsidR="009E0C94">
        <w:t xml:space="preserve">en op de </w:t>
      </w:r>
      <w:r w:rsidR="001173A0">
        <w:t>investeringsprovisie (</w:t>
      </w:r>
      <w:r w:rsidR="009E0C94" w:rsidRPr="009E0C94">
        <w:t xml:space="preserve">65 mln </w:t>
      </w:r>
      <w:r w:rsidR="009E0C94">
        <w:t xml:space="preserve">op </w:t>
      </w:r>
      <w:r w:rsidR="001173A0">
        <w:t>ESR 51.12)</w:t>
      </w:r>
      <w:r w:rsidR="009E0C94">
        <w:t>.</w:t>
      </w:r>
    </w:p>
    <w:p w14:paraId="40DB6A1E" w14:textId="77777777" w:rsidR="009E0C94" w:rsidRDefault="009E0C94" w:rsidP="00B245DA">
      <w:pPr>
        <w:ind w:left="708"/>
        <w:jc w:val="both"/>
      </w:pPr>
    </w:p>
    <w:p w14:paraId="26BE619C" w14:textId="6C9643D3" w:rsidR="0011566A" w:rsidRPr="0011566A" w:rsidRDefault="0011566A" w:rsidP="00B245DA">
      <w:pPr>
        <w:ind w:left="708"/>
        <w:jc w:val="both"/>
      </w:pPr>
      <w:r w:rsidRPr="0011566A">
        <w:t>Het overschot</w:t>
      </w:r>
      <w:r w:rsidR="005E064D">
        <w:t xml:space="preserve"> (in termen van bijdrage tot het vorderingensaldo)</w:t>
      </w:r>
      <w:r w:rsidRPr="0011566A">
        <w:t xml:space="preserve"> bij Kind en Gezin</w:t>
      </w:r>
      <w:r w:rsidR="005E064D">
        <w:t xml:space="preserve">/VUTG </w:t>
      </w:r>
      <w:r>
        <w:t xml:space="preserve">situeert zich bij de beleidskredieten van het Groeipakket. Op het monitoringcomité Groeipakket bleek dat de buffer van 28 miljoen euro niet benodigd zal zijn. Daarnaast </w:t>
      </w:r>
      <w:r w:rsidR="000C0A25">
        <w:t>wordt er 15,6 miljoen euro aan regularisaties ESR-matig gecorriggeerd naar 2018. Dit betreffen immers regularisaties die Famifed eind 2018 gelet op de overdracht van het operatorschap naar Vlaanderen niet meer heeft kunnen uitvoeren.</w:t>
      </w:r>
    </w:p>
    <w:p w14:paraId="1660323D" w14:textId="1513A889" w:rsidR="0011566A" w:rsidRDefault="0011566A" w:rsidP="00B245DA">
      <w:pPr>
        <w:ind w:left="708"/>
        <w:jc w:val="both"/>
        <w:rPr>
          <w:highlight w:val="yellow"/>
        </w:rPr>
      </w:pPr>
    </w:p>
    <w:p w14:paraId="2E355800" w14:textId="0FC7A6F4" w:rsidR="00D3298D" w:rsidRDefault="00D3298D" w:rsidP="00B245DA">
      <w:pPr>
        <w:ind w:left="708"/>
        <w:jc w:val="both"/>
      </w:pPr>
      <w:r w:rsidRPr="00D3298D">
        <w:t xml:space="preserve">Bij Agion situeert de minder realisatie zich op de investeringsbijdragen (ESR 64.10) door een </w:t>
      </w:r>
      <w:r w:rsidR="001173A0">
        <w:t>sterke terugval van de opgevraagde subsidiebetalingen</w:t>
      </w:r>
      <w:r w:rsidRPr="00D3298D">
        <w:t xml:space="preserve"> door de scholen</w:t>
      </w:r>
      <w:r w:rsidR="001173A0">
        <w:t xml:space="preserve"> voor de reguliere investeringssubsidies</w:t>
      </w:r>
      <w:r>
        <w:t>.</w:t>
      </w:r>
    </w:p>
    <w:p w14:paraId="37981583" w14:textId="7F3E8E70" w:rsidR="00D3298D" w:rsidRDefault="00D3298D" w:rsidP="00B245DA">
      <w:pPr>
        <w:ind w:left="708"/>
        <w:jc w:val="both"/>
      </w:pPr>
    </w:p>
    <w:p w14:paraId="6C22074E" w14:textId="337DC3C3" w:rsidR="00233F42" w:rsidRPr="009054F9" w:rsidRDefault="00701510" w:rsidP="00233F42">
      <w:pPr>
        <w:ind w:left="708"/>
        <w:jc w:val="both"/>
      </w:pPr>
      <w:r w:rsidRPr="009054F9">
        <w:t xml:space="preserve">Bij de VDAB werd </w:t>
      </w:r>
      <w:r w:rsidR="00233F42" w:rsidRPr="009054F9">
        <w:t xml:space="preserve">voor alle posten een grondige prognose oefening gemaakt : </w:t>
      </w:r>
    </w:p>
    <w:p w14:paraId="707F3445" w14:textId="3F04378A" w:rsidR="00233F42" w:rsidRPr="009054F9" w:rsidRDefault="00233F42" w:rsidP="00233F42">
      <w:pPr>
        <w:ind w:left="708"/>
        <w:jc w:val="both"/>
      </w:pPr>
      <w:r w:rsidRPr="009054F9">
        <w:t>●       samenwerking derden: -1</w:t>
      </w:r>
      <w:r w:rsidR="009054F9" w:rsidRPr="009054F9">
        <w:t>5</w:t>
      </w:r>
      <w:r w:rsidRPr="009054F9">
        <w:t xml:space="preserve">,9 miljoen euro </w:t>
      </w:r>
    </w:p>
    <w:p w14:paraId="6DFCCEA5" w14:textId="123FF3D4" w:rsidR="00233F42" w:rsidRPr="009054F9" w:rsidRDefault="00233F42" w:rsidP="009054F9">
      <w:pPr>
        <w:ind w:left="708"/>
        <w:jc w:val="both"/>
      </w:pPr>
      <w:r w:rsidRPr="009054F9">
        <w:t>●       werkingskosten: -</w:t>
      </w:r>
      <w:r w:rsidR="009054F9" w:rsidRPr="009054F9">
        <w:t>7</w:t>
      </w:r>
      <w:r w:rsidRPr="009054F9">
        <w:t xml:space="preserve"> miljoen euro  </w:t>
      </w:r>
    </w:p>
    <w:p w14:paraId="22EAB019" w14:textId="51D46B27" w:rsidR="00233F42" w:rsidRPr="009054F9" w:rsidRDefault="00233F42" w:rsidP="00233F42">
      <w:pPr>
        <w:ind w:left="708"/>
        <w:jc w:val="both"/>
      </w:pPr>
      <w:r w:rsidRPr="009054F9">
        <w:t>●       investeringen: -</w:t>
      </w:r>
      <w:r w:rsidR="009054F9" w:rsidRPr="009054F9">
        <w:t>3</w:t>
      </w:r>
      <w:r w:rsidRPr="009054F9">
        <w:t xml:space="preserve"> miljoen euro </w:t>
      </w:r>
    </w:p>
    <w:p w14:paraId="1EEFC165" w14:textId="77777777" w:rsidR="00233F42" w:rsidRPr="00655858" w:rsidRDefault="00233F42" w:rsidP="00233F42">
      <w:pPr>
        <w:ind w:left="708"/>
        <w:jc w:val="both"/>
      </w:pPr>
    </w:p>
    <w:p w14:paraId="06D00F98" w14:textId="1CD47DED" w:rsidR="00D3298D" w:rsidRPr="00655858" w:rsidRDefault="00D545CD" w:rsidP="00233F42">
      <w:pPr>
        <w:ind w:left="708"/>
        <w:jc w:val="both"/>
      </w:pPr>
      <w:r w:rsidRPr="00655858">
        <w:t xml:space="preserve">Bij de werkvennootschap is de onderbenutting </w:t>
      </w:r>
      <w:r w:rsidR="00D3298D" w:rsidRPr="00655858">
        <w:t xml:space="preserve">voornamelijk </w:t>
      </w:r>
      <w:r w:rsidRPr="00655858">
        <w:t xml:space="preserve">te wijten aan een vertraging in uitvoering : - 3,5 miljoen euro op innames/onteigeningen, - 5 miljoen euro op projecten </w:t>
      </w:r>
      <w:r w:rsidR="00D3298D" w:rsidRPr="00655858">
        <w:t>Verkeersveiligheid</w:t>
      </w:r>
      <w:r w:rsidRPr="00655858">
        <w:t xml:space="preserve"> en -7,5 miljoen euro op de </w:t>
      </w:r>
      <w:r w:rsidR="00D3298D" w:rsidRPr="00655858">
        <w:t>Werken aan de Ring</w:t>
      </w:r>
      <w:r w:rsidR="009F5B08" w:rsidRPr="00655858">
        <w:t>. Ook de Algemene werkingskosten  zijn lager: daar projecten nog niet volledig in uitvoering zijn volgen ook de werkingsmiddelen in die zin.</w:t>
      </w:r>
    </w:p>
    <w:p w14:paraId="7FD95535" w14:textId="77777777" w:rsidR="00437A32" w:rsidRPr="00655858" w:rsidRDefault="00437A32" w:rsidP="00B245DA">
      <w:pPr>
        <w:ind w:left="708"/>
        <w:jc w:val="both"/>
      </w:pPr>
    </w:p>
    <w:p w14:paraId="615166E1" w14:textId="1B70D1A5" w:rsidR="008B06E0" w:rsidRDefault="009A0139" w:rsidP="00655858">
      <w:pPr>
        <w:ind w:left="708"/>
        <w:jc w:val="both"/>
      </w:pPr>
      <w:r w:rsidRPr="00655858">
        <w:t>Bij de Vlaamse Waterweg wordt voor het project Seine-Schelde op basis van een geactualiseerde inschatting een onderbenutting geraamd van 10 miljoen euro.</w:t>
      </w:r>
      <w:r>
        <w:t xml:space="preserve"> </w:t>
      </w:r>
    </w:p>
    <w:p w14:paraId="7A7D218A" w14:textId="77777777" w:rsidR="008B06E0" w:rsidRDefault="008B06E0" w:rsidP="00D545CD">
      <w:pPr>
        <w:ind w:left="708"/>
        <w:jc w:val="both"/>
      </w:pPr>
    </w:p>
    <w:p w14:paraId="06215374" w14:textId="5C541AB0" w:rsidR="00437A32" w:rsidRPr="00A66468" w:rsidRDefault="00A66468" w:rsidP="00A66468">
      <w:pPr>
        <w:ind w:left="708"/>
        <w:jc w:val="both"/>
      </w:pPr>
      <w:r>
        <w:t>Bij de BAM doet de vertraging zich voor op het project Linkeroever en op de P&amp;Rs Luchtbal en Merksem die respectievelijke later en nog niet van start zijn gegaan. De onderbenutting ten opzichte van BA 2019 zit nagenoeg volledig op de investeringen binnen de norm.</w:t>
      </w:r>
    </w:p>
    <w:p w14:paraId="4945C3B4" w14:textId="77777777" w:rsidR="00A66468" w:rsidRDefault="00A66468" w:rsidP="00A66468">
      <w:pPr>
        <w:ind w:left="708"/>
        <w:jc w:val="both"/>
      </w:pPr>
    </w:p>
    <w:p w14:paraId="4DF49E67" w14:textId="66285820" w:rsidR="00B245DA" w:rsidRDefault="001A25B3" w:rsidP="001A25B3">
      <w:pPr>
        <w:ind w:left="708"/>
        <w:jc w:val="both"/>
      </w:pPr>
      <w:r>
        <w:t>De Hogescholen en U</w:t>
      </w:r>
      <w:r w:rsidRPr="006F56B2">
        <w:t>niversiteiten hebben naar aanleiding van de</w:t>
      </w:r>
      <w:r>
        <w:t>ze</w:t>
      </w:r>
      <w:r w:rsidRPr="006F56B2">
        <w:t xml:space="preserve"> monitoringoefening</w:t>
      </w:r>
      <w:r>
        <w:t xml:space="preserve"> </w:t>
      </w:r>
      <w:r w:rsidRPr="006F56B2">
        <w:t xml:space="preserve">een update van hun begrotingsuitvoering gemaakt en </w:t>
      </w:r>
      <w:r>
        <w:t>dit resulteert in een verwachte onderbenutting van 16,1 mi</w:t>
      </w:r>
      <w:r w:rsidRPr="006F56B2">
        <w:t>l</w:t>
      </w:r>
      <w:r>
        <w:t>j</w:t>
      </w:r>
      <w:r w:rsidRPr="006F56B2">
        <w:t>oen euro</w:t>
      </w:r>
      <w:r>
        <w:t xml:space="preserve"> ten opzichte van de </w:t>
      </w:r>
      <w:r w:rsidRPr="006F56B2">
        <w:t xml:space="preserve"> bij de </w:t>
      </w:r>
      <w:r>
        <w:t>ingeschreven toelage</w:t>
      </w:r>
      <w:r w:rsidRPr="006F56B2">
        <w:t xml:space="preserve"> </w:t>
      </w:r>
      <w:r>
        <w:t>2019 (o</w:t>
      </w:r>
      <w:r w:rsidRPr="006F56B2">
        <w:t xml:space="preserve">m de impact op het vorderingensaldo gelijk te stellen aan de toelagen aan de U&amp;HS </w:t>
      </w:r>
      <w:r>
        <w:t xml:space="preserve">werd bij BA 19 </w:t>
      </w:r>
      <w:r w:rsidRPr="006F56B2">
        <w:t>e</w:t>
      </w:r>
      <w:r>
        <w:t>en correctie toegepast van 130,1</w:t>
      </w:r>
      <w:r w:rsidRPr="006F56B2">
        <w:t xml:space="preserve"> miljoen euro ten opzichte van de begroting(en) van de hogescholen en universiteiten</w:t>
      </w:r>
      <w:r>
        <w:t>)</w:t>
      </w:r>
      <w:r w:rsidRPr="006F56B2">
        <w:t>.</w:t>
      </w:r>
      <w:r>
        <w:t xml:space="preserve"> </w:t>
      </w:r>
    </w:p>
    <w:p w14:paraId="5ECAB88B" w14:textId="58771AAB" w:rsidR="00B245DA" w:rsidRDefault="00B245DA" w:rsidP="006055CD">
      <w:pPr>
        <w:ind w:left="708"/>
        <w:jc w:val="both"/>
      </w:pPr>
    </w:p>
    <w:p w14:paraId="67D18DC7" w14:textId="685CEA1A" w:rsidR="001C0FD8" w:rsidRPr="00217F81" w:rsidRDefault="001C0FD8" w:rsidP="00A66468">
      <w:pPr>
        <w:jc w:val="both"/>
      </w:pPr>
    </w:p>
    <w:p w14:paraId="48745402" w14:textId="51E097ED" w:rsidR="00E82057" w:rsidRDefault="00E82057">
      <w:r>
        <w:br w:type="page"/>
      </w:r>
    </w:p>
    <w:p w14:paraId="787DC9A9" w14:textId="77777777" w:rsidR="00170531" w:rsidRDefault="00FB007B" w:rsidP="00F94295">
      <w:pPr>
        <w:pStyle w:val="Kop3"/>
        <w:numPr>
          <w:ilvl w:val="0"/>
          <w:numId w:val="24"/>
        </w:numPr>
      </w:pPr>
      <w:r>
        <w:lastRenderedPageBreak/>
        <w:t>ESR-correcties</w:t>
      </w:r>
    </w:p>
    <w:p w14:paraId="0CAE4079" w14:textId="77777777" w:rsidR="00605739" w:rsidRDefault="00605739" w:rsidP="00E9701E">
      <w:pPr>
        <w:jc w:val="both"/>
      </w:pPr>
    </w:p>
    <w:p w14:paraId="04D73D7B" w14:textId="6FAE95E1" w:rsidR="0057000B" w:rsidRDefault="004A288D" w:rsidP="00D82180">
      <w:pPr>
        <w:spacing w:after="120"/>
        <w:jc w:val="both"/>
      </w:pPr>
      <w:r>
        <w:t xml:space="preserve">Tabel </w:t>
      </w:r>
      <w:r w:rsidR="003C744A">
        <w:t>7</w:t>
      </w:r>
      <w:r w:rsidR="0099354C">
        <w:t>. Overzicht ESR correcties</w:t>
      </w:r>
    </w:p>
    <w:p w14:paraId="17B8BBA5" w14:textId="250379CA" w:rsidR="001A25B3" w:rsidRDefault="001A25B3" w:rsidP="00D82180">
      <w:pPr>
        <w:spacing w:after="120"/>
        <w:jc w:val="both"/>
      </w:pPr>
    </w:p>
    <w:tbl>
      <w:tblPr>
        <w:tblW w:w="5000" w:type="pct"/>
        <w:tblCellMar>
          <w:left w:w="70" w:type="dxa"/>
          <w:right w:w="70" w:type="dxa"/>
        </w:tblCellMar>
        <w:tblLook w:val="04A0" w:firstRow="1" w:lastRow="0" w:firstColumn="1" w:lastColumn="0" w:noHBand="0" w:noVBand="1"/>
      </w:tblPr>
      <w:tblGrid>
        <w:gridCol w:w="3667"/>
        <w:gridCol w:w="733"/>
        <w:gridCol w:w="733"/>
        <w:gridCol w:w="733"/>
        <w:gridCol w:w="732"/>
        <w:gridCol w:w="866"/>
        <w:gridCol w:w="732"/>
        <w:gridCol w:w="866"/>
      </w:tblGrid>
      <w:tr w:rsidR="001A25B3" w:rsidRPr="001A25B3" w14:paraId="08121E06" w14:textId="77777777" w:rsidTr="00D96A21">
        <w:trPr>
          <w:trHeight w:val="290"/>
        </w:trPr>
        <w:tc>
          <w:tcPr>
            <w:tcW w:w="2022" w:type="pct"/>
            <w:tcBorders>
              <w:top w:val="single" w:sz="4" w:space="0" w:color="auto"/>
              <w:left w:val="single" w:sz="4" w:space="0" w:color="auto"/>
              <w:bottom w:val="single" w:sz="4" w:space="0" w:color="auto"/>
              <w:right w:val="nil"/>
            </w:tcBorders>
            <w:shd w:val="clear" w:color="auto" w:fill="auto"/>
            <w:noWrap/>
            <w:vAlign w:val="center"/>
            <w:hideMark/>
          </w:tcPr>
          <w:p w14:paraId="06FE91A1" w14:textId="77777777" w:rsidR="001A25B3" w:rsidRPr="001A25B3" w:rsidRDefault="001A25B3" w:rsidP="001A25B3">
            <w:pPr>
              <w:rPr>
                <w:rFonts w:ascii="Calibri" w:eastAsia="Times New Roman" w:hAnsi="Calibri" w:cs="Calibri"/>
                <w:color w:val="000000"/>
                <w:lang w:eastAsia="nl-BE"/>
              </w:rPr>
            </w:pPr>
            <w:r w:rsidRPr="001A25B3">
              <w:rPr>
                <w:rFonts w:ascii="Calibri" w:eastAsia="Times New Roman" w:hAnsi="Calibri" w:cs="Calibri"/>
                <w:color w:val="000000"/>
                <w:lang w:eastAsia="nl-BE"/>
              </w:rPr>
              <w:t>In mio euro</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25835C" w14:textId="77777777" w:rsidR="001A25B3" w:rsidRPr="001A25B3" w:rsidRDefault="001A25B3" w:rsidP="001A25B3">
            <w:pPr>
              <w:jc w:val="center"/>
              <w:rPr>
                <w:rFonts w:ascii="Calibri" w:eastAsia="Times New Roman" w:hAnsi="Calibri" w:cs="Calibri"/>
                <w:b/>
                <w:bCs/>
                <w:color w:val="000000"/>
                <w:lang w:eastAsia="nl-BE"/>
              </w:rPr>
            </w:pPr>
            <w:r w:rsidRPr="001A25B3">
              <w:rPr>
                <w:rFonts w:ascii="Calibri" w:eastAsia="Times New Roman" w:hAnsi="Calibri" w:cs="Calibri"/>
                <w:b/>
                <w:bCs/>
                <w:color w:val="000000"/>
                <w:lang w:eastAsia="nl-BE"/>
              </w:rPr>
              <w:t>BA 2019</w:t>
            </w:r>
          </w:p>
        </w:tc>
        <w:tc>
          <w:tcPr>
            <w:tcW w:w="404" w:type="pct"/>
            <w:tcBorders>
              <w:top w:val="single" w:sz="4" w:space="0" w:color="auto"/>
              <w:left w:val="nil"/>
              <w:bottom w:val="single" w:sz="4" w:space="0" w:color="auto"/>
              <w:right w:val="single" w:sz="4" w:space="0" w:color="auto"/>
            </w:tcBorders>
            <w:shd w:val="clear" w:color="auto" w:fill="auto"/>
            <w:vAlign w:val="center"/>
            <w:hideMark/>
          </w:tcPr>
          <w:p w14:paraId="0D2D5144" w14:textId="77777777" w:rsidR="001A25B3" w:rsidRPr="001A25B3" w:rsidRDefault="001A25B3" w:rsidP="001A25B3">
            <w:pPr>
              <w:jc w:val="center"/>
              <w:rPr>
                <w:rFonts w:ascii="Calibri" w:eastAsia="Times New Roman" w:hAnsi="Calibri" w:cs="Calibri"/>
                <w:b/>
                <w:bCs/>
                <w:color w:val="000000"/>
                <w:lang w:eastAsia="nl-BE"/>
              </w:rPr>
            </w:pPr>
            <w:r w:rsidRPr="001A25B3">
              <w:rPr>
                <w:rFonts w:ascii="Calibri" w:eastAsia="Times New Roman" w:hAnsi="Calibri" w:cs="Calibri"/>
                <w:b/>
                <w:bCs/>
                <w:color w:val="000000"/>
                <w:lang w:eastAsia="nl-BE"/>
              </w:rPr>
              <w:t>Dec</w:t>
            </w:r>
          </w:p>
        </w:tc>
        <w:tc>
          <w:tcPr>
            <w:tcW w:w="404" w:type="pct"/>
            <w:tcBorders>
              <w:top w:val="single" w:sz="4" w:space="0" w:color="auto"/>
              <w:left w:val="nil"/>
              <w:bottom w:val="single" w:sz="4" w:space="0" w:color="auto"/>
              <w:right w:val="single" w:sz="4" w:space="0" w:color="auto"/>
            </w:tcBorders>
            <w:shd w:val="clear" w:color="auto" w:fill="auto"/>
            <w:vAlign w:val="center"/>
            <w:hideMark/>
          </w:tcPr>
          <w:p w14:paraId="1E936676" w14:textId="77777777" w:rsidR="001A25B3" w:rsidRPr="001A25B3" w:rsidRDefault="001A25B3" w:rsidP="001A25B3">
            <w:pPr>
              <w:jc w:val="center"/>
              <w:rPr>
                <w:rFonts w:ascii="Calibri" w:eastAsia="Times New Roman" w:hAnsi="Calibri" w:cs="Calibri"/>
                <w:b/>
                <w:bCs/>
                <w:color w:val="000000"/>
                <w:lang w:eastAsia="nl-BE"/>
              </w:rPr>
            </w:pPr>
            <w:r w:rsidRPr="001A25B3">
              <w:rPr>
                <w:rFonts w:ascii="Calibri" w:eastAsia="Times New Roman" w:hAnsi="Calibri" w:cs="Calibri"/>
                <w:b/>
                <w:bCs/>
                <w:color w:val="000000"/>
                <w:lang w:eastAsia="nl-BE"/>
              </w:rPr>
              <w:t>Feb</w:t>
            </w:r>
          </w:p>
        </w:tc>
        <w:tc>
          <w:tcPr>
            <w:tcW w:w="404" w:type="pct"/>
            <w:tcBorders>
              <w:top w:val="single" w:sz="4" w:space="0" w:color="auto"/>
              <w:left w:val="nil"/>
              <w:bottom w:val="single" w:sz="4" w:space="0" w:color="auto"/>
              <w:right w:val="single" w:sz="4" w:space="0" w:color="auto"/>
            </w:tcBorders>
            <w:shd w:val="clear" w:color="auto" w:fill="auto"/>
            <w:vAlign w:val="center"/>
            <w:hideMark/>
          </w:tcPr>
          <w:p w14:paraId="17CE7EA8" w14:textId="77777777" w:rsidR="001A25B3" w:rsidRPr="001A25B3" w:rsidRDefault="001A25B3" w:rsidP="001A25B3">
            <w:pPr>
              <w:jc w:val="center"/>
              <w:rPr>
                <w:rFonts w:ascii="Calibri" w:eastAsia="Times New Roman" w:hAnsi="Calibri" w:cs="Calibri"/>
                <w:b/>
                <w:bCs/>
                <w:color w:val="000000"/>
                <w:lang w:eastAsia="nl-BE"/>
              </w:rPr>
            </w:pPr>
            <w:r w:rsidRPr="001A25B3">
              <w:rPr>
                <w:rFonts w:ascii="Calibri" w:eastAsia="Times New Roman" w:hAnsi="Calibri" w:cs="Calibri"/>
                <w:b/>
                <w:bCs/>
                <w:color w:val="000000"/>
                <w:lang w:eastAsia="nl-BE"/>
              </w:rPr>
              <w:t>Delta BA</w:t>
            </w:r>
          </w:p>
        </w:tc>
        <w:tc>
          <w:tcPr>
            <w:tcW w:w="478" w:type="pct"/>
            <w:tcBorders>
              <w:top w:val="single" w:sz="4" w:space="0" w:color="auto"/>
              <w:left w:val="nil"/>
              <w:bottom w:val="single" w:sz="4" w:space="0" w:color="auto"/>
              <w:right w:val="single" w:sz="4" w:space="0" w:color="auto"/>
            </w:tcBorders>
            <w:shd w:val="clear" w:color="auto" w:fill="auto"/>
            <w:vAlign w:val="center"/>
            <w:hideMark/>
          </w:tcPr>
          <w:p w14:paraId="67DDB8F0" w14:textId="77777777" w:rsidR="001A25B3" w:rsidRPr="001A25B3" w:rsidRDefault="001A25B3" w:rsidP="001A25B3">
            <w:pPr>
              <w:jc w:val="center"/>
              <w:rPr>
                <w:rFonts w:ascii="Calibri" w:eastAsia="Times New Roman" w:hAnsi="Calibri" w:cs="Calibri"/>
                <w:b/>
                <w:bCs/>
                <w:color w:val="000000"/>
                <w:lang w:eastAsia="nl-BE"/>
              </w:rPr>
            </w:pPr>
            <w:r w:rsidRPr="001A25B3">
              <w:rPr>
                <w:rFonts w:ascii="Calibri" w:eastAsia="Times New Roman" w:hAnsi="Calibri" w:cs="Calibri"/>
                <w:b/>
                <w:bCs/>
                <w:color w:val="000000"/>
                <w:lang w:eastAsia="nl-BE"/>
              </w:rPr>
              <w:t>%</w:t>
            </w:r>
          </w:p>
        </w:tc>
        <w:tc>
          <w:tcPr>
            <w:tcW w:w="404" w:type="pct"/>
            <w:tcBorders>
              <w:top w:val="single" w:sz="4" w:space="0" w:color="auto"/>
              <w:left w:val="nil"/>
              <w:bottom w:val="single" w:sz="4" w:space="0" w:color="auto"/>
              <w:right w:val="single" w:sz="4" w:space="0" w:color="auto"/>
            </w:tcBorders>
            <w:shd w:val="clear" w:color="auto" w:fill="auto"/>
            <w:vAlign w:val="center"/>
            <w:hideMark/>
          </w:tcPr>
          <w:p w14:paraId="400CBB16" w14:textId="77777777" w:rsidR="001A25B3" w:rsidRPr="001A25B3" w:rsidRDefault="001A25B3" w:rsidP="001A25B3">
            <w:pPr>
              <w:jc w:val="center"/>
              <w:rPr>
                <w:rFonts w:ascii="Calibri" w:eastAsia="Times New Roman" w:hAnsi="Calibri" w:cs="Calibri"/>
                <w:b/>
                <w:bCs/>
                <w:color w:val="000000"/>
                <w:lang w:eastAsia="nl-BE"/>
              </w:rPr>
            </w:pPr>
            <w:r w:rsidRPr="001A25B3">
              <w:rPr>
                <w:rFonts w:ascii="Calibri" w:eastAsia="Times New Roman" w:hAnsi="Calibri" w:cs="Calibri"/>
                <w:b/>
                <w:bCs/>
                <w:color w:val="000000"/>
                <w:lang w:eastAsia="nl-BE"/>
              </w:rPr>
              <w:t>Feb vs  Dec</w:t>
            </w:r>
          </w:p>
        </w:tc>
        <w:tc>
          <w:tcPr>
            <w:tcW w:w="478" w:type="pct"/>
            <w:tcBorders>
              <w:top w:val="single" w:sz="4" w:space="0" w:color="auto"/>
              <w:left w:val="nil"/>
              <w:bottom w:val="single" w:sz="4" w:space="0" w:color="auto"/>
              <w:right w:val="single" w:sz="4" w:space="0" w:color="auto"/>
            </w:tcBorders>
            <w:shd w:val="clear" w:color="auto" w:fill="auto"/>
            <w:vAlign w:val="center"/>
            <w:hideMark/>
          </w:tcPr>
          <w:p w14:paraId="4372040C" w14:textId="77777777" w:rsidR="001A25B3" w:rsidRPr="001A25B3" w:rsidRDefault="001A25B3" w:rsidP="001A25B3">
            <w:pPr>
              <w:jc w:val="center"/>
              <w:rPr>
                <w:rFonts w:ascii="Calibri" w:eastAsia="Times New Roman" w:hAnsi="Calibri" w:cs="Calibri"/>
                <w:b/>
                <w:bCs/>
                <w:color w:val="000000"/>
                <w:lang w:eastAsia="nl-BE"/>
              </w:rPr>
            </w:pPr>
            <w:r w:rsidRPr="001A25B3">
              <w:rPr>
                <w:rFonts w:ascii="Calibri" w:eastAsia="Times New Roman" w:hAnsi="Calibri" w:cs="Calibri"/>
                <w:b/>
                <w:bCs/>
                <w:color w:val="000000"/>
                <w:lang w:eastAsia="nl-BE"/>
              </w:rPr>
              <w:t>%</w:t>
            </w:r>
          </w:p>
        </w:tc>
      </w:tr>
      <w:tr w:rsidR="001A25B3" w:rsidRPr="001A25B3" w14:paraId="280A7407" w14:textId="77777777" w:rsidTr="00D96A21">
        <w:trPr>
          <w:trHeight w:val="290"/>
        </w:trPr>
        <w:tc>
          <w:tcPr>
            <w:tcW w:w="2022" w:type="pct"/>
            <w:tcBorders>
              <w:top w:val="nil"/>
              <w:left w:val="single" w:sz="4" w:space="0" w:color="auto"/>
              <w:bottom w:val="nil"/>
              <w:right w:val="nil"/>
            </w:tcBorders>
            <w:shd w:val="clear" w:color="auto" w:fill="auto"/>
            <w:noWrap/>
            <w:vAlign w:val="center"/>
            <w:hideMark/>
          </w:tcPr>
          <w:p w14:paraId="3A16819B" w14:textId="77777777" w:rsidR="001A25B3" w:rsidRPr="001A25B3" w:rsidRDefault="001A25B3" w:rsidP="001A25B3">
            <w:pPr>
              <w:jc w:val="right"/>
              <w:rPr>
                <w:rFonts w:ascii="Calibri" w:eastAsia="Times New Roman" w:hAnsi="Calibri" w:cs="Calibri"/>
                <w:i/>
                <w:iCs/>
                <w:color w:val="000000"/>
                <w:lang w:eastAsia="nl-BE"/>
              </w:rPr>
            </w:pPr>
            <w:r w:rsidRPr="001A25B3">
              <w:rPr>
                <w:rFonts w:ascii="Calibri" w:eastAsia="Times New Roman" w:hAnsi="Calibri" w:cs="Calibri"/>
                <w:i/>
                <w:iCs/>
                <w:color w:val="000000"/>
                <w:lang w:eastAsia="nl-BE"/>
              </w:rPr>
              <w:t>DBFM SvM</w:t>
            </w:r>
          </w:p>
        </w:tc>
        <w:tc>
          <w:tcPr>
            <w:tcW w:w="404" w:type="pct"/>
            <w:tcBorders>
              <w:top w:val="nil"/>
              <w:left w:val="single" w:sz="4" w:space="0" w:color="auto"/>
              <w:bottom w:val="nil"/>
              <w:right w:val="single" w:sz="4" w:space="0" w:color="auto"/>
            </w:tcBorders>
            <w:shd w:val="clear" w:color="auto" w:fill="auto"/>
            <w:noWrap/>
            <w:vAlign w:val="center"/>
            <w:hideMark/>
          </w:tcPr>
          <w:p w14:paraId="0C76DE58" w14:textId="77777777" w:rsidR="001A25B3" w:rsidRPr="001A25B3" w:rsidRDefault="001A25B3" w:rsidP="001A25B3">
            <w:pPr>
              <w:jc w:val="right"/>
              <w:rPr>
                <w:rFonts w:ascii="Calibri" w:eastAsia="Times New Roman" w:hAnsi="Calibri" w:cs="Calibri"/>
                <w:i/>
                <w:iCs/>
                <w:color w:val="000000"/>
                <w:lang w:eastAsia="nl-BE"/>
              </w:rPr>
            </w:pPr>
            <w:r w:rsidRPr="001A25B3">
              <w:rPr>
                <w:rFonts w:ascii="Calibri" w:eastAsia="Times New Roman" w:hAnsi="Calibri" w:cs="Calibri"/>
                <w:i/>
                <w:iCs/>
                <w:color w:val="000000"/>
                <w:lang w:eastAsia="nl-BE"/>
              </w:rPr>
              <w:t>-3,3</w:t>
            </w:r>
          </w:p>
        </w:tc>
        <w:tc>
          <w:tcPr>
            <w:tcW w:w="404" w:type="pct"/>
            <w:tcBorders>
              <w:top w:val="nil"/>
              <w:left w:val="single" w:sz="4" w:space="0" w:color="auto"/>
              <w:bottom w:val="nil"/>
              <w:right w:val="single" w:sz="4" w:space="0" w:color="auto"/>
            </w:tcBorders>
            <w:shd w:val="clear" w:color="auto" w:fill="auto"/>
            <w:noWrap/>
            <w:vAlign w:val="center"/>
            <w:hideMark/>
          </w:tcPr>
          <w:p w14:paraId="473C90F0" w14:textId="77777777" w:rsidR="001A25B3" w:rsidRPr="001A25B3" w:rsidRDefault="001A25B3" w:rsidP="001A25B3">
            <w:pPr>
              <w:jc w:val="right"/>
              <w:rPr>
                <w:rFonts w:ascii="Calibri" w:eastAsia="Times New Roman" w:hAnsi="Calibri" w:cs="Calibri"/>
                <w:i/>
                <w:iCs/>
                <w:color w:val="000000"/>
                <w:lang w:eastAsia="nl-BE"/>
              </w:rPr>
            </w:pPr>
            <w:r w:rsidRPr="001A25B3">
              <w:rPr>
                <w:rFonts w:ascii="Calibri" w:eastAsia="Times New Roman" w:hAnsi="Calibri" w:cs="Calibri"/>
                <w:i/>
                <w:iCs/>
                <w:color w:val="000000"/>
                <w:lang w:eastAsia="nl-BE"/>
              </w:rPr>
              <w:t>-3,3</w:t>
            </w:r>
          </w:p>
        </w:tc>
        <w:tc>
          <w:tcPr>
            <w:tcW w:w="404" w:type="pct"/>
            <w:tcBorders>
              <w:top w:val="nil"/>
              <w:left w:val="nil"/>
              <w:bottom w:val="nil"/>
              <w:right w:val="single" w:sz="4" w:space="0" w:color="auto"/>
            </w:tcBorders>
            <w:shd w:val="clear" w:color="auto" w:fill="auto"/>
            <w:noWrap/>
            <w:vAlign w:val="center"/>
            <w:hideMark/>
          </w:tcPr>
          <w:p w14:paraId="79911F26" w14:textId="77777777" w:rsidR="001A25B3" w:rsidRPr="001A25B3" w:rsidRDefault="001A25B3" w:rsidP="001A25B3">
            <w:pPr>
              <w:jc w:val="right"/>
              <w:rPr>
                <w:rFonts w:ascii="Calibri" w:eastAsia="Times New Roman" w:hAnsi="Calibri" w:cs="Calibri"/>
                <w:i/>
                <w:iCs/>
                <w:color w:val="000000"/>
                <w:lang w:eastAsia="nl-BE"/>
              </w:rPr>
            </w:pPr>
            <w:r w:rsidRPr="001A25B3">
              <w:rPr>
                <w:rFonts w:ascii="Calibri" w:eastAsia="Times New Roman" w:hAnsi="Calibri" w:cs="Calibri"/>
                <w:i/>
                <w:iCs/>
                <w:color w:val="000000"/>
                <w:lang w:eastAsia="nl-BE"/>
              </w:rPr>
              <w:t>-3,3</w:t>
            </w:r>
          </w:p>
        </w:tc>
        <w:tc>
          <w:tcPr>
            <w:tcW w:w="404" w:type="pct"/>
            <w:tcBorders>
              <w:top w:val="nil"/>
              <w:left w:val="nil"/>
              <w:bottom w:val="nil"/>
              <w:right w:val="single" w:sz="4" w:space="0" w:color="auto"/>
            </w:tcBorders>
            <w:shd w:val="clear" w:color="auto" w:fill="auto"/>
            <w:noWrap/>
            <w:vAlign w:val="center"/>
            <w:hideMark/>
          </w:tcPr>
          <w:p w14:paraId="4F64FE73" w14:textId="77777777" w:rsidR="001A25B3" w:rsidRPr="001A25B3" w:rsidRDefault="001A25B3" w:rsidP="001A25B3">
            <w:pPr>
              <w:jc w:val="right"/>
              <w:rPr>
                <w:rFonts w:ascii="Calibri" w:eastAsia="Times New Roman" w:hAnsi="Calibri" w:cs="Calibri"/>
                <w:i/>
                <w:iCs/>
                <w:color w:val="000000"/>
                <w:lang w:eastAsia="nl-BE"/>
              </w:rPr>
            </w:pPr>
            <w:r w:rsidRPr="001A25B3">
              <w:rPr>
                <w:rFonts w:ascii="Calibri" w:eastAsia="Times New Roman" w:hAnsi="Calibri" w:cs="Calibri"/>
                <w:i/>
                <w:iCs/>
                <w:color w:val="000000"/>
                <w:lang w:eastAsia="nl-BE"/>
              </w:rPr>
              <w:t>0,0</w:t>
            </w:r>
          </w:p>
        </w:tc>
        <w:tc>
          <w:tcPr>
            <w:tcW w:w="478" w:type="pct"/>
            <w:tcBorders>
              <w:top w:val="nil"/>
              <w:left w:val="nil"/>
              <w:bottom w:val="nil"/>
              <w:right w:val="single" w:sz="4" w:space="0" w:color="auto"/>
            </w:tcBorders>
            <w:shd w:val="clear" w:color="auto" w:fill="auto"/>
            <w:noWrap/>
            <w:vAlign w:val="center"/>
            <w:hideMark/>
          </w:tcPr>
          <w:p w14:paraId="70824F2D" w14:textId="77777777" w:rsidR="001A25B3" w:rsidRPr="001A25B3" w:rsidRDefault="001A25B3" w:rsidP="001A25B3">
            <w:pPr>
              <w:jc w:val="right"/>
              <w:rPr>
                <w:rFonts w:ascii="Calibri" w:eastAsia="Times New Roman" w:hAnsi="Calibri" w:cs="Calibri"/>
                <w:i/>
                <w:iCs/>
                <w:color w:val="000000"/>
                <w:lang w:eastAsia="nl-BE"/>
              </w:rPr>
            </w:pPr>
            <w:r w:rsidRPr="001A25B3">
              <w:rPr>
                <w:rFonts w:ascii="Calibri" w:eastAsia="Times New Roman" w:hAnsi="Calibri" w:cs="Calibri"/>
                <w:i/>
                <w:iCs/>
                <w:color w:val="000000"/>
                <w:lang w:eastAsia="nl-BE"/>
              </w:rPr>
              <w:t>-0,1%</w:t>
            </w:r>
          </w:p>
        </w:tc>
        <w:tc>
          <w:tcPr>
            <w:tcW w:w="404" w:type="pct"/>
            <w:tcBorders>
              <w:top w:val="nil"/>
              <w:left w:val="nil"/>
              <w:bottom w:val="nil"/>
              <w:right w:val="nil"/>
            </w:tcBorders>
            <w:shd w:val="clear" w:color="auto" w:fill="auto"/>
            <w:noWrap/>
            <w:vAlign w:val="center"/>
            <w:hideMark/>
          </w:tcPr>
          <w:p w14:paraId="5224638A" w14:textId="77777777" w:rsidR="001A25B3" w:rsidRPr="001A25B3" w:rsidRDefault="001A25B3" w:rsidP="001A25B3">
            <w:pPr>
              <w:jc w:val="right"/>
              <w:rPr>
                <w:rFonts w:ascii="Calibri" w:eastAsia="Times New Roman" w:hAnsi="Calibri" w:cs="Calibri"/>
                <w:i/>
                <w:iCs/>
                <w:color w:val="000000"/>
                <w:lang w:eastAsia="nl-BE"/>
              </w:rPr>
            </w:pPr>
            <w:r w:rsidRPr="001A25B3">
              <w:rPr>
                <w:rFonts w:ascii="Calibri" w:eastAsia="Times New Roman" w:hAnsi="Calibri" w:cs="Calibri"/>
                <w:i/>
                <w:iCs/>
                <w:color w:val="000000"/>
                <w:lang w:eastAsia="nl-BE"/>
              </w:rPr>
              <w:t>0,0</w:t>
            </w:r>
          </w:p>
        </w:tc>
        <w:tc>
          <w:tcPr>
            <w:tcW w:w="478" w:type="pct"/>
            <w:tcBorders>
              <w:top w:val="nil"/>
              <w:left w:val="single" w:sz="4" w:space="0" w:color="auto"/>
              <w:bottom w:val="nil"/>
              <w:right w:val="single" w:sz="4" w:space="0" w:color="auto"/>
            </w:tcBorders>
            <w:shd w:val="clear" w:color="auto" w:fill="auto"/>
            <w:noWrap/>
            <w:vAlign w:val="center"/>
            <w:hideMark/>
          </w:tcPr>
          <w:p w14:paraId="590B7814" w14:textId="77777777" w:rsidR="001A25B3" w:rsidRPr="001A25B3" w:rsidRDefault="001A25B3" w:rsidP="001A25B3">
            <w:pPr>
              <w:jc w:val="right"/>
              <w:rPr>
                <w:rFonts w:ascii="Calibri" w:eastAsia="Times New Roman" w:hAnsi="Calibri" w:cs="Calibri"/>
                <w:i/>
                <w:iCs/>
                <w:color w:val="000000"/>
                <w:lang w:eastAsia="nl-BE"/>
              </w:rPr>
            </w:pPr>
            <w:r w:rsidRPr="001A25B3">
              <w:rPr>
                <w:rFonts w:ascii="Calibri" w:eastAsia="Times New Roman" w:hAnsi="Calibri" w:cs="Calibri"/>
                <w:i/>
                <w:iCs/>
                <w:color w:val="000000"/>
                <w:lang w:eastAsia="nl-BE"/>
              </w:rPr>
              <w:t>1,1%</w:t>
            </w:r>
          </w:p>
        </w:tc>
      </w:tr>
      <w:tr w:rsidR="001A25B3" w:rsidRPr="001A25B3" w14:paraId="1844BD67" w14:textId="77777777" w:rsidTr="00D96A21">
        <w:trPr>
          <w:trHeight w:val="290"/>
        </w:trPr>
        <w:tc>
          <w:tcPr>
            <w:tcW w:w="2022" w:type="pct"/>
            <w:tcBorders>
              <w:top w:val="nil"/>
              <w:left w:val="single" w:sz="4" w:space="0" w:color="auto"/>
              <w:bottom w:val="nil"/>
              <w:right w:val="nil"/>
            </w:tcBorders>
            <w:shd w:val="clear" w:color="auto" w:fill="auto"/>
            <w:noWrap/>
            <w:vAlign w:val="center"/>
            <w:hideMark/>
          </w:tcPr>
          <w:p w14:paraId="34120570" w14:textId="77777777" w:rsidR="001A25B3" w:rsidRPr="001A25B3" w:rsidRDefault="001A25B3" w:rsidP="001A25B3">
            <w:pPr>
              <w:jc w:val="right"/>
              <w:rPr>
                <w:rFonts w:ascii="Calibri" w:eastAsia="Times New Roman" w:hAnsi="Calibri" w:cs="Calibri"/>
                <w:i/>
                <w:iCs/>
                <w:color w:val="000000"/>
                <w:lang w:eastAsia="nl-BE"/>
              </w:rPr>
            </w:pPr>
            <w:r w:rsidRPr="001A25B3">
              <w:rPr>
                <w:rFonts w:ascii="Calibri" w:eastAsia="Times New Roman" w:hAnsi="Calibri" w:cs="Calibri"/>
                <w:i/>
                <w:iCs/>
                <w:color w:val="000000"/>
                <w:lang w:eastAsia="nl-BE"/>
              </w:rPr>
              <w:t>Sluis Terneuzen</w:t>
            </w:r>
          </w:p>
        </w:tc>
        <w:tc>
          <w:tcPr>
            <w:tcW w:w="404" w:type="pct"/>
            <w:tcBorders>
              <w:top w:val="nil"/>
              <w:left w:val="single" w:sz="4" w:space="0" w:color="auto"/>
              <w:bottom w:val="nil"/>
              <w:right w:val="single" w:sz="4" w:space="0" w:color="auto"/>
            </w:tcBorders>
            <w:shd w:val="clear" w:color="auto" w:fill="auto"/>
            <w:noWrap/>
            <w:vAlign w:val="center"/>
            <w:hideMark/>
          </w:tcPr>
          <w:p w14:paraId="32676BCF" w14:textId="77777777" w:rsidR="001A25B3" w:rsidRPr="001A25B3" w:rsidRDefault="001A25B3" w:rsidP="001A25B3">
            <w:pPr>
              <w:jc w:val="right"/>
              <w:rPr>
                <w:rFonts w:ascii="Calibri" w:eastAsia="Times New Roman" w:hAnsi="Calibri" w:cs="Calibri"/>
                <w:i/>
                <w:iCs/>
                <w:color w:val="000000"/>
                <w:lang w:eastAsia="nl-BE"/>
              </w:rPr>
            </w:pPr>
            <w:r w:rsidRPr="001A25B3">
              <w:rPr>
                <w:rFonts w:ascii="Calibri" w:eastAsia="Times New Roman" w:hAnsi="Calibri" w:cs="Calibri"/>
                <w:i/>
                <w:iCs/>
                <w:color w:val="000000"/>
                <w:lang w:eastAsia="nl-BE"/>
              </w:rPr>
              <w:t>-38,0</w:t>
            </w:r>
          </w:p>
        </w:tc>
        <w:tc>
          <w:tcPr>
            <w:tcW w:w="404" w:type="pct"/>
            <w:tcBorders>
              <w:top w:val="nil"/>
              <w:left w:val="single" w:sz="4" w:space="0" w:color="auto"/>
              <w:bottom w:val="nil"/>
              <w:right w:val="single" w:sz="4" w:space="0" w:color="auto"/>
            </w:tcBorders>
            <w:shd w:val="clear" w:color="auto" w:fill="auto"/>
            <w:noWrap/>
            <w:vAlign w:val="center"/>
            <w:hideMark/>
          </w:tcPr>
          <w:p w14:paraId="449FC109" w14:textId="77777777" w:rsidR="001A25B3" w:rsidRPr="001A25B3" w:rsidRDefault="001A25B3" w:rsidP="001A25B3">
            <w:pPr>
              <w:jc w:val="right"/>
              <w:rPr>
                <w:rFonts w:ascii="Calibri" w:eastAsia="Times New Roman" w:hAnsi="Calibri" w:cs="Calibri"/>
                <w:i/>
                <w:iCs/>
                <w:color w:val="000000"/>
                <w:lang w:eastAsia="nl-BE"/>
              </w:rPr>
            </w:pPr>
            <w:r w:rsidRPr="001A25B3">
              <w:rPr>
                <w:rFonts w:ascii="Calibri" w:eastAsia="Times New Roman" w:hAnsi="Calibri" w:cs="Calibri"/>
                <w:i/>
                <w:iCs/>
                <w:color w:val="000000"/>
                <w:lang w:eastAsia="nl-BE"/>
              </w:rPr>
              <w:t>-38,0</w:t>
            </w:r>
          </w:p>
        </w:tc>
        <w:tc>
          <w:tcPr>
            <w:tcW w:w="404" w:type="pct"/>
            <w:tcBorders>
              <w:top w:val="nil"/>
              <w:left w:val="nil"/>
              <w:bottom w:val="nil"/>
              <w:right w:val="single" w:sz="4" w:space="0" w:color="auto"/>
            </w:tcBorders>
            <w:shd w:val="clear" w:color="auto" w:fill="auto"/>
            <w:noWrap/>
            <w:vAlign w:val="center"/>
            <w:hideMark/>
          </w:tcPr>
          <w:p w14:paraId="3FBD5222" w14:textId="77777777" w:rsidR="001A25B3" w:rsidRPr="001A25B3" w:rsidRDefault="001A25B3" w:rsidP="001A25B3">
            <w:pPr>
              <w:jc w:val="right"/>
              <w:rPr>
                <w:rFonts w:ascii="Calibri" w:eastAsia="Times New Roman" w:hAnsi="Calibri" w:cs="Calibri"/>
                <w:i/>
                <w:iCs/>
                <w:color w:val="000000"/>
                <w:lang w:eastAsia="nl-BE"/>
              </w:rPr>
            </w:pPr>
            <w:r w:rsidRPr="001A25B3">
              <w:rPr>
                <w:rFonts w:ascii="Calibri" w:eastAsia="Times New Roman" w:hAnsi="Calibri" w:cs="Calibri"/>
                <w:i/>
                <w:iCs/>
                <w:color w:val="000000"/>
                <w:lang w:eastAsia="nl-BE"/>
              </w:rPr>
              <w:t>0,0</w:t>
            </w:r>
          </w:p>
        </w:tc>
        <w:tc>
          <w:tcPr>
            <w:tcW w:w="404" w:type="pct"/>
            <w:tcBorders>
              <w:top w:val="nil"/>
              <w:left w:val="nil"/>
              <w:bottom w:val="nil"/>
              <w:right w:val="single" w:sz="4" w:space="0" w:color="auto"/>
            </w:tcBorders>
            <w:shd w:val="clear" w:color="auto" w:fill="auto"/>
            <w:noWrap/>
            <w:vAlign w:val="center"/>
            <w:hideMark/>
          </w:tcPr>
          <w:p w14:paraId="5D04B05A" w14:textId="77777777" w:rsidR="001A25B3" w:rsidRPr="001A25B3" w:rsidRDefault="001A25B3" w:rsidP="001A25B3">
            <w:pPr>
              <w:jc w:val="right"/>
              <w:rPr>
                <w:rFonts w:ascii="Calibri" w:eastAsia="Times New Roman" w:hAnsi="Calibri" w:cs="Calibri"/>
                <w:i/>
                <w:iCs/>
                <w:color w:val="000000"/>
                <w:lang w:eastAsia="nl-BE"/>
              </w:rPr>
            </w:pPr>
            <w:r w:rsidRPr="001A25B3">
              <w:rPr>
                <w:rFonts w:ascii="Calibri" w:eastAsia="Times New Roman" w:hAnsi="Calibri" w:cs="Calibri"/>
                <w:i/>
                <w:iCs/>
                <w:color w:val="000000"/>
                <w:lang w:eastAsia="nl-BE"/>
              </w:rPr>
              <w:t>38,0</w:t>
            </w:r>
          </w:p>
        </w:tc>
        <w:tc>
          <w:tcPr>
            <w:tcW w:w="478" w:type="pct"/>
            <w:tcBorders>
              <w:top w:val="nil"/>
              <w:left w:val="nil"/>
              <w:bottom w:val="nil"/>
              <w:right w:val="single" w:sz="4" w:space="0" w:color="auto"/>
            </w:tcBorders>
            <w:shd w:val="clear" w:color="auto" w:fill="auto"/>
            <w:noWrap/>
            <w:vAlign w:val="center"/>
            <w:hideMark/>
          </w:tcPr>
          <w:p w14:paraId="17EE49E9" w14:textId="77777777" w:rsidR="001A25B3" w:rsidRPr="001A25B3" w:rsidRDefault="001A25B3" w:rsidP="001A25B3">
            <w:pPr>
              <w:jc w:val="right"/>
              <w:rPr>
                <w:rFonts w:ascii="Calibri" w:eastAsia="Times New Roman" w:hAnsi="Calibri" w:cs="Calibri"/>
                <w:i/>
                <w:iCs/>
                <w:color w:val="000000"/>
                <w:lang w:eastAsia="nl-BE"/>
              </w:rPr>
            </w:pPr>
            <w:r w:rsidRPr="001A25B3">
              <w:rPr>
                <w:rFonts w:ascii="Calibri" w:eastAsia="Times New Roman" w:hAnsi="Calibri" w:cs="Calibri"/>
                <w:i/>
                <w:iCs/>
                <w:color w:val="000000"/>
                <w:lang w:eastAsia="nl-BE"/>
              </w:rPr>
              <w:t>-100,0%</w:t>
            </w:r>
          </w:p>
        </w:tc>
        <w:tc>
          <w:tcPr>
            <w:tcW w:w="404" w:type="pct"/>
            <w:tcBorders>
              <w:top w:val="nil"/>
              <w:left w:val="nil"/>
              <w:bottom w:val="nil"/>
              <w:right w:val="nil"/>
            </w:tcBorders>
            <w:shd w:val="clear" w:color="auto" w:fill="auto"/>
            <w:noWrap/>
            <w:vAlign w:val="center"/>
            <w:hideMark/>
          </w:tcPr>
          <w:p w14:paraId="2B9621A0" w14:textId="77777777" w:rsidR="001A25B3" w:rsidRPr="001A25B3" w:rsidRDefault="001A25B3" w:rsidP="001A25B3">
            <w:pPr>
              <w:jc w:val="right"/>
              <w:rPr>
                <w:rFonts w:ascii="Calibri" w:eastAsia="Times New Roman" w:hAnsi="Calibri" w:cs="Calibri"/>
                <w:i/>
                <w:iCs/>
                <w:color w:val="000000"/>
                <w:lang w:eastAsia="nl-BE"/>
              </w:rPr>
            </w:pPr>
            <w:r w:rsidRPr="001A25B3">
              <w:rPr>
                <w:rFonts w:ascii="Calibri" w:eastAsia="Times New Roman" w:hAnsi="Calibri" w:cs="Calibri"/>
                <w:i/>
                <w:iCs/>
                <w:color w:val="000000"/>
                <w:lang w:eastAsia="nl-BE"/>
              </w:rPr>
              <w:t>38,0</w:t>
            </w:r>
          </w:p>
        </w:tc>
        <w:tc>
          <w:tcPr>
            <w:tcW w:w="478" w:type="pct"/>
            <w:tcBorders>
              <w:top w:val="nil"/>
              <w:left w:val="single" w:sz="4" w:space="0" w:color="auto"/>
              <w:bottom w:val="nil"/>
              <w:right w:val="single" w:sz="4" w:space="0" w:color="auto"/>
            </w:tcBorders>
            <w:shd w:val="clear" w:color="auto" w:fill="auto"/>
            <w:noWrap/>
            <w:vAlign w:val="center"/>
            <w:hideMark/>
          </w:tcPr>
          <w:p w14:paraId="3994B085" w14:textId="77777777" w:rsidR="001A25B3" w:rsidRPr="001A25B3" w:rsidRDefault="001A25B3" w:rsidP="001A25B3">
            <w:pPr>
              <w:jc w:val="right"/>
              <w:rPr>
                <w:rFonts w:ascii="Calibri" w:eastAsia="Times New Roman" w:hAnsi="Calibri" w:cs="Calibri"/>
                <w:i/>
                <w:iCs/>
                <w:color w:val="000000"/>
                <w:lang w:eastAsia="nl-BE"/>
              </w:rPr>
            </w:pPr>
            <w:r w:rsidRPr="001A25B3">
              <w:rPr>
                <w:rFonts w:ascii="Calibri" w:eastAsia="Times New Roman" w:hAnsi="Calibri" w:cs="Calibri"/>
                <w:i/>
                <w:iCs/>
                <w:color w:val="000000"/>
                <w:lang w:eastAsia="nl-BE"/>
              </w:rPr>
              <w:t>-100,0%</w:t>
            </w:r>
          </w:p>
        </w:tc>
      </w:tr>
      <w:tr w:rsidR="001A25B3" w:rsidRPr="001A25B3" w14:paraId="11EBB910" w14:textId="77777777" w:rsidTr="00D96A21">
        <w:trPr>
          <w:trHeight w:val="290"/>
        </w:trPr>
        <w:tc>
          <w:tcPr>
            <w:tcW w:w="2022" w:type="pct"/>
            <w:tcBorders>
              <w:top w:val="nil"/>
              <w:left w:val="single" w:sz="4" w:space="0" w:color="auto"/>
              <w:bottom w:val="nil"/>
              <w:right w:val="nil"/>
            </w:tcBorders>
            <w:shd w:val="clear" w:color="auto" w:fill="auto"/>
            <w:noWrap/>
            <w:vAlign w:val="center"/>
            <w:hideMark/>
          </w:tcPr>
          <w:p w14:paraId="2022DF27" w14:textId="77777777" w:rsidR="001A25B3" w:rsidRPr="001A25B3" w:rsidRDefault="001A25B3" w:rsidP="001A25B3">
            <w:pPr>
              <w:jc w:val="right"/>
              <w:rPr>
                <w:rFonts w:ascii="Calibri" w:eastAsia="Times New Roman" w:hAnsi="Calibri" w:cs="Calibri"/>
                <w:i/>
                <w:iCs/>
                <w:color w:val="000000"/>
                <w:lang w:eastAsia="nl-BE"/>
              </w:rPr>
            </w:pPr>
            <w:r w:rsidRPr="001A25B3">
              <w:rPr>
                <w:rFonts w:ascii="Calibri" w:eastAsia="Times New Roman" w:hAnsi="Calibri" w:cs="Calibri"/>
                <w:i/>
                <w:iCs/>
                <w:color w:val="000000"/>
                <w:lang w:eastAsia="nl-BE"/>
              </w:rPr>
              <w:t>Ziekenhuisinfrastructuur A1/A3</w:t>
            </w:r>
          </w:p>
        </w:tc>
        <w:tc>
          <w:tcPr>
            <w:tcW w:w="404" w:type="pct"/>
            <w:tcBorders>
              <w:top w:val="nil"/>
              <w:left w:val="single" w:sz="4" w:space="0" w:color="auto"/>
              <w:bottom w:val="nil"/>
              <w:right w:val="nil"/>
            </w:tcBorders>
            <w:shd w:val="clear" w:color="auto" w:fill="auto"/>
            <w:noWrap/>
            <w:vAlign w:val="center"/>
            <w:hideMark/>
          </w:tcPr>
          <w:p w14:paraId="74D7A0A0" w14:textId="77777777" w:rsidR="001A25B3" w:rsidRPr="001A25B3" w:rsidRDefault="001A25B3" w:rsidP="001A25B3">
            <w:pPr>
              <w:jc w:val="right"/>
              <w:rPr>
                <w:rFonts w:ascii="Calibri" w:eastAsia="Times New Roman" w:hAnsi="Calibri" w:cs="Calibri"/>
                <w:i/>
                <w:iCs/>
                <w:color w:val="000000"/>
                <w:lang w:eastAsia="nl-BE"/>
              </w:rPr>
            </w:pPr>
            <w:r w:rsidRPr="001A25B3">
              <w:rPr>
                <w:rFonts w:ascii="Calibri" w:eastAsia="Times New Roman" w:hAnsi="Calibri" w:cs="Calibri"/>
                <w:i/>
                <w:iCs/>
                <w:color w:val="000000"/>
                <w:lang w:eastAsia="nl-BE"/>
              </w:rPr>
              <w:t>262,9</w:t>
            </w:r>
          </w:p>
        </w:tc>
        <w:tc>
          <w:tcPr>
            <w:tcW w:w="404" w:type="pct"/>
            <w:tcBorders>
              <w:top w:val="nil"/>
              <w:left w:val="single" w:sz="4" w:space="0" w:color="auto"/>
              <w:bottom w:val="nil"/>
              <w:right w:val="nil"/>
            </w:tcBorders>
            <w:shd w:val="clear" w:color="auto" w:fill="auto"/>
            <w:noWrap/>
            <w:vAlign w:val="center"/>
            <w:hideMark/>
          </w:tcPr>
          <w:p w14:paraId="0F3A0294" w14:textId="77777777" w:rsidR="001A25B3" w:rsidRPr="001A25B3" w:rsidRDefault="001A25B3" w:rsidP="001A25B3">
            <w:pPr>
              <w:jc w:val="right"/>
              <w:rPr>
                <w:rFonts w:ascii="Calibri" w:eastAsia="Times New Roman" w:hAnsi="Calibri" w:cs="Calibri"/>
                <w:i/>
                <w:iCs/>
                <w:color w:val="000000"/>
                <w:lang w:eastAsia="nl-BE"/>
              </w:rPr>
            </w:pPr>
            <w:r w:rsidRPr="001A25B3">
              <w:rPr>
                <w:rFonts w:ascii="Calibri" w:eastAsia="Times New Roman" w:hAnsi="Calibri" w:cs="Calibri"/>
                <w:i/>
                <w:iCs/>
                <w:color w:val="000000"/>
                <w:lang w:eastAsia="nl-BE"/>
              </w:rPr>
              <w:t>262,9</w:t>
            </w:r>
          </w:p>
        </w:tc>
        <w:tc>
          <w:tcPr>
            <w:tcW w:w="404" w:type="pct"/>
            <w:tcBorders>
              <w:top w:val="nil"/>
              <w:left w:val="single" w:sz="4" w:space="0" w:color="auto"/>
              <w:bottom w:val="nil"/>
              <w:right w:val="nil"/>
            </w:tcBorders>
            <w:shd w:val="clear" w:color="auto" w:fill="auto"/>
            <w:noWrap/>
            <w:vAlign w:val="center"/>
            <w:hideMark/>
          </w:tcPr>
          <w:p w14:paraId="3F81A355" w14:textId="77777777" w:rsidR="001A25B3" w:rsidRPr="001A25B3" w:rsidRDefault="001A25B3" w:rsidP="001A25B3">
            <w:pPr>
              <w:jc w:val="right"/>
              <w:rPr>
                <w:rFonts w:ascii="Calibri" w:eastAsia="Times New Roman" w:hAnsi="Calibri" w:cs="Calibri"/>
                <w:i/>
                <w:iCs/>
                <w:color w:val="000000"/>
                <w:lang w:eastAsia="nl-BE"/>
              </w:rPr>
            </w:pPr>
            <w:r w:rsidRPr="001A25B3">
              <w:rPr>
                <w:rFonts w:ascii="Calibri" w:eastAsia="Times New Roman" w:hAnsi="Calibri" w:cs="Calibri"/>
                <w:i/>
                <w:iCs/>
                <w:color w:val="000000"/>
                <w:lang w:eastAsia="nl-BE"/>
              </w:rPr>
              <w:t>251,5</w:t>
            </w:r>
          </w:p>
        </w:tc>
        <w:tc>
          <w:tcPr>
            <w:tcW w:w="404" w:type="pct"/>
            <w:tcBorders>
              <w:top w:val="nil"/>
              <w:left w:val="single" w:sz="4" w:space="0" w:color="auto"/>
              <w:bottom w:val="nil"/>
              <w:right w:val="single" w:sz="4" w:space="0" w:color="auto"/>
            </w:tcBorders>
            <w:shd w:val="clear" w:color="auto" w:fill="auto"/>
            <w:noWrap/>
            <w:vAlign w:val="center"/>
            <w:hideMark/>
          </w:tcPr>
          <w:p w14:paraId="6B63DD3A" w14:textId="77777777" w:rsidR="001A25B3" w:rsidRPr="001A25B3" w:rsidRDefault="001A25B3" w:rsidP="001A25B3">
            <w:pPr>
              <w:jc w:val="right"/>
              <w:rPr>
                <w:rFonts w:ascii="Calibri" w:eastAsia="Times New Roman" w:hAnsi="Calibri" w:cs="Calibri"/>
                <w:i/>
                <w:iCs/>
                <w:color w:val="000000"/>
                <w:lang w:eastAsia="nl-BE"/>
              </w:rPr>
            </w:pPr>
            <w:r w:rsidRPr="001A25B3">
              <w:rPr>
                <w:rFonts w:ascii="Calibri" w:eastAsia="Times New Roman" w:hAnsi="Calibri" w:cs="Calibri"/>
                <w:i/>
                <w:iCs/>
                <w:color w:val="000000"/>
                <w:lang w:eastAsia="nl-BE"/>
              </w:rPr>
              <w:t>-11,4</w:t>
            </w:r>
          </w:p>
        </w:tc>
        <w:tc>
          <w:tcPr>
            <w:tcW w:w="478" w:type="pct"/>
            <w:tcBorders>
              <w:top w:val="nil"/>
              <w:left w:val="nil"/>
              <w:bottom w:val="nil"/>
              <w:right w:val="single" w:sz="4" w:space="0" w:color="auto"/>
            </w:tcBorders>
            <w:shd w:val="clear" w:color="auto" w:fill="auto"/>
            <w:noWrap/>
            <w:vAlign w:val="center"/>
            <w:hideMark/>
          </w:tcPr>
          <w:p w14:paraId="712AE2BE" w14:textId="77777777" w:rsidR="001A25B3" w:rsidRPr="001A25B3" w:rsidRDefault="001A25B3" w:rsidP="001A25B3">
            <w:pPr>
              <w:jc w:val="right"/>
              <w:rPr>
                <w:rFonts w:ascii="Calibri" w:eastAsia="Times New Roman" w:hAnsi="Calibri" w:cs="Calibri"/>
                <w:i/>
                <w:iCs/>
                <w:color w:val="000000"/>
                <w:lang w:eastAsia="nl-BE"/>
              </w:rPr>
            </w:pPr>
            <w:r w:rsidRPr="001A25B3">
              <w:rPr>
                <w:rFonts w:ascii="Calibri" w:eastAsia="Times New Roman" w:hAnsi="Calibri" w:cs="Calibri"/>
                <w:i/>
                <w:iCs/>
                <w:color w:val="000000"/>
                <w:lang w:eastAsia="nl-BE"/>
              </w:rPr>
              <w:t>-4,4%</w:t>
            </w:r>
          </w:p>
        </w:tc>
        <w:tc>
          <w:tcPr>
            <w:tcW w:w="404" w:type="pct"/>
            <w:tcBorders>
              <w:top w:val="nil"/>
              <w:left w:val="nil"/>
              <w:bottom w:val="nil"/>
              <w:right w:val="nil"/>
            </w:tcBorders>
            <w:shd w:val="clear" w:color="auto" w:fill="auto"/>
            <w:noWrap/>
            <w:vAlign w:val="center"/>
            <w:hideMark/>
          </w:tcPr>
          <w:p w14:paraId="154989CA" w14:textId="77777777" w:rsidR="001A25B3" w:rsidRPr="001A25B3" w:rsidRDefault="001A25B3" w:rsidP="001A25B3">
            <w:pPr>
              <w:jc w:val="right"/>
              <w:rPr>
                <w:rFonts w:ascii="Calibri" w:eastAsia="Times New Roman" w:hAnsi="Calibri" w:cs="Calibri"/>
                <w:i/>
                <w:iCs/>
                <w:color w:val="000000"/>
                <w:lang w:eastAsia="nl-BE"/>
              </w:rPr>
            </w:pPr>
            <w:r w:rsidRPr="001A25B3">
              <w:rPr>
                <w:rFonts w:ascii="Calibri" w:eastAsia="Times New Roman" w:hAnsi="Calibri" w:cs="Calibri"/>
                <w:i/>
                <w:iCs/>
                <w:color w:val="000000"/>
                <w:lang w:eastAsia="nl-BE"/>
              </w:rPr>
              <w:t>-11,4</w:t>
            </w:r>
          </w:p>
        </w:tc>
        <w:tc>
          <w:tcPr>
            <w:tcW w:w="478" w:type="pct"/>
            <w:tcBorders>
              <w:top w:val="nil"/>
              <w:left w:val="single" w:sz="4" w:space="0" w:color="auto"/>
              <w:bottom w:val="nil"/>
              <w:right w:val="single" w:sz="4" w:space="0" w:color="auto"/>
            </w:tcBorders>
            <w:shd w:val="clear" w:color="auto" w:fill="auto"/>
            <w:noWrap/>
            <w:vAlign w:val="center"/>
            <w:hideMark/>
          </w:tcPr>
          <w:p w14:paraId="4137BA1D" w14:textId="77777777" w:rsidR="001A25B3" w:rsidRPr="001A25B3" w:rsidRDefault="001A25B3" w:rsidP="001A25B3">
            <w:pPr>
              <w:jc w:val="right"/>
              <w:rPr>
                <w:rFonts w:ascii="Calibri" w:eastAsia="Times New Roman" w:hAnsi="Calibri" w:cs="Calibri"/>
                <w:i/>
                <w:iCs/>
                <w:color w:val="000000"/>
                <w:lang w:eastAsia="nl-BE"/>
              </w:rPr>
            </w:pPr>
            <w:r w:rsidRPr="001A25B3">
              <w:rPr>
                <w:rFonts w:ascii="Calibri" w:eastAsia="Times New Roman" w:hAnsi="Calibri" w:cs="Calibri"/>
                <w:i/>
                <w:iCs/>
                <w:color w:val="000000"/>
                <w:lang w:eastAsia="nl-BE"/>
              </w:rPr>
              <w:t>-4,4%</w:t>
            </w:r>
          </w:p>
        </w:tc>
      </w:tr>
      <w:tr w:rsidR="001A25B3" w:rsidRPr="001A25B3" w14:paraId="5F9CEBF7" w14:textId="77777777" w:rsidTr="00D96A21">
        <w:trPr>
          <w:trHeight w:val="290"/>
        </w:trPr>
        <w:tc>
          <w:tcPr>
            <w:tcW w:w="2022" w:type="pct"/>
            <w:tcBorders>
              <w:top w:val="nil"/>
              <w:left w:val="single" w:sz="4" w:space="0" w:color="auto"/>
              <w:bottom w:val="nil"/>
              <w:right w:val="nil"/>
            </w:tcBorders>
            <w:shd w:val="clear" w:color="auto" w:fill="auto"/>
            <w:noWrap/>
            <w:vAlign w:val="center"/>
            <w:hideMark/>
          </w:tcPr>
          <w:p w14:paraId="1B275C14" w14:textId="77777777" w:rsidR="001A25B3" w:rsidRPr="001A25B3" w:rsidRDefault="001A25B3" w:rsidP="001A25B3">
            <w:pPr>
              <w:jc w:val="right"/>
              <w:rPr>
                <w:rFonts w:ascii="Calibri" w:eastAsia="Times New Roman" w:hAnsi="Calibri" w:cs="Calibri"/>
                <w:i/>
                <w:iCs/>
                <w:color w:val="000000"/>
                <w:lang w:eastAsia="nl-BE"/>
              </w:rPr>
            </w:pPr>
            <w:r w:rsidRPr="001A25B3">
              <w:rPr>
                <w:rFonts w:ascii="Calibri" w:eastAsia="Times New Roman" w:hAnsi="Calibri" w:cs="Calibri"/>
                <w:i/>
                <w:iCs/>
                <w:color w:val="000000"/>
                <w:lang w:eastAsia="nl-BE"/>
              </w:rPr>
              <w:t>Correctie rapport RH</w:t>
            </w:r>
          </w:p>
        </w:tc>
        <w:tc>
          <w:tcPr>
            <w:tcW w:w="404" w:type="pct"/>
            <w:tcBorders>
              <w:top w:val="nil"/>
              <w:left w:val="single" w:sz="4" w:space="0" w:color="auto"/>
              <w:bottom w:val="nil"/>
              <w:right w:val="nil"/>
            </w:tcBorders>
            <w:shd w:val="clear" w:color="auto" w:fill="auto"/>
            <w:noWrap/>
            <w:vAlign w:val="center"/>
            <w:hideMark/>
          </w:tcPr>
          <w:p w14:paraId="500426C2" w14:textId="77777777" w:rsidR="001A25B3" w:rsidRPr="001A25B3" w:rsidRDefault="001A25B3" w:rsidP="001A25B3">
            <w:pPr>
              <w:jc w:val="right"/>
              <w:rPr>
                <w:rFonts w:ascii="Calibri" w:eastAsia="Times New Roman" w:hAnsi="Calibri" w:cs="Calibri"/>
                <w:i/>
                <w:iCs/>
                <w:color w:val="000000"/>
                <w:lang w:eastAsia="nl-BE"/>
              </w:rPr>
            </w:pPr>
            <w:r w:rsidRPr="001A25B3">
              <w:rPr>
                <w:rFonts w:ascii="Calibri" w:eastAsia="Times New Roman" w:hAnsi="Calibri" w:cs="Calibri"/>
                <w:i/>
                <w:iCs/>
                <w:color w:val="000000"/>
                <w:lang w:eastAsia="nl-BE"/>
              </w:rPr>
              <w:t>-34,1</w:t>
            </w:r>
          </w:p>
        </w:tc>
        <w:tc>
          <w:tcPr>
            <w:tcW w:w="404" w:type="pct"/>
            <w:tcBorders>
              <w:top w:val="nil"/>
              <w:left w:val="single" w:sz="4" w:space="0" w:color="auto"/>
              <w:bottom w:val="nil"/>
              <w:right w:val="nil"/>
            </w:tcBorders>
            <w:shd w:val="clear" w:color="auto" w:fill="auto"/>
            <w:noWrap/>
            <w:vAlign w:val="center"/>
            <w:hideMark/>
          </w:tcPr>
          <w:p w14:paraId="4A4FC2DB" w14:textId="77777777" w:rsidR="001A25B3" w:rsidRPr="001A25B3" w:rsidRDefault="001A25B3" w:rsidP="001A25B3">
            <w:pPr>
              <w:jc w:val="right"/>
              <w:rPr>
                <w:rFonts w:ascii="Calibri" w:eastAsia="Times New Roman" w:hAnsi="Calibri" w:cs="Calibri"/>
                <w:i/>
                <w:iCs/>
                <w:color w:val="000000"/>
                <w:lang w:eastAsia="nl-BE"/>
              </w:rPr>
            </w:pPr>
            <w:r w:rsidRPr="001A25B3">
              <w:rPr>
                <w:rFonts w:ascii="Calibri" w:eastAsia="Times New Roman" w:hAnsi="Calibri" w:cs="Calibri"/>
                <w:i/>
                <w:iCs/>
                <w:color w:val="000000"/>
                <w:lang w:eastAsia="nl-BE"/>
              </w:rPr>
              <w:t>-34,1</w:t>
            </w:r>
          </w:p>
        </w:tc>
        <w:tc>
          <w:tcPr>
            <w:tcW w:w="404" w:type="pct"/>
            <w:tcBorders>
              <w:top w:val="nil"/>
              <w:left w:val="single" w:sz="4" w:space="0" w:color="auto"/>
              <w:bottom w:val="nil"/>
              <w:right w:val="nil"/>
            </w:tcBorders>
            <w:shd w:val="clear" w:color="auto" w:fill="auto"/>
            <w:noWrap/>
            <w:vAlign w:val="center"/>
            <w:hideMark/>
          </w:tcPr>
          <w:p w14:paraId="70F3385A" w14:textId="77777777" w:rsidR="001A25B3" w:rsidRPr="001A25B3" w:rsidRDefault="001A25B3" w:rsidP="001A25B3">
            <w:pPr>
              <w:jc w:val="right"/>
              <w:rPr>
                <w:rFonts w:ascii="Calibri" w:eastAsia="Times New Roman" w:hAnsi="Calibri" w:cs="Calibri"/>
                <w:i/>
                <w:iCs/>
                <w:color w:val="000000"/>
                <w:lang w:eastAsia="nl-BE"/>
              </w:rPr>
            </w:pPr>
            <w:r w:rsidRPr="001A25B3">
              <w:rPr>
                <w:rFonts w:ascii="Calibri" w:eastAsia="Times New Roman" w:hAnsi="Calibri" w:cs="Calibri"/>
                <w:i/>
                <w:iCs/>
                <w:color w:val="000000"/>
                <w:lang w:eastAsia="nl-BE"/>
              </w:rPr>
              <w:t>-48,0</w:t>
            </w:r>
          </w:p>
        </w:tc>
        <w:tc>
          <w:tcPr>
            <w:tcW w:w="404" w:type="pct"/>
            <w:tcBorders>
              <w:top w:val="nil"/>
              <w:left w:val="single" w:sz="4" w:space="0" w:color="auto"/>
              <w:bottom w:val="nil"/>
              <w:right w:val="single" w:sz="4" w:space="0" w:color="auto"/>
            </w:tcBorders>
            <w:shd w:val="clear" w:color="auto" w:fill="auto"/>
            <w:noWrap/>
            <w:vAlign w:val="center"/>
            <w:hideMark/>
          </w:tcPr>
          <w:p w14:paraId="3DC5CB02" w14:textId="77777777" w:rsidR="001A25B3" w:rsidRPr="001A25B3" w:rsidRDefault="001A25B3" w:rsidP="001A25B3">
            <w:pPr>
              <w:jc w:val="right"/>
              <w:rPr>
                <w:rFonts w:ascii="Calibri" w:eastAsia="Times New Roman" w:hAnsi="Calibri" w:cs="Calibri"/>
                <w:i/>
                <w:iCs/>
                <w:color w:val="000000"/>
                <w:lang w:eastAsia="nl-BE"/>
              </w:rPr>
            </w:pPr>
            <w:r w:rsidRPr="001A25B3">
              <w:rPr>
                <w:rFonts w:ascii="Calibri" w:eastAsia="Times New Roman" w:hAnsi="Calibri" w:cs="Calibri"/>
                <w:i/>
                <w:iCs/>
                <w:color w:val="000000"/>
                <w:lang w:eastAsia="nl-BE"/>
              </w:rPr>
              <w:t>-13,9</w:t>
            </w:r>
          </w:p>
        </w:tc>
        <w:tc>
          <w:tcPr>
            <w:tcW w:w="478" w:type="pct"/>
            <w:tcBorders>
              <w:top w:val="nil"/>
              <w:left w:val="nil"/>
              <w:bottom w:val="nil"/>
              <w:right w:val="single" w:sz="4" w:space="0" w:color="auto"/>
            </w:tcBorders>
            <w:shd w:val="clear" w:color="auto" w:fill="auto"/>
            <w:noWrap/>
            <w:vAlign w:val="center"/>
            <w:hideMark/>
          </w:tcPr>
          <w:p w14:paraId="6809DE5F" w14:textId="77777777" w:rsidR="001A25B3" w:rsidRPr="001A25B3" w:rsidRDefault="001A25B3" w:rsidP="001A25B3">
            <w:pPr>
              <w:jc w:val="right"/>
              <w:rPr>
                <w:rFonts w:ascii="Calibri" w:eastAsia="Times New Roman" w:hAnsi="Calibri" w:cs="Calibri"/>
                <w:i/>
                <w:iCs/>
                <w:color w:val="000000"/>
                <w:lang w:eastAsia="nl-BE"/>
              </w:rPr>
            </w:pPr>
            <w:r w:rsidRPr="001A25B3">
              <w:rPr>
                <w:rFonts w:ascii="Calibri" w:eastAsia="Times New Roman" w:hAnsi="Calibri" w:cs="Calibri"/>
                <w:i/>
                <w:iCs/>
                <w:color w:val="000000"/>
                <w:lang w:eastAsia="nl-BE"/>
              </w:rPr>
              <w:t>40,8%</w:t>
            </w:r>
          </w:p>
        </w:tc>
        <w:tc>
          <w:tcPr>
            <w:tcW w:w="404" w:type="pct"/>
            <w:tcBorders>
              <w:top w:val="nil"/>
              <w:left w:val="nil"/>
              <w:bottom w:val="nil"/>
              <w:right w:val="nil"/>
            </w:tcBorders>
            <w:shd w:val="clear" w:color="auto" w:fill="auto"/>
            <w:noWrap/>
            <w:vAlign w:val="center"/>
            <w:hideMark/>
          </w:tcPr>
          <w:p w14:paraId="5DA4C9C3" w14:textId="77777777" w:rsidR="001A25B3" w:rsidRPr="001A25B3" w:rsidRDefault="001A25B3" w:rsidP="001A25B3">
            <w:pPr>
              <w:jc w:val="right"/>
              <w:rPr>
                <w:rFonts w:ascii="Calibri" w:eastAsia="Times New Roman" w:hAnsi="Calibri" w:cs="Calibri"/>
                <w:i/>
                <w:iCs/>
                <w:color w:val="000000"/>
                <w:lang w:eastAsia="nl-BE"/>
              </w:rPr>
            </w:pPr>
            <w:r w:rsidRPr="001A25B3">
              <w:rPr>
                <w:rFonts w:ascii="Calibri" w:eastAsia="Times New Roman" w:hAnsi="Calibri" w:cs="Calibri"/>
                <w:i/>
                <w:iCs/>
                <w:color w:val="000000"/>
                <w:lang w:eastAsia="nl-BE"/>
              </w:rPr>
              <w:t>-13,9</w:t>
            </w:r>
          </w:p>
        </w:tc>
        <w:tc>
          <w:tcPr>
            <w:tcW w:w="478" w:type="pct"/>
            <w:tcBorders>
              <w:top w:val="nil"/>
              <w:left w:val="single" w:sz="4" w:space="0" w:color="auto"/>
              <w:bottom w:val="nil"/>
              <w:right w:val="single" w:sz="4" w:space="0" w:color="auto"/>
            </w:tcBorders>
            <w:shd w:val="clear" w:color="auto" w:fill="auto"/>
            <w:noWrap/>
            <w:vAlign w:val="center"/>
            <w:hideMark/>
          </w:tcPr>
          <w:p w14:paraId="15DD2339" w14:textId="77777777" w:rsidR="001A25B3" w:rsidRPr="001A25B3" w:rsidRDefault="001A25B3" w:rsidP="001A25B3">
            <w:pPr>
              <w:jc w:val="right"/>
              <w:rPr>
                <w:rFonts w:ascii="Calibri" w:eastAsia="Times New Roman" w:hAnsi="Calibri" w:cs="Calibri"/>
                <w:i/>
                <w:iCs/>
                <w:color w:val="000000"/>
                <w:lang w:eastAsia="nl-BE"/>
              </w:rPr>
            </w:pPr>
            <w:r w:rsidRPr="001A25B3">
              <w:rPr>
                <w:rFonts w:ascii="Calibri" w:eastAsia="Times New Roman" w:hAnsi="Calibri" w:cs="Calibri"/>
                <w:i/>
                <w:iCs/>
                <w:color w:val="000000"/>
                <w:lang w:eastAsia="nl-BE"/>
              </w:rPr>
              <w:t>40,8%</w:t>
            </w:r>
          </w:p>
        </w:tc>
      </w:tr>
      <w:tr w:rsidR="001A25B3" w:rsidRPr="001A25B3" w14:paraId="4849EDE5" w14:textId="77777777" w:rsidTr="00D96A21">
        <w:trPr>
          <w:trHeight w:val="290"/>
        </w:trPr>
        <w:tc>
          <w:tcPr>
            <w:tcW w:w="2022" w:type="pct"/>
            <w:tcBorders>
              <w:top w:val="nil"/>
              <w:left w:val="single" w:sz="4" w:space="0" w:color="auto"/>
              <w:bottom w:val="nil"/>
              <w:right w:val="nil"/>
            </w:tcBorders>
            <w:shd w:val="clear" w:color="auto" w:fill="auto"/>
            <w:noWrap/>
            <w:vAlign w:val="center"/>
            <w:hideMark/>
          </w:tcPr>
          <w:p w14:paraId="368D78AD" w14:textId="77777777" w:rsidR="001A25B3" w:rsidRPr="001A25B3" w:rsidRDefault="001A25B3" w:rsidP="001A25B3">
            <w:pPr>
              <w:jc w:val="right"/>
              <w:rPr>
                <w:rFonts w:ascii="Calibri" w:eastAsia="Times New Roman" w:hAnsi="Calibri" w:cs="Calibri"/>
                <w:i/>
                <w:iCs/>
                <w:color w:val="000000"/>
                <w:lang w:eastAsia="nl-BE"/>
              </w:rPr>
            </w:pPr>
            <w:r w:rsidRPr="001A25B3">
              <w:rPr>
                <w:rFonts w:ascii="Calibri" w:eastAsia="Times New Roman" w:hAnsi="Calibri" w:cs="Calibri"/>
                <w:i/>
                <w:iCs/>
                <w:color w:val="000000"/>
                <w:lang w:eastAsia="nl-BE"/>
              </w:rPr>
              <w:t>andere</w:t>
            </w:r>
          </w:p>
        </w:tc>
        <w:tc>
          <w:tcPr>
            <w:tcW w:w="404" w:type="pct"/>
            <w:tcBorders>
              <w:top w:val="nil"/>
              <w:left w:val="single" w:sz="4" w:space="0" w:color="auto"/>
              <w:bottom w:val="nil"/>
              <w:right w:val="nil"/>
            </w:tcBorders>
            <w:shd w:val="clear" w:color="auto" w:fill="auto"/>
            <w:noWrap/>
            <w:vAlign w:val="center"/>
            <w:hideMark/>
          </w:tcPr>
          <w:p w14:paraId="6C5B5E16" w14:textId="77777777" w:rsidR="001A25B3" w:rsidRPr="001A25B3" w:rsidRDefault="001A25B3" w:rsidP="001A25B3">
            <w:pPr>
              <w:jc w:val="right"/>
              <w:rPr>
                <w:rFonts w:ascii="Calibri" w:eastAsia="Times New Roman" w:hAnsi="Calibri" w:cs="Calibri"/>
                <w:i/>
                <w:iCs/>
                <w:color w:val="000000"/>
                <w:lang w:eastAsia="nl-BE"/>
              </w:rPr>
            </w:pPr>
            <w:r w:rsidRPr="001A25B3">
              <w:rPr>
                <w:rFonts w:ascii="Calibri" w:eastAsia="Times New Roman" w:hAnsi="Calibri" w:cs="Calibri"/>
                <w:i/>
                <w:iCs/>
                <w:color w:val="000000"/>
                <w:lang w:eastAsia="nl-BE"/>
              </w:rPr>
              <w:t>101,5</w:t>
            </w:r>
          </w:p>
        </w:tc>
        <w:tc>
          <w:tcPr>
            <w:tcW w:w="404" w:type="pct"/>
            <w:tcBorders>
              <w:top w:val="nil"/>
              <w:left w:val="single" w:sz="4" w:space="0" w:color="auto"/>
              <w:bottom w:val="nil"/>
              <w:right w:val="nil"/>
            </w:tcBorders>
            <w:shd w:val="clear" w:color="auto" w:fill="auto"/>
            <w:noWrap/>
            <w:vAlign w:val="center"/>
            <w:hideMark/>
          </w:tcPr>
          <w:p w14:paraId="083558A6" w14:textId="77777777" w:rsidR="001A25B3" w:rsidRPr="001A25B3" w:rsidRDefault="001A25B3" w:rsidP="001A25B3">
            <w:pPr>
              <w:jc w:val="right"/>
              <w:rPr>
                <w:rFonts w:ascii="Calibri" w:eastAsia="Times New Roman" w:hAnsi="Calibri" w:cs="Calibri"/>
                <w:i/>
                <w:iCs/>
                <w:color w:val="000000"/>
                <w:lang w:eastAsia="nl-BE"/>
              </w:rPr>
            </w:pPr>
            <w:r w:rsidRPr="001A25B3">
              <w:rPr>
                <w:rFonts w:ascii="Calibri" w:eastAsia="Times New Roman" w:hAnsi="Calibri" w:cs="Calibri"/>
                <w:i/>
                <w:iCs/>
                <w:color w:val="000000"/>
                <w:lang w:eastAsia="nl-BE"/>
              </w:rPr>
              <w:t>109,0</w:t>
            </w:r>
          </w:p>
        </w:tc>
        <w:tc>
          <w:tcPr>
            <w:tcW w:w="404" w:type="pct"/>
            <w:tcBorders>
              <w:top w:val="nil"/>
              <w:left w:val="single" w:sz="4" w:space="0" w:color="auto"/>
              <w:bottom w:val="nil"/>
              <w:right w:val="nil"/>
            </w:tcBorders>
            <w:shd w:val="clear" w:color="auto" w:fill="auto"/>
            <w:noWrap/>
            <w:vAlign w:val="center"/>
            <w:hideMark/>
          </w:tcPr>
          <w:p w14:paraId="01968617" w14:textId="77777777" w:rsidR="001A25B3" w:rsidRPr="001A25B3" w:rsidRDefault="001A25B3" w:rsidP="001A25B3">
            <w:pPr>
              <w:jc w:val="right"/>
              <w:rPr>
                <w:rFonts w:ascii="Calibri" w:eastAsia="Times New Roman" w:hAnsi="Calibri" w:cs="Calibri"/>
                <w:i/>
                <w:iCs/>
                <w:color w:val="000000"/>
                <w:lang w:eastAsia="nl-BE"/>
              </w:rPr>
            </w:pPr>
            <w:r w:rsidRPr="001A25B3">
              <w:rPr>
                <w:rFonts w:ascii="Calibri" w:eastAsia="Times New Roman" w:hAnsi="Calibri" w:cs="Calibri"/>
                <w:i/>
                <w:iCs/>
                <w:color w:val="000000"/>
                <w:lang w:eastAsia="nl-BE"/>
              </w:rPr>
              <w:t>95,7</w:t>
            </w:r>
          </w:p>
        </w:tc>
        <w:tc>
          <w:tcPr>
            <w:tcW w:w="404" w:type="pct"/>
            <w:tcBorders>
              <w:top w:val="nil"/>
              <w:left w:val="single" w:sz="4" w:space="0" w:color="auto"/>
              <w:bottom w:val="nil"/>
              <w:right w:val="single" w:sz="4" w:space="0" w:color="auto"/>
            </w:tcBorders>
            <w:shd w:val="clear" w:color="auto" w:fill="auto"/>
            <w:noWrap/>
            <w:vAlign w:val="center"/>
            <w:hideMark/>
          </w:tcPr>
          <w:p w14:paraId="06A2D329" w14:textId="77777777" w:rsidR="001A25B3" w:rsidRPr="001A25B3" w:rsidRDefault="001A25B3" w:rsidP="001A25B3">
            <w:pPr>
              <w:jc w:val="right"/>
              <w:rPr>
                <w:rFonts w:ascii="Calibri" w:eastAsia="Times New Roman" w:hAnsi="Calibri" w:cs="Calibri"/>
                <w:i/>
                <w:iCs/>
                <w:color w:val="000000"/>
                <w:lang w:eastAsia="nl-BE"/>
              </w:rPr>
            </w:pPr>
            <w:r w:rsidRPr="001A25B3">
              <w:rPr>
                <w:rFonts w:ascii="Calibri" w:eastAsia="Times New Roman" w:hAnsi="Calibri" w:cs="Calibri"/>
                <w:i/>
                <w:iCs/>
                <w:color w:val="000000"/>
                <w:lang w:eastAsia="nl-BE"/>
              </w:rPr>
              <w:t>-5,7</w:t>
            </w:r>
          </w:p>
        </w:tc>
        <w:tc>
          <w:tcPr>
            <w:tcW w:w="478" w:type="pct"/>
            <w:tcBorders>
              <w:top w:val="nil"/>
              <w:left w:val="nil"/>
              <w:bottom w:val="nil"/>
              <w:right w:val="single" w:sz="4" w:space="0" w:color="auto"/>
            </w:tcBorders>
            <w:shd w:val="clear" w:color="auto" w:fill="auto"/>
            <w:noWrap/>
            <w:vAlign w:val="center"/>
            <w:hideMark/>
          </w:tcPr>
          <w:p w14:paraId="2F8B8538" w14:textId="77777777" w:rsidR="001A25B3" w:rsidRPr="001A25B3" w:rsidRDefault="001A25B3" w:rsidP="001A25B3">
            <w:pPr>
              <w:jc w:val="right"/>
              <w:rPr>
                <w:rFonts w:ascii="Calibri" w:eastAsia="Times New Roman" w:hAnsi="Calibri" w:cs="Calibri"/>
                <w:i/>
                <w:iCs/>
                <w:color w:val="000000"/>
                <w:lang w:eastAsia="nl-BE"/>
              </w:rPr>
            </w:pPr>
            <w:r w:rsidRPr="001A25B3">
              <w:rPr>
                <w:rFonts w:ascii="Calibri" w:eastAsia="Times New Roman" w:hAnsi="Calibri" w:cs="Calibri"/>
                <w:i/>
                <w:iCs/>
                <w:color w:val="000000"/>
                <w:lang w:eastAsia="nl-BE"/>
              </w:rPr>
              <w:t>-5,6%</w:t>
            </w:r>
          </w:p>
        </w:tc>
        <w:tc>
          <w:tcPr>
            <w:tcW w:w="404" w:type="pct"/>
            <w:tcBorders>
              <w:top w:val="nil"/>
              <w:left w:val="nil"/>
              <w:bottom w:val="nil"/>
              <w:right w:val="nil"/>
            </w:tcBorders>
            <w:shd w:val="clear" w:color="auto" w:fill="auto"/>
            <w:noWrap/>
            <w:vAlign w:val="center"/>
            <w:hideMark/>
          </w:tcPr>
          <w:p w14:paraId="16827299" w14:textId="77777777" w:rsidR="001A25B3" w:rsidRPr="001A25B3" w:rsidRDefault="001A25B3" w:rsidP="001A25B3">
            <w:pPr>
              <w:jc w:val="right"/>
              <w:rPr>
                <w:rFonts w:ascii="Calibri" w:eastAsia="Times New Roman" w:hAnsi="Calibri" w:cs="Calibri"/>
                <w:i/>
                <w:iCs/>
                <w:color w:val="000000"/>
                <w:lang w:eastAsia="nl-BE"/>
              </w:rPr>
            </w:pPr>
            <w:r w:rsidRPr="001A25B3">
              <w:rPr>
                <w:rFonts w:ascii="Calibri" w:eastAsia="Times New Roman" w:hAnsi="Calibri" w:cs="Calibri"/>
                <w:i/>
                <w:iCs/>
                <w:color w:val="000000"/>
                <w:lang w:eastAsia="nl-BE"/>
              </w:rPr>
              <w:t>-13,3</w:t>
            </w:r>
          </w:p>
        </w:tc>
        <w:tc>
          <w:tcPr>
            <w:tcW w:w="478" w:type="pct"/>
            <w:tcBorders>
              <w:top w:val="nil"/>
              <w:left w:val="single" w:sz="4" w:space="0" w:color="auto"/>
              <w:bottom w:val="nil"/>
              <w:right w:val="single" w:sz="4" w:space="0" w:color="auto"/>
            </w:tcBorders>
            <w:shd w:val="clear" w:color="auto" w:fill="auto"/>
            <w:noWrap/>
            <w:vAlign w:val="center"/>
            <w:hideMark/>
          </w:tcPr>
          <w:p w14:paraId="25730314" w14:textId="77777777" w:rsidR="001A25B3" w:rsidRPr="001A25B3" w:rsidRDefault="001A25B3" w:rsidP="001A25B3">
            <w:pPr>
              <w:jc w:val="right"/>
              <w:rPr>
                <w:rFonts w:ascii="Calibri" w:eastAsia="Times New Roman" w:hAnsi="Calibri" w:cs="Calibri"/>
                <w:i/>
                <w:iCs/>
                <w:color w:val="000000"/>
                <w:lang w:eastAsia="nl-BE"/>
              </w:rPr>
            </w:pPr>
            <w:r w:rsidRPr="001A25B3">
              <w:rPr>
                <w:rFonts w:ascii="Calibri" w:eastAsia="Times New Roman" w:hAnsi="Calibri" w:cs="Calibri"/>
                <w:i/>
                <w:iCs/>
                <w:color w:val="000000"/>
                <w:lang w:eastAsia="nl-BE"/>
              </w:rPr>
              <w:t>-12,2%</w:t>
            </w:r>
          </w:p>
        </w:tc>
      </w:tr>
      <w:tr w:rsidR="001A25B3" w:rsidRPr="001A25B3" w14:paraId="5031B080" w14:textId="77777777" w:rsidTr="00D96A21">
        <w:trPr>
          <w:trHeight w:val="290"/>
        </w:trPr>
        <w:tc>
          <w:tcPr>
            <w:tcW w:w="2022" w:type="pct"/>
            <w:tcBorders>
              <w:top w:val="single" w:sz="4" w:space="0" w:color="auto"/>
              <w:left w:val="single" w:sz="4" w:space="0" w:color="auto"/>
              <w:bottom w:val="single" w:sz="4" w:space="0" w:color="auto"/>
              <w:right w:val="nil"/>
            </w:tcBorders>
            <w:shd w:val="clear" w:color="auto" w:fill="auto"/>
            <w:noWrap/>
            <w:vAlign w:val="center"/>
            <w:hideMark/>
          </w:tcPr>
          <w:p w14:paraId="5738414B" w14:textId="77777777" w:rsidR="001A25B3" w:rsidRPr="001A25B3" w:rsidRDefault="001A25B3" w:rsidP="001A25B3">
            <w:pPr>
              <w:rPr>
                <w:rFonts w:ascii="Calibri" w:eastAsia="Times New Roman" w:hAnsi="Calibri" w:cs="Calibri"/>
                <w:b/>
                <w:bCs/>
                <w:color w:val="000000"/>
                <w:lang w:eastAsia="nl-BE"/>
              </w:rPr>
            </w:pPr>
            <w:r w:rsidRPr="001A25B3">
              <w:rPr>
                <w:rFonts w:ascii="Calibri" w:eastAsia="Times New Roman" w:hAnsi="Calibri" w:cs="Calibri"/>
                <w:b/>
                <w:bCs/>
                <w:color w:val="000000"/>
                <w:lang w:eastAsia="nl-BE"/>
              </w:rPr>
              <w:t>ESR correcties</w:t>
            </w:r>
          </w:p>
        </w:tc>
        <w:tc>
          <w:tcPr>
            <w:tcW w:w="404" w:type="pct"/>
            <w:tcBorders>
              <w:top w:val="single" w:sz="4" w:space="0" w:color="auto"/>
              <w:left w:val="single" w:sz="4" w:space="0" w:color="auto"/>
              <w:bottom w:val="single" w:sz="4" w:space="0" w:color="auto"/>
              <w:right w:val="nil"/>
            </w:tcBorders>
            <w:shd w:val="clear" w:color="auto" w:fill="auto"/>
            <w:noWrap/>
            <w:vAlign w:val="center"/>
            <w:hideMark/>
          </w:tcPr>
          <w:p w14:paraId="242DCD57" w14:textId="77777777" w:rsidR="001A25B3" w:rsidRPr="001A25B3" w:rsidRDefault="001A25B3" w:rsidP="001A25B3">
            <w:pPr>
              <w:jc w:val="right"/>
              <w:rPr>
                <w:rFonts w:ascii="Calibri" w:eastAsia="Times New Roman" w:hAnsi="Calibri" w:cs="Calibri"/>
                <w:b/>
                <w:bCs/>
                <w:color w:val="000000"/>
                <w:lang w:eastAsia="nl-BE"/>
              </w:rPr>
            </w:pPr>
            <w:r w:rsidRPr="001A25B3">
              <w:rPr>
                <w:rFonts w:ascii="Calibri" w:eastAsia="Times New Roman" w:hAnsi="Calibri" w:cs="Calibri"/>
                <w:b/>
                <w:bCs/>
                <w:color w:val="000000"/>
                <w:lang w:eastAsia="nl-BE"/>
              </w:rPr>
              <w:t>288,9</w:t>
            </w:r>
          </w:p>
        </w:tc>
        <w:tc>
          <w:tcPr>
            <w:tcW w:w="404" w:type="pct"/>
            <w:tcBorders>
              <w:top w:val="single" w:sz="4" w:space="0" w:color="auto"/>
              <w:left w:val="single" w:sz="4" w:space="0" w:color="auto"/>
              <w:bottom w:val="single" w:sz="4" w:space="0" w:color="auto"/>
              <w:right w:val="nil"/>
            </w:tcBorders>
            <w:shd w:val="clear" w:color="auto" w:fill="auto"/>
            <w:noWrap/>
            <w:vAlign w:val="center"/>
            <w:hideMark/>
          </w:tcPr>
          <w:p w14:paraId="0C2B3616" w14:textId="77777777" w:rsidR="001A25B3" w:rsidRPr="001A25B3" w:rsidRDefault="001A25B3" w:rsidP="001A25B3">
            <w:pPr>
              <w:jc w:val="right"/>
              <w:rPr>
                <w:rFonts w:ascii="Calibri" w:eastAsia="Times New Roman" w:hAnsi="Calibri" w:cs="Calibri"/>
                <w:b/>
                <w:bCs/>
                <w:color w:val="000000"/>
                <w:lang w:eastAsia="nl-BE"/>
              </w:rPr>
            </w:pPr>
            <w:r w:rsidRPr="001A25B3">
              <w:rPr>
                <w:rFonts w:ascii="Calibri" w:eastAsia="Times New Roman" w:hAnsi="Calibri" w:cs="Calibri"/>
                <w:b/>
                <w:bCs/>
                <w:color w:val="000000"/>
                <w:lang w:eastAsia="nl-BE"/>
              </w:rPr>
              <w:t>296,5</w:t>
            </w:r>
          </w:p>
        </w:tc>
        <w:tc>
          <w:tcPr>
            <w:tcW w:w="404" w:type="pct"/>
            <w:tcBorders>
              <w:top w:val="single" w:sz="4" w:space="0" w:color="auto"/>
              <w:left w:val="single" w:sz="4" w:space="0" w:color="auto"/>
              <w:bottom w:val="single" w:sz="4" w:space="0" w:color="auto"/>
              <w:right w:val="nil"/>
            </w:tcBorders>
            <w:shd w:val="clear" w:color="auto" w:fill="auto"/>
            <w:noWrap/>
            <w:vAlign w:val="center"/>
            <w:hideMark/>
          </w:tcPr>
          <w:p w14:paraId="70C6954C" w14:textId="77777777" w:rsidR="001A25B3" w:rsidRPr="001A25B3" w:rsidRDefault="001A25B3" w:rsidP="001A25B3">
            <w:pPr>
              <w:jc w:val="right"/>
              <w:rPr>
                <w:rFonts w:ascii="Calibri" w:eastAsia="Times New Roman" w:hAnsi="Calibri" w:cs="Calibri"/>
                <w:b/>
                <w:bCs/>
                <w:color w:val="000000"/>
                <w:lang w:eastAsia="nl-BE"/>
              </w:rPr>
            </w:pPr>
            <w:r w:rsidRPr="001A25B3">
              <w:rPr>
                <w:rFonts w:ascii="Calibri" w:eastAsia="Times New Roman" w:hAnsi="Calibri" w:cs="Calibri"/>
                <w:b/>
                <w:bCs/>
                <w:color w:val="000000"/>
                <w:lang w:eastAsia="nl-BE"/>
              </w:rPr>
              <w:t>295,9</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5A845E" w14:textId="77777777" w:rsidR="001A25B3" w:rsidRPr="001A25B3" w:rsidRDefault="001A25B3" w:rsidP="001A25B3">
            <w:pPr>
              <w:jc w:val="right"/>
              <w:rPr>
                <w:rFonts w:ascii="Calibri" w:eastAsia="Times New Roman" w:hAnsi="Calibri" w:cs="Calibri"/>
                <w:b/>
                <w:bCs/>
                <w:color w:val="000000"/>
                <w:lang w:eastAsia="nl-BE"/>
              </w:rPr>
            </w:pPr>
            <w:r w:rsidRPr="001A25B3">
              <w:rPr>
                <w:rFonts w:ascii="Calibri" w:eastAsia="Times New Roman" w:hAnsi="Calibri" w:cs="Calibri"/>
                <w:b/>
                <w:bCs/>
                <w:color w:val="000000"/>
                <w:lang w:eastAsia="nl-BE"/>
              </w:rPr>
              <w:t>7,0</w:t>
            </w:r>
          </w:p>
        </w:tc>
        <w:tc>
          <w:tcPr>
            <w:tcW w:w="478" w:type="pct"/>
            <w:tcBorders>
              <w:top w:val="single" w:sz="4" w:space="0" w:color="auto"/>
              <w:left w:val="nil"/>
              <w:bottom w:val="single" w:sz="4" w:space="0" w:color="auto"/>
              <w:right w:val="single" w:sz="4" w:space="0" w:color="auto"/>
            </w:tcBorders>
            <w:shd w:val="clear" w:color="auto" w:fill="auto"/>
            <w:noWrap/>
            <w:vAlign w:val="center"/>
            <w:hideMark/>
          </w:tcPr>
          <w:p w14:paraId="6494B215" w14:textId="77777777" w:rsidR="001A25B3" w:rsidRPr="001A25B3" w:rsidRDefault="001A25B3" w:rsidP="001A25B3">
            <w:pPr>
              <w:jc w:val="right"/>
              <w:rPr>
                <w:rFonts w:ascii="Calibri" w:eastAsia="Times New Roman" w:hAnsi="Calibri" w:cs="Calibri"/>
                <w:b/>
                <w:bCs/>
                <w:color w:val="000000"/>
                <w:lang w:eastAsia="nl-BE"/>
              </w:rPr>
            </w:pPr>
            <w:r w:rsidRPr="001A25B3">
              <w:rPr>
                <w:rFonts w:ascii="Calibri" w:eastAsia="Times New Roman" w:hAnsi="Calibri" w:cs="Calibri"/>
                <w:b/>
                <w:bCs/>
                <w:color w:val="000000"/>
                <w:lang w:eastAsia="nl-BE"/>
              </w:rPr>
              <w:t>2,4%</w:t>
            </w:r>
          </w:p>
        </w:tc>
        <w:tc>
          <w:tcPr>
            <w:tcW w:w="404" w:type="pct"/>
            <w:tcBorders>
              <w:top w:val="single" w:sz="4" w:space="0" w:color="auto"/>
              <w:left w:val="nil"/>
              <w:bottom w:val="single" w:sz="4" w:space="0" w:color="auto"/>
              <w:right w:val="nil"/>
            </w:tcBorders>
            <w:shd w:val="clear" w:color="auto" w:fill="auto"/>
            <w:noWrap/>
            <w:vAlign w:val="center"/>
            <w:hideMark/>
          </w:tcPr>
          <w:p w14:paraId="3780C8B7" w14:textId="77777777" w:rsidR="001A25B3" w:rsidRPr="001A25B3" w:rsidRDefault="001A25B3" w:rsidP="001A25B3">
            <w:pPr>
              <w:jc w:val="right"/>
              <w:rPr>
                <w:rFonts w:ascii="Calibri" w:eastAsia="Times New Roman" w:hAnsi="Calibri" w:cs="Calibri"/>
                <w:b/>
                <w:bCs/>
                <w:color w:val="000000"/>
                <w:lang w:eastAsia="nl-BE"/>
              </w:rPr>
            </w:pPr>
            <w:r w:rsidRPr="001A25B3">
              <w:rPr>
                <w:rFonts w:ascii="Calibri" w:eastAsia="Times New Roman" w:hAnsi="Calibri" w:cs="Calibri"/>
                <w:b/>
                <w:bCs/>
                <w:color w:val="000000"/>
                <w:lang w:eastAsia="nl-BE"/>
              </w:rPr>
              <w:t>-0,6</w:t>
            </w:r>
          </w:p>
        </w:tc>
        <w:tc>
          <w:tcPr>
            <w:tcW w:w="4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A0DC56" w14:textId="77777777" w:rsidR="001A25B3" w:rsidRPr="001A25B3" w:rsidRDefault="001A25B3" w:rsidP="001A25B3">
            <w:pPr>
              <w:jc w:val="right"/>
              <w:rPr>
                <w:rFonts w:ascii="Calibri" w:eastAsia="Times New Roman" w:hAnsi="Calibri" w:cs="Calibri"/>
                <w:b/>
                <w:bCs/>
                <w:color w:val="000000"/>
                <w:lang w:eastAsia="nl-BE"/>
              </w:rPr>
            </w:pPr>
            <w:r w:rsidRPr="001A25B3">
              <w:rPr>
                <w:rFonts w:ascii="Calibri" w:eastAsia="Times New Roman" w:hAnsi="Calibri" w:cs="Calibri"/>
                <w:b/>
                <w:bCs/>
                <w:color w:val="000000"/>
                <w:lang w:eastAsia="nl-BE"/>
              </w:rPr>
              <w:t>-0,2%</w:t>
            </w:r>
          </w:p>
        </w:tc>
      </w:tr>
    </w:tbl>
    <w:p w14:paraId="116413DA" w14:textId="475A4106" w:rsidR="001A25B3" w:rsidRDefault="001A25B3" w:rsidP="00D82180">
      <w:pPr>
        <w:spacing w:after="120"/>
        <w:jc w:val="both"/>
      </w:pPr>
    </w:p>
    <w:p w14:paraId="052D588C" w14:textId="77777777" w:rsidR="00A37976" w:rsidRDefault="00A37976" w:rsidP="00EA4D4B">
      <w:pPr>
        <w:jc w:val="both"/>
      </w:pPr>
    </w:p>
    <w:p w14:paraId="39D59CE7" w14:textId="77777777" w:rsidR="00D96A21" w:rsidRDefault="00243E15" w:rsidP="00EA4D4B">
      <w:pPr>
        <w:jc w:val="both"/>
      </w:pPr>
      <w:r>
        <w:t>Ten aanzien</w:t>
      </w:r>
      <w:r w:rsidR="00153826">
        <w:t xml:space="preserve"> van de </w:t>
      </w:r>
      <w:r w:rsidR="0057000B">
        <w:t>begrotings</w:t>
      </w:r>
      <w:r w:rsidR="008055A2">
        <w:t xml:space="preserve">aanpassing </w:t>
      </w:r>
      <w:r w:rsidR="0057000B">
        <w:t>2019</w:t>
      </w:r>
      <w:r w:rsidR="00990A34">
        <w:t xml:space="preserve"> </w:t>
      </w:r>
      <w:r>
        <w:t xml:space="preserve">hebben de ESR correcties een </w:t>
      </w:r>
      <w:r w:rsidR="003061BD">
        <w:t>positieve</w:t>
      </w:r>
      <w:r>
        <w:t xml:space="preserve"> impact</w:t>
      </w:r>
      <w:r w:rsidR="009C0728">
        <w:t xml:space="preserve"> van </w:t>
      </w:r>
      <w:r w:rsidR="008055A2">
        <w:t>7</w:t>
      </w:r>
      <w:r w:rsidR="0057000B">
        <w:t xml:space="preserve"> </w:t>
      </w:r>
      <w:r w:rsidR="000911BC">
        <w:t>miljoen euro</w:t>
      </w:r>
      <w:r w:rsidR="009C0728">
        <w:t xml:space="preserve">. </w:t>
      </w:r>
      <w:r w:rsidR="008B7316">
        <w:t>De</w:t>
      </w:r>
      <w:r w:rsidR="00990A34">
        <w:t xml:space="preserve"> </w:t>
      </w:r>
      <w:r w:rsidR="0057000B">
        <w:t>afwijking is te verklaren</w:t>
      </w:r>
      <w:r w:rsidR="0091257D">
        <w:t xml:space="preserve"> </w:t>
      </w:r>
      <w:r w:rsidR="00D96A21">
        <w:t>door :</w:t>
      </w:r>
    </w:p>
    <w:p w14:paraId="0456BADA" w14:textId="06C99AF2" w:rsidR="00990A34" w:rsidRDefault="0091257D" w:rsidP="00D96A21">
      <w:pPr>
        <w:pStyle w:val="Lijstalinea"/>
        <w:numPr>
          <w:ilvl w:val="0"/>
          <w:numId w:val="30"/>
        </w:numPr>
        <w:jc w:val="both"/>
      </w:pPr>
      <w:r>
        <w:t>het wegvallen van de ESR-correctie voor</w:t>
      </w:r>
      <w:r w:rsidR="00D96A21">
        <w:t xml:space="preserve"> de Sluis Terneuzen omdat de Vlaamse bijdrage 2019 bovenop de contractueel afgesproken cash flow van 59,5 miljoen euro (20,4 miljoen euro) als reguliere uitgaven op de ministeriebegroting van MOW werd aangerekend</w:t>
      </w:r>
      <w:r w:rsidR="004B3B83">
        <w:t>.</w:t>
      </w:r>
      <w:r w:rsidR="00D96A21">
        <w:t xml:space="preserve"> </w:t>
      </w:r>
      <w:r>
        <w:t xml:space="preserve">De extra ESR-impact ten opzichte van de toelage werd verwerkt bij de </w:t>
      </w:r>
      <w:r w:rsidR="004B3B83">
        <w:t>uitgav</w:t>
      </w:r>
      <w:r w:rsidR="00C40C68">
        <w:t>e</w:t>
      </w:r>
      <w:r w:rsidR="004B3B83">
        <w:t xml:space="preserve">n </w:t>
      </w:r>
      <w:r>
        <w:t>voor de ministeries.</w:t>
      </w:r>
    </w:p>
    <w:p w14:paraId="62CC40D6" w14:textId="7F49DEAC" w:rsidR="00D96A21" w:rsidRPr="00EC2384" w:rsidRDefault="00D96A21" w:rsidP="00DA260E">
      <w:pPr>
        <w:pStyle w:val="Lijstalinea"/>
        <w:numPr>
          <w:ilvl w:val="0"/>
          <w:numId w:val="30"/>
        </w:numPr>
        <w:jc w:val="both"/>
      </w:pPr>
      <w:r>
        <w:t>Daling van de postieve ESR correctie bij VIPA voor A1/A3 met 11,4 miljoen euro.</w:t>
      </w:r>
    </w:p>
    <w:p w14:paraId="3E843D93" w14:textId="54727A19" w:rsidR="00544E9E" w:rsidRDefault="00D96A21" w:rsidP="00544E9E">
      <w:pPr>
        <w:pStyle w:val="Lijstalinea"/>
        <w:numPr>
          <w:ilvl w:val="0"/>
          <w:numId w:val="30"/>
        </w:numPr>
        <w:jc w:val="both"/>
      </w:pPr>
      <w:r w:rsidRPr="00414F7F">
        <w:t>Voor de jaarafgrenzing van de inkomensoverdrachten w</w:t>
      </w:r>
      <w:r w:rsidR="00544E9E">
        <w:t>erd</w:t>
      </w:r>
      <w:r w:rsidRPr="00414F7F">
        <w:t xml:space="preserve"> de impact van de correcte ESR-aanrekening </w:t>
      </w:r>
      <w:r w:rsidR="00544E9E">
        <w:t xml:space="preserve">bij BA19 </w:t>
      </w:r>
      <w:r w:rsidRPr="00414F7F">
        <w:t>geschat op 12 miljoen euro en w</w:t>
      </w:r>
      <w:r w:rsidR="00544E9E">
        <w:t>erd</w:t>
      </w:r>
      <w:r w:rsidRPr="00414F7F">
        <w:t xml:space="preserve"> hiervoor een (negatieve) ESR-correctie ingeschreven.</w:t>
      </w:r>
      <w:r w:rsidR="00544E9E">
        <w:t xml:space="preserve"> In navolging van het rekeningenrapport 2018 van het Rekenhof </w:t>
      </w:r>
      <w:r w:rsidR="004B3B83">
        <w:t>e</w:t>
      </w:r>
      <w:r w:rsidR="00C40C68">
        <w:t>n</w:t>
      </w:r>
      <w:r w:rsidR="004B3B83">
        <w:t xml:space="preserve"> de overflowoefening i.k.v. BO20 </w:t>
      </w:r>
      <w:r w:rsidR="00544E9E">
        <w:t>wordt deze negatieve impact nu herraamd naar 25,9 miljoen euro of 13,9 miljoe</w:t>
      </w:r>
      <w:r w:rsidR="00C40C68">
        <w:t>n</w:t>
      </w:r>
      <w:r w:rsidR="00544E9E">
        <w:t xml:space="preserve"> euro meer dan bij de BA19</w:t>
      </w:r>
    </w:p>
    <w:p w14:paraId="275AB10F" w14:textId="46C2FD6E" w:rsidR="00544E9E" w:rsidRDefault="00544E9E" w:rsidP="00544E9E">
      <w:pPr>
        <w:pStyle w:val="Lijstalinea"/>
        <w:numPr>
          <w:ilvl w:val="0"/>
          <w:numId w:val="30"/>
        </w:numPr>
        <w:jc w:val="both"/>
      </w:pPr>
      <w:r>
        <w:t xml:space="preserve">Wegvallen van de </w:t>
      </w:r>
      <w:r w:rsidR="00C40C68">
        <w:t>ESR</w:t>
      </w:r>
      <w:r>
        <w:t>-correctie voor het Vlaams Parlement door de volledige consolidatie van de voorlopige uitvoering het Vlaams Parlement en de paraparlementaire instellingen.</w:t>
      </w:r>
    </w:p>
    <w:p w14:paraId="26055BB3" w14:textId="77777777" w:rsidR="00D96A21" w:rsidRDefault="00D96A21" w:rsidP="00D96A21">
      <w:pPr>
        <w:pStyle w:val="Lijstalinea"/>
        <w:jc w:val="both"/>
      </w:pPr>
    </w:p>
    <w:p w14:paraId="0E4AE37D" w14:textId="77777777" w:rsidR="000A61D8" w:rsidRDefault="000A61D8" w:rsidP="009C0728"/>
    <w:p w14:paraId="2C7776B2" w14:textId="53C5B038" w:rsidR="005C789A" w:rsidRDefault="005C789A" w:rsidP="00722B66">
      <w:pPr>
        <w:jc w:val="both"/>
      </w:pPr>
    </w:p>
    <w:p w14:paraId="620635AD" w14:textId="52C657B8" w:rsidR="0091257D" w:rsidRDefault="0091257D" w:rsidP="00722B66">
      <w:pPr>
        <w:jc w:val="both"/>
      </w:pPr>
    </w:p>
    <w:p w14:paraId="1E1FFCE5" w14:textId="085F168C" w:rsidR="0091257D" w:rsidRDefault="0091257D" w:rsidP="00722B66">
      <w:pPr>
        <w:jc w:val="both"/>
      </w:pPr>
    </w:p>
    <w:p w14:paraId="42F0AEA8" w14:textId="69C54D67" w:rsidR="0091257D" w:rsidRDefault="0091257D" w:rsidP="00722B66">
      <w:pPr>
        <w:jc w:val="both"/>
      </w:pPr>
    </w:p>
    <w:p w14:paraId="5137634D" w14:textId="276A1C8F" w:rsidR="0091257D" w:rsidRDefault="0091257D" w:rsidP="00722B66">
      <w:pPr>
        <w:jc w:val="both"/>
      </w:pPr>
    </w:p>
    <w:p w14:paraId="2CD6719E" w14:textId="0A458C52" w:rsidR="0091257D" w:rsidRDefault="0091257D" w:rsidP="00722B66">
      <w:pPr>
        <w:jc w:val="both"/>
      </w:pPr>
    </w:p>
    <w:p w14:paraId="2924D479" w14:textId="09EB7EEF" w:rsidR="0091257D" w:rsidRDefault="0091257D" w:rsidP="00722B66">
      <w:pPr>
        <w:jc w:val="both"/>
      </w:pPr>
    </w:p>
    <w:p w14:paraId="2A7156BD" w14:textId="7C22EB43" w:rsidR="0091257D" w:rsidRDefault="0091257D" w:rsidP="00722B66">
      <w:pPr>
        <w:jc w:val="both"/>
      </w:pPr>
    </w:p>
    <w:p w14:paraId="62A8724F" w14:textId="77777777" w:rsidR="0091257D" w:rsidRDefault="0091257D" w:rsidP="00722B66">
      <w:pPr>
        <w:jc w:val="both"/>
      </w:pPr>
    </w:p>
    <w:p w14:paraId="4929B402" w14:textId="29DA1EB5" w:rsidR="00250240" w:rsidRDefault="00250240" w:rsidP="00722B66">
      <w:pPr>
        <w:jc w:val="both"/>
      </w:pPr>
    </w:p>
    <w:p w14:paraId="2FD8DC26" w14:textId="5282E6ED" w:rsidR="00250240" w:rsidRDefault="00250240" w:rsidP="00722B66">
      <w:pPr>
        <w:jc w:val="both"/>
      </w:pPr>
    </w:p>
    <w:p w14:paraId="02E1F3BC" w14:textId="50E4EF36" w:rsidR="00250240" w:rsidRDefault="00250240" w:rsidP="00722B66">
      <w:pPr>
        <w:jc w:val="both"/>
      </w:pPr>
    </w:p>
    <w:p w14:paraId="79B9CCEB" w14:textId="6E64FEDF" w:rsidR="00250240" w:rsidRDefault="00250240" w:rsidP="00722B66">
      <w:pPr>
        <w:jc w:val="both"/>
      </w:pPr>
    </w:p>
    <w:p w14:paraId="3392B137" w14:textId="1C57B8B4" w:rsidR="00250240" w:rsidRDefault="00250240" w:rsidP="00722B66">
      <w:pPr>
        <w:jc w:val="both"/>
      </w:pPr>
    </w:p>
    <w:p w14:paraId="6C55883C" w14:textId="3D80A364" w:rsidR="00250240" w:rsidRDefault="00250240" w:rsidP="00722B66">
      <w:pPr>
        <w:jc w:val="both"/>
      </w:pPr>
    </w:p>
    <w:p w14:paraId="0B090EF8" w14:textId="2986F4BE" w:rsidR="005903AE" w:rsidRDefault="005903AE">
      <w:r>
        <w:br w:type="page"/>
      </w:r>
    </w:p>
    <w:p w14:paraId="7E11487A" w14:textId="77777777" w:rsidR="00E36050" w:rsidRDefault="00E36050" w:rsidP="00E36050">
      <w:pPr>
        <w:pStyle w:val="Kop3"/>
        <w:numPr>
          <w:ilvl w:val="0"/>
          <w:numId w:val="24"/>
        </w:numPr>
      </w:pPr>
      <w:r>
        <w:lastRenderedPageBreak/>
        <w:t>Correcties voor aftoetsing aan de begrotingsdoelstellingen</w:t>
      </w:r>
    </w:p>
    <w:p w14:paraId="78166AE6" w14:textId="77777777" w:rsidR="00E36050" w:rsidRDefault="00E36050" w:rsidP="00E36050"/>
    <w:p w14:paraId="53732FC8" w14:textId="6B721165" w:rsidR="003A279E" w:rsidRDefault="004A288D" w:rsidP="00D82180">
      <w:pPr>
        <w:spacing w:after="120"/>
        <w:jc w:val="both"/>
      </w:pPr>
      <w:r>
        <w:t xml:space="preserve">Tabel </w:t>
      </w:r>
      <w:r w:rsidR="003C744A">
        <w:t>8</w:t>
      </w:r>
      <w:r w:rsidR="00E36050">
        <w:t>. Overzicht correcties</w:t>
      </w:r>
      <w:r w:rsidR="00D74DC9">
        <w:t xml:space="preserve"> voor aftoetsing begrotingsdoestelling</w:t>
      </w:r>
    </w:p>
    <w:p w14:paraId="12123C6A" w14:textId="60A47790" w:rsidR="009E7F71" w:rsidRDefault="009E7F71" w:rsidP="00D82180">
      <w:pPr>
        <w:spacing w:after="120"/>
        <w:jc w:val="both"/>
      </w:pPr>
    </w:p>
    <w:tbl>
      <w:tblPr>
        <w:tblW w:w="5000" w:type="pct"/>
        <w:tblCellMar>
          <w:left w:w="70" w:type="dxa"/>
          <w:right w:w="70" w:type="dxa"/>
        </w:tblCellMar>
        <w:tblLook w:val="04A0" w:firstRow="1" w:lastRow="0" w:firstColumn="1" w:lastColumn="0" w:noHBand="0" w:noVBand="1"/>
      </w:tblPr>
      <w:tblGrid>
        <w:gridCol w:w="3964"/>
        <w:gridCol w:w="932"/>
        <w:gridCol w:w="749"/>
        <w:gridCol w:w="774"/>
        <w:gridCol w:w="609"/>
        <w:gridCol w:w="674"/>
        <w:gridCol w:w="553"/>
        <w:gridCol w:w="807"/>
      </w:tblGrid>
      <w:tr w:rsidR="00687650" w:rsidRPr="009E7F71" w14:paraId="6F5B5398" w14:textId="77777777" w:rsidTr="00687650">
        <w:trPr>
          <w:trHeight w:val="295"/>
        </w:trPr>
        <w:tc>
          <w:tcPr>
            <w:tcW w:w="2187" w:type="pct"/>
            <w:tcBorders>
              <w:top w:val="single" w:sz="4" w:space="0" w:color="auto"/>
              <w:left w:val="single" w:sz="4" w:space="0" w:color="auto"/>
              <w:bottom w:val="nil"/>
              <w:right w:val="nil"/>
            </w:tcBorders>
            <w:shd w:val="clear" w:color="auto" w:fill="auto"/>
            <w:noWrap/>
            <w:vAlign w:val="center"/>
            <w:hideMark/>
          </w:tcPr>
          <w:p w14:paraId="2FB9AF78" w14:textId="77777777" w:rsidR="009E7F71" w:rsidRPr="009E7F71" w:rsidRDefault="009E7F71" w:rsidP="009E7F71">
            <w:pPr>
              <w:rPr>
                <w:rFonts w:ascii="Calibri" w:eastAsia="Times New Roman" w:hAnsi="Calibri" w:cs="Calibri"/>
                <w:b/>
                <w:bCs/>
                <w:color w:val="000000"/>
                <w:sz w:val="18"/>
                <w:szCs w:val="18"/>
                <w:lang w:eastAsia="nl-BE"/>
              </w:rPr>
            </w:pPr>
            <w:r w:rsidRPr="009E7F71">
              <w:rPr>
                <w:rFonts w:ascii="Calibri" w:eastAsia="Times New Roman" w:hAnsi="Calibri" w:cs="Calibri"/>
                <w:b/>
                <w:bCs/>
                <w:color w:val="000000"/>
                <w:sz w:val="18"/>
                <w:szCs w:val="18"/>
                <w:lang w:eastAsia="nl-BE"/>
              </w:rPr>
              <w:t>In mio euro</w:t>
            </w:r>
          </w:p>
        </w:tc>
        <w:tc>
          <w:tcPr>
            <w:tcW w:w="5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8D57E1" w14:textId="77777777" w:rsidR="009E7F71" w:rsidRPr="009E7F71" w:rsidRDefault="009E7F71" w:rsidP="009E7F71">
            <w:pPr>
              <w:jc w:val="center"/>
              <w:rPr>
                <w:rFonts w:ascii="Calibri" w:eastAsia="Times New Roman" w:hAnsi="Calibri" w:cs="Calibri"/>
                <w:b/>
                <w:bCs/>
                <w:color w:val="000000"/>
                <w:sz w:val="18"/>
                <w:szCs w:val="18"/>
                <w:lang w:eastAsia="nl-BE"/>
              </w:rPr>
            </w:pPr>
            <w:r w:rsidRPr="009E7F71">
              <w:rPr>
                <w:rFonts w:ascii="Calibri" w:eastAsia="Times New Roman" w:hAnsi="Calibri" w:cs="Calibri"/>
                <w:b/>
                <w:bCs/>
                <w:color w:val="000000"/>
                <w:sz w:val="18"/>
                <w:szCs w:val="18"/>
                <w:lang w:eastAsia="nl-BE"/>
              </w:rPr>
              <w:t>BA 2019</w:t>
            </w:r>
          </w:p>
        </w:tc>
        <w:tc>
          <w:tcPr>
            <w:tcW w:w="4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70F894" w14:textId="77777777" w:rsidR="009E7F71" w:rsidRPr="009E7F71" w:rsidRDefault="009E7F71" w:rsidP="009E7F71">
            <w:pPr>
              <w:jc w:val="center"/>
              <w:rPr>
                <w:rFonts w:ascii="Calibri" w:eastAsia="Times New Roman" w:hAnsi="Calibri" w:cs="Calibri"/>
                <w:b/>
                <w:bCs/>
                <w:color w:val="000000"/>
                <w:sz w:val="18"/>
                <w:szCs w:val="18"/>
                <w:lang w:eastAsia="nl-BE"/>
              </w:rPr>
            </w:pPr>
            <w:r w:rsidRPr="009E7F71">
              <w:rPr>
                <w:rFonts w:ascii="Calibri" w:eastAsia="Times New Roman" w:hAnsi="Calibri" w:cs="Calibri"/>
                <w:b/>
                <w:bCs/>
                <w:color w:val="000000"/>
                <w:sz w:val="18"/>
                <w:szCs w:val="18"/>
                <w:lang w:eastAsia="nl-BE"/>
              </w:rPr>
              <w:t>Dec</w:t>
            </w:r>
          </w:p>
        </w:tc>
        <w:tc>
          <w:tcPr>
            <w:tcW w:w="4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FD1531" w14:textId="77777777" w:rsidR="009E7F71" w:rsidRPr="009E7F71" w:rsidRDefault="009E7F71" w:rsidP="009E7F71">
            <w:pPr>
              <w:jc w:val="center"/>
              <w:rPr>
                <w:rFonts w:ascii="Calibri" w:eastAsia="Times New Roman" w:hAnsi="Calibri" w:cs="Calibri"/>
                <w:b/>
                <w:bCs/>
                <w:color w:val="000000"/>
                <w:sz w:val="18"/>
                <w:szCs w:val="18"/>
                <w:lang w:eastAsia="nl-BE"/>
              </w:rPr>
            </w:pPr>
            <w:r w:rsidRPr="009E7F71">
              <w:rPr>
                <w:rFonts w:ascii="Calibri" w:eastAsia="Times New Roman" w:hAnsi="Calibri" w:cs="Calibri"/>
                <w:b/>
                <w:bCs/>
                <w:color w:val="000000"/>
                <w:sz w:val="18"/>
                <w:szCs w:val="18"/>
                <w:lang w:eastAsia="nl-BE"/>
              </w:rPr>
              <w:t>Feb</w:t>
            </w:r>
          </w:p>
        </w:tc>
        <w:tc>
          <w:tcPr>
            <w:tcW w:w="708" w:type="pct"/>
            <w:gridSpan w:val="2"/>
            <w:tcBorders>
              <w:top w:val="single" w:sz="4" w:space="0" w:color="auto"/>
              <w:left w:val="nil"/>
              <w:bottom w:val="single" w:sz="4" w:space="0" w:color="auto"/>
              <w:right w:val="single" w:sz="4" w:space="0" w:color="auto"/>
            </w:tcBorders>
            <w:shd w:val="clear" w:color="auto" w:fill="auto"/>
            <w:vAlign w:val="center"/>
            <w:hideMark/>
          </w:tcPr>
          <w:p w14:paraId="4622CC75" w14:textId="77777777" w:rsidR="009E7F71" w:rsidRPr="009E7F71" w:rsidRDefault="009E7F71" w:rsidP="009E7F71">
            <w:pPr>
              <w:jc w:val="center"/>
              <w:rPr>
                <w:rFonts w:ascii="Calibri" w:eastAsia="Times New Roman" w:hAnsi="Calibri" w:cs="Calibri"/>
                <w:b/>
                <w:bCs/>
                <w:color w:val="000000"/>
                <w:sz w:val="18"/>
                <w:szCs w:val="18"/>
                <w:lang w:eastAsia="nl-BE"/>
              </w:rPr>
            </w:pPr>
            <w:r w:rsidRPr="009E7F71">
              <w:rPr>
                <w:rFonts w:ascii="Calibri" w:eastAsia="Times New Roman" w:hAnsi="Calibri" w:cs="Calibri"/>
                <w:b/>
                <w:bCs/>
                <w:color w:val="000000"/>
                <w:sz w:val="18"/>
                <w:szCs w:val="18"/>
                <w:lang w:eastAsia="nl-BE"/>
              </w:rPr>
              <w:t>Feb vs BA</w:t>
            </w:r>
          </w:p>
        </w:tc>
        <w:tc>
          <w:tcPr>
            <w:tcW w:w="750" w:type="pct"/>
            <w:gridSpan w:val="2"/>
            <w:tcBorders>
              <w:top w:val="single" w:sz="4" w:space="0" w:color="auto"/>
              <w:left w:val="nil"/>
              <w:bottom w:val="single" w:sz="4" w:space="0" w:color="auto"/>
              <w:right w:val="single" w:sz="4" w:space="0" w:color="auto"/>
            </w:tcBorders>
            <w:shd w:val="clear" w:color="auto" w:fill="auto"/>
            <w:vAlign w:val="center"/>
            <w:hideMark/>
          </w:tcPr>
          <w:p w14:paraId="400A89F5" w14:textId="77777777" w:rsidR="009E7F71" w:rsidRPr="009E7F71" w:rsidRDefault="009E7F71" w:rsidP="009E7F71">
            <w:pPr>
              <w:jc w:val="center"/>
              <w:rPr>
                <w:rFonts w:ascii="Calibri" w:eastAsia="Times New Roman" w:hAnsi="Calibri" w:cs="Calibri"/>
                <w:b/>
                <w:bCs/>
                <w:color w:val="000000"/>
                <w:sz w:val="18"/>
                <w:szCs w:val="18"/>
                <w:lang w:eastAsia="nl-BE"/>
              </w:rPr>
            </w:pPr>
            <w:r w:rsidRPr="009E7F71">
              <w:rPr>
                <w:rFonts w:ascii="Calibri" w:eastAsia="Times New Roman" w:hAnsi="Calibri" w:cs="Calibri"/>
                <w:b/>
                <w:bCs/>
                <w:color w:val="000000"/>
                <w:sz w:val="18"/>
                <w:szCs w:val="18"/>
                <w:lang w:eastAsia="nl-BE"/>
              </w:rPr>
              <w:t>Feb vs Dec</w:t>
            </w:r>
          </w:p>
        </w:tc>
      </w:tr>
      <w:tr w:rsidR="00687650" w:rsidRPr="009E7F71" w14:paraId="3F3588E2" w14:textId="77777777" w:rsidTr="00687650">
        <w:trPr>
          <w:trHeight w:val="290"/>
        </w:trPr>
        <w:tc>
          <w:tcPr>
            <w:tcW w:w="2187" w:type="pct"/>
            <w:tcBorders>
              <w:top w:val="nil"/>
              <w:left w:val="single" w:sz="4" w:space="0" w:color="auto"/>
              <w:bottom w:val="single" w:sz="4" w:space="0" w:color="auto"/>
              <w:right w:val="nil"/>
            </w:tcBorders>
            <w:shd w:val="clear" w:color="auto" w:fill="auto"/>
            <w:noWrap/>
            <w:vAlign w:val="center"/>
            <w:hideMark/>
          </w:tcPr>
          <w:p w14:paraId="1DA2D506" w14:textId="77777777" w:rsidR="009E7F71" w:rsidRPr="009E7F71" w:rsidRDefault="009E7F71" w:rsidP="009E7F71">
            <w:pPr>
              <w:rPr>
                <w:rFonts w:ascii="Calibri" w:eastAsia="Times New Roman" w:hAnsi="Calibri" w:cs="Calibri"/>
                <w:color w:val="000000"/>
                <w:sz w:val="18"/>
                <w:szCs w:val="18"/>
                <w:lang w:eastAsia="nl-BE"/>
              </w:rPr>
            </w:pPr>
            <w:r w:rsidRPr="009E7F71">
              <w:rPr>
                <w:rFonts w:ascii="Calibri" w:eastAsia="Times New Roman" w:hAnsi="Calibri" w:cs="Calibri"/>
                <w:color w:val="000000"/>
                <w:sz w:val="18"/>
                <w:szCs w:val="18"/>
                <w:lang w:eastAsia="nl-BE"/>
              </w:rPr>
              <w:t> </w:t>
            </w:r>
          </w:p>
        </w:tc>
        <w:tc>
          <w:tcPr>
            <w:tcW w:w="514" w:type="pct"/>
            <w:vMerge/>
            <w:tcBorders>
              <w:top w:val="single" w:sz="4" w:space="0" w:color="auto"/>
              <w:left w:val="single" w:sz="4" w:space="0" w:color="auto"/>
              <w:bottom w:val="single" w:sz="4" w:space="0" w:color="auto"/>
              <w:right w:val="single" w:sz="4" w:space="0" w:color="auto"/>
            </w:tcBorders>
            <w:vAlign w:val="center"/>
            <w:hideMark/>
          </w:tcPr>
          <w:p w14:paraId="0AD302C0" w14:textId="77777777" w:rsidR="009E7F71" w:rsidRPr="009E7F71" w:rsidRDefault="009E7F71" w:rsidP="009E7F71">
            <w:pPr>
              <w:rPr>
                <w:rFonts w:ascii="Calibri" w:eastAsia="Times New Roman" w:hAnsi="Calibri" w:cs="Calibri"/>
                <w:b/>
                <w:bCs/>
                <w:color w:val="000000"/>
                <w:sz w:val="18"/>
                <w:szCs w:val="18"/>
                <w:lang w:eastAsia="nl-BE"/>
              </w:rPr>
            </w:pPr>
          </w:p>
        </w:tc>
        <w:tc>
          <w:tcPr>
            <w:tcW w:w="413" w:type="pct"/>
            <w:vMerge/>
            <w:tcBorders>
              <w:top w:val="single" w:sz="4" w:space="0" w:color="auto"/>
              <w:left w:val="single" w:sz="4" w:space="0" w:color="auto"/>
              <w:bottom w:val="single" w:sz="4" w:space="0" w:color="auto"/>
              <w:right w:val="single" w:sz="4" w:space="0" w:color="auto"/>
            </w:tcBorders>
            <w:vAlign w:val="center"/>
            <w:hideMark/>
          </w:tcPr>
          <w:p w14:paraId="5C1D42BC" w14:textId="77777777" w:rsidR="009E7F71" w:rsidRPr="009E7F71" w:rsidRDefault="009E7F71" w:rsidP="009E7F71">
            <w:pPr>
              <w:rPr>
                <w:rFonts w:ascii="Calibri" w:eastAsia="Times New Roman" w:hAnsi="Calibri" w:cs="Calibri"/>
                <w:b/>
                <w:bCs/>
                <w:color w:val="000000"/>
                <w:sz w:val="18"/>
                <w:szCs w:val="18"/>
                <w:lang w:eastAsia="nl-BE"/>
              </w:rPr>
            </w:pPr>
          </w:p>
        </w:tc>
        <w:tc>
          <w:tcPr>
            <w:tcW w:w="427" w:type="pct"/>
            <w:vMerge/>
            <w:tcBorders>
              <w:top w:val="single" w:sz="4" w:space="0" w:color="auto"/>
              <w:left w:val="single" w:sz="4" w:space="0" w:color="auto"/>
              <w:bottom w:val="single" w:sz="4" w:space="0" w:color="auto"/>
              <w:right w:val="single" w:sz="4" w:space="0" w:color="auto"/>
            </w:tcBorders>
            <w:vAlign w:val="center"/>
            <w:hideMark/>
          </w:tcPr>
          <w:p w14:paraId="69960EF8" w14:textId="77777777" w:rsidR="009E7F71" w:rsidRPr="009E7F71" w:rsidRDefault="009E7F71" w:rsidP="009E7F71">
            <w:pPr>
              <w:rPr>
                <w:rFonts w:ascii="Calibri" w:eastAsia="Times New Roman" w:hAnsi="Calibri" w:cs="Calibri"/>
                <w:b/>
                <w:bCs/>
                <w:color w:val="000000"/>
                <w:sz w:val="18"/>
                <w:szCs w:val="18"/>
                <w:lang w:eastAsia="nl-BE"/>
              </w:rPr>
            </w:pPr>
          </w:p>
        </w:tc>
        <w:tc>
          <w:tcPr>
            <w:tcW w:w="336" w:type="pct"/>
            <w:tcBorders>
              <w:top w:val="nil"/>
              <w:left w:val="nil"/>
              <w:bottom w:val="single" w:sz="4" w:space="0" w:color="auto"/>
              <w:right w:val="nil"/>
            </w:tcBorders>
            <w:shd w:val="clear" w:color="auto" w:fill="auto"/>
            <w:noWrap/>
            <w:vAlign w:val="center"/>
            <w:hideMark/>
          </w:tcPr>
          <w:p w14:paraId="3CC936C8" w14:textId="77777777" w:rsidR="009E7F71" w:rsidRPr="009E7F71" w:rsidRDefault="009E7F71" w:rsidP="009E7F71">
            <w:pPr>
              <w:jc w:val="center"/>
              <w:rPr>
                <w:rFonts w:ascii="Calibri" w:eastAsia="Times New Roman" w:hAnsi="Calibri" w:cs="Calibri"/>
                <w:color w:val="000000"/>
                <w:sz w:val="18"/>
                <w:szCs w:val="18"/>
                <w:lang w:eastAsia="nl-BE"/>
              </w:rPr>
            </w:pPr>
            <w:r w:rsidRPr="009E7F71">
              <w:rPr>
                <w:rFonts w:ascii="Calibri" w:eastAsia="Times New Roman" w:hAnsi="Calibri" w:cs="Calibri"/>
                <w:color w:val="000000"/>
                <w:sz w:val="18"/>
                <w:szCs w:val="18"/>
                <w:lang w:eastAsia="nl-BE"/>
              </w:rPr>
              <w:t>Delta</w:t>
            </w:r>
          </w:p>
        </w:tc>
        <w:tc>
          <w:tcPr>
            <w:tcW w:w="372" w:type="pct"/>
            <w:tcBorders>
              <w:top w:val="nil"/>
              <w:left w:val="single" w:sz="4" w:space="0" w:color="auto"/>
              <w:bottom w:val="single" w:sz="4" w:space="0" w:color="auto"/>
              <w:right w:val="single" w:sz="4" w:space="0" w:color="auto"/>
            </w:tcBorders>
            <w:shd w:val="clear" w:color="auto" w:fill="auto"/>
            <w:noWrap/>
            <w:vAlign w:val="center"/>
            <w:hideMark/>
          </w:tcPr>
          <w:p w14:paraId="0E4765B5" w14:textId="77777777" w:rsidR="009E7F71" w:rsidRPr="009E7F71" w:rsidRDefault="009E7F71" w:rsidP="009E7F71">
            <w:pPr>
              <w:jc w:val="center"/>
              <w:rPr>
                <w:rFonts w:ascii="Calibri" w:eastAsia="Times New Roman" w:hAnsi="Calibri" w:cs="Calibri"/>
                <w:color w:val="000000"/>
                <w:sz w:val="18"/>
                <w:szCs w:val="18"/>
                <w:lang w:eastAsia="nl-BE"/>
              </w:rPr>
            </w:pPr>
            <w:r w:rsidRPr="009E7F71">
              <w:rPr>
                <w:rFonts w:ascii="Calibri" w:eastAsia="Times New Roman" w:hAnsi="Calibri" w:cs="Calibri"/>
                <w:color w:val="000000"/>
                <w:sz w:val="18"/>
                <w:szCs w:val="18"/>
                <w:lang w:eastAsia="nl-BE"/>
              </w:rPr>
              <w:t>%</w:t>
            </w:r>
          </w:p>
        </w:tc>
        <w:tc>
          <w:tcPr>
            <w:tcW w:w="305" w:type="pct"/>
            <w:tcBorders>
              <w:top w:val="nil"/>
              <w:left w:val="nil"/>
              <w:bottom w:val="single" w:sz="4" w:space="0" w:color="auto"/>
              <w:right w:val="single" w:sz="4" w:space="0" w:color="auto"/>
            </w:tcBorders>
            <w:shd w:val="clear" w:color="auto" w:fill="auto"/>
            <w:noWrap/>
            <w:vAlign w:val="center"/>
            <w:hideMark/>
          </w:tcPr>
          <w:p w14:paraId="64159C6E" w14:textId="77777777" w:rsidR="009E7F71" w:rsidRPr="009E7F71" w:rsidRDefault="009E7F71" w:rsidP="009E7F71">
            <w:pPr>
              <w:jc w:val="center"/>
              <w:rPr>
                <w:rFonts w:ascii="Calibri" w:eastAsia="Times New Roman" w:hAnsi="Calibri" w:cs="Calibri"/>
                <w:color w:val="000000"/>
                <w:sz w:val="18"/>
                <w:szCs w:val="18"/>
                <w:lang w:eastAsia="nl-BE"/>
              </w:rPr>
            </w:pPr>
            <w:r w:rsidRPr="009E7F71">
              <w:rPr>
                <w:rFonts w:ascii="Calibri" w:eastAsia="Times New Roman" w:hAnsi="Calibri" w:cs="Calibri"/>
                <w:color w:val="000000"/>
                <w:sz w:val="18"/>
                <w:szCs w:val="18"/>
                <w:lang w:eastAsia="nl-BE"/>
              </w:rPr>
              <w:t>Delta</w:t>
            </w:r>
          </w:p>
        </w:tc>
        <w:tc>
          <w:tcPr>
            <w:tcW w:w="445" w:type="pct"/>
            <w:tcBorders>
              <w:top w:val="nil"/>
              <w:left w:val="nil"/>
              <w:bottom w:val="single" w:sz="4" w:space="0" w:color="auto"/>
              <w:right w:val="single" w:sz="4" w:space="0" w:color="auto"/>
            </w:tcBorders>
            <w:shd w:val="clear" w:color="auto" w:fill="auto"/>
            <w:noWrap/>
            <w:vAlign w:val="center"/>
            <w:hideMark/>
          </w:tcPr>
          <w:p w14:paraId="2C1F1356" w14:textId="77777777" w:rsidR="009E7F71" w:rsidRPr="009E7F71" w:rsidRDefault="009E7F71" w:rsidP="009E7F71">
            <w:pPr>
              <w:jc w:val="center"/>
              <w:rPr>
                <w:rFonts w:ascii="Calibri" w:eastAsia="Times New Roman" w:hAnsi="Calibri" w:cs="Calibri"/>
                <w:color w:val="000000"/>
                <w:sz w:val="18"/>
                <w:szCs w:val="18"/>
                <w:lang w:eastAsia="nl-BE"/>
              </w:rPr>
            </w:pPr>
            <w:r w:rsidRPr="009E7F71">
              <w:rPr>
                <w:rFonts w:ascii="Calibri" w:eastAsia="Times New Roman" w:hAnsi="Calibri" w:cs="Calibri"/>
                <w:color w:val="000000"/>
                <w:sz w:val="18"/>
                <w:szCs w:val="18"/>
                <w:lang w:eastAsia="nl-BE"/>
              </w:rPr>
              <w:t>%</w:t>
            </w:r>
          </w:p>
        </w:tc>
      </w:tr>
      <w:tr w:rsidR="00687650" w:rsidRPr="009E7F71" w14:paraId="474AB473" w14:textId="77777777" w:rsidTr="00687650">
        <w:trPr>
          <w:trHeight w:val="290"/>
        </w:trPr>
        <w:tc>
          <w:tcPr>
            <w:tcW w:w="2187" w:type="pct"/>
            <w:tcBorders>
              <w:top w:val="nil"/>
              <w:left w:val="single" w:sz="4" w:space="0" w:color="auto"/>
              <w:bottom w:val="single" w:sz="4" w:space="0" w:color="auto"/>
              <w:right w:val="single" w:sz="4" w:space="0" w:color="auto"/>
            </w:tcBorders>
            <w:shd w:val="clear" w:color="auto" w:fill="auto"/>
            <w:vAlign w:val="center"/>
            <w:hideMark/>
          </w:tcPr>
          <w:p w14:paraId="03D11A40" w14:textId="77777777" w:rsidR="009E7F71" w:rsidRPr="009E7F71" w:rsidRDefault="009E7F71" w:rsidP="009E7F71">
            <w:pPr>
              <w:rPr>
                <w:rFonts w:ascii="Calibri" w:eastAsia="Times New Roman" w:hAnsi="Calibri" w:cs="Calibri"/>
                <w:color w:val="000000"/>
                <w:sz w:val="18"/>
                <w:szCs w:val="18"/>
                <w:lang w:eastAsia="nl-BE"/>
              </w:rPr>
            </w:pPr>
            <w:r w:rsidRPr="009E7F71">
              <w:rPr>
                <w:rFonts w:ascii="Calibri" w:eastAsia="Times New Roman" w:hAnsi="Calibri" w:cs="Calibri"/>
                <w:color w:val="000000"/>
                <w:sz w:val="18"/>
                <w:szCs w:val="18"/>
                <w:lang w:eastAsia="nl-BE"/>
              </w:rPr>
              <w:t>Bouwkost Oosterweel (incl. rente)</w:t>
            </w:r>
          </w:p>
        </w:tc>
        <w:tc>
          <w:tcPr>
            <w:tcW w:w="514" w:type="pct"/>
            <w:tcBorders>
              <w:top w:val="nil"/>
              <w:left w:val="nil"/>
              <w:bottom w:val="single" w:sz="4" w:space="0" w:color="auto"/>
              <w:right w:val="single" w:sz="4" w:space="0" w:color="auto"/>
            </w:tcBorders>
            <w:shd w:val="clear" w:color="auto" w:fill="auto"/>
            <w:vAlign w:val="center"/>
            <w:hideMark/>
          </w:tcPr>
          <w:p w14:paraId="07E8BC0E" w14:textId="77777777" w:rsidR="009E7F71" w:rsidRPr="009E7F71" w:rsidRDefault="009E7F71" w:rsidP="009E7F71">
            <w:pPr>
              <w:jc w:val="right"/>
              <w:rPr>
                <w:rFonts w:ascii="Calibri" w:eastAsia="Times New Roman" w:hAnsi="Calibri" w:cs="Calibri"/>
                <w:color w:val="000000"/>
                <w:sz w:val="18"/>
                <w:szCs w:val="18"/>
                <w:lang w:eastAsia="nl-BE"/>
              </w:rPr>
            </w:pPr>
            <w:r w:rsidRPr="009E7F71">
              <w:rPr>
                <w:rFonts w:ascii="Calibri" w:eastAsia="Times New Roman" w:hAnsi="Calibri" w:cs="Calibri"/>
                <w:color w:val="000000"/>
                <w:sz w:val="18"/>
                <w:szCs w:val="18"/>
                <w:lang w:eastAsia="nl-BE"/>
              </w:rPr>
              <w:t>72,9</w:t>
            </w:r>
          </w:p>
        </w:tc>
        <w:tc>
          <w:tcPr>
            <w:tcW w:w="413" w:type="pct"/>
            <w:tcBorders>
              <w:top w:val="nil"/>
              <w:left w:val="nil"/>
              <w:bottom w:val="single" w:sz="4" w:space="0" w:color="auto"/>
              <w:right w:val="single" w:sz="4" w:space="0" w:color="auto"/>
            </w:tcBorders>
            <w:shd w:val="clear" w:color="auto" w:fill="auto"/>
            <w:vAlign w:val="center"/>
            <w:hideMark/>
          </w:tcPr>
          <w:p w14:paraId="06831E69" w14:textId="77777777" w:rsidR="009E7F71" w:rsidRPr="009E7F71" w:rsidRDefault="009E7F71" w:rsidP="009E7F71">
            <w:pPr>
              <w:jc w:val="right"/>
              <w:rPr>
                <w:rFonts w:ascii="Calibri" w:eastAsia="Times New Roman" w:hAnsi="Calibri" w:cs="Calibri"/>
                <w:color w:val="000000"/>
                <w:sz w:val="18"/>
                <w:szCs w:val="18"/>
                <w:lang w:eastAsia="nl-BE"/>
              </w:rPr>
            </w:pPr>
            <w:r w:rsidRPr="009E7F71">
              <w:rPr>
                <w:rFonts w:ascii="Calibri" w:eastAsia="Times New Roman" w:hAnsi="Calibri" w:cs="Calibri"/>
                <w:color w:val="000000"/>
                <w:sz w:val="18"/>
                <w:szCs w:val="18"/>
                <w:lang w:eastAsia="nl-BE"/>
              </w:rPr>
              <w:t>57,0</w:t>
            </w:r>
          </w:p>
        </w:tc>
        <w:tc>
          <w:tcPr>
            <w:tcW w:w="427" w:type="pct"/>
            <w:tcBorders>
              <w:top w:val="nil"/>
              <w:left w:val="nil"/>
              <w:bottom w:val="single" w:sz="4" w:space="0" w:color="auto"/>
              <w:right w:val="single" w:sz="4" w:space="0" w:color="auto"/>
            </w:tcBorders>
            <w:shd w:val="clear" w:color="auto" w:fill="auto"/>
            <w:vAlign w:val="center"/>
            <w:hideMark/>
          </w:tcPr>
          <w:p w14:paraId="6F3253E5" w14:textId="77777777" w:rsidR="009E7F71" w:rsidRPr="009E7F71" w:rsidRDefault="009E7F71" w:rsidP="009E7F71">
            <w:pPr>
              <w:jc w:val="right"/>
              <w:rPr>
                <w:rFonts w:ascii="Calibri" w:eastAsia="Times New Roman" w:hAnsi="Calibri" w:cs="Calibri"/>
                <w:color w:val="000000"/>
                <w:sz w:val="18"/>
                <w:szCs w:val="18"/>
                <w:lang w:eastAsia="nl-BE"/>
              </w:rPr>
            </w:pPr>
            <w:r w:rsidRPr="009E7F71">
              <w:rPr>
                <w:rFonts w:ascii="Calibri" w:eastAsia="Times New Roman" w:hAnsi="Calibri" w:cs="Calibri"/>
                <w:color w:val="000000"/>
                <w:sz w:val="18"/>
                <w:szCs w:val="18"/>
                <w:lang w:eastAsia="nl-BE"/>
              </w:rPr>
              <w:t>62,6</w:t>
            </w:r>
          </w:p>
        </w:tc>
        <w:tc>
          <w:tcPr>
            <w:tcW w:w="336" w:type="pct"/>
            <w:tcBorders>
              <w:top w:val="nil"/>
              <w:left w:val="nil"/>
              <w:bottom w:val="single" w:sz="4" w:space="0" w:color="auto"/>
              <w:right w:val="single" w:sz="4" w:space="0" w:color="auto"/>
            </w:tcBorders>
            <w:shd w:val="clear" w:color="auto" w:fill="auto"/>
            <w:vAlign w:val="center"/>
            <w:hideMark/>
          </w:tcPr>
          <w:p w14:paraId="78C96968" w14:textId="77777777" w:rsidR="009E7F71" w:rsidRPr="009E7F71" w:rsidRDefault="009E7F71" w:rsidP="009E7F71">
            <w:pPr>
              <w:jc w:val="right"/>
              <w:rPr>
                <w:rFonts w:ascii="Calibri" w:eastAsia="Times New Roman" w:hAnsi="Calibri" w:cs="Calibri"/>
                <w:color w:val="000000"/>
                <w:sz w:val="18"/>
                <w:szCs w:val="18"/>
                <w:lang w:eastAsia="nl-BE"/>
              </w:rPr>
            </w:pPr>
            <w:r w:rsidRPr="009E7F71">
              <w:rPr>
                <w:rFonts w:ascii="Calibri" w:eastAsia="Times New Roman" w:hAnsi="Calibri" w:cs="Calibri"/>
                <w:color w:val="000000"/>
                <w:sz w:val="18"/>
                <w:szCs w:val="18"/>
                <w:lang w:eastAsia="nl-BE"/>
              </w:rPr>
              <w:t xml:space="preserve">-10,3 </w:t>
            </w:r>
          </w:p>
        </w:tc>
        <w:tc>
          <w:tcPr>
            <w:tcW w:w="372" w:type="pct"/>
            <w:tcBorders>
              <w:top w:val="nil"/>
              <w:left w:val="nil"/>
              <w:bottom w:val="single" w:sz="4" w:space="0" w:color="auto"/>
              <w:right w:val="single" w:sz="4" w:space="0" w:color="auto"/>
            </w:tcBorders>
            <w:shd w:val="clear" w:color="auto" w:fill="auto"/>
            <w:vAlign w:val="center"/>
            <w:hideMark/>
          </w:tcPr>
          <w:p w14:paraId="61DDA64D" w14:textId="77777777" w:rsidR="009E7F71" w:rsidRPr="009E7F71" w:rsidRDefault="009E7F71" w:rsidP="009E7F71">
            <w:pPr>
              <w:jc w:val="right"/>
              <w:rPr>
                <w:rFonts w:ascii="Calibri" w:eastAsia="Times New Roman" w:hAnsi="Calibri" w:cs="Calibri"/>
                <w:color w:val="000000"/>
                <w:sz w:val="18"/>
                <w:szCs w:val="18"/>
                <w:lang w:eastAsia="nl-BE"/>
              </w:rPr>
            </w:pPr>
            <w:r w:rsidRPr="009E7F71">
              <w:rPr>
                <w:rFonts w:ascii="Calibri" w:eastAsia="Times New Roman" w:hAnsi="Calibri" w:cs="Calibri"/>
                <w:color w:val="000000"/>
                <w:sz w:val="18"/>
                <w:szCs w:val="18"/>
                <w:lang w:eastAsia="nl-BE"/>
              </w:rPr>
              <w:t>-14%</w:t>
            </w:r>
          </w:p>
        </w:tc>
        <w:tc>
          <w:tcPr>
            <w:tcW w:w="305" w:type="pct"/>
            <w:tcBorders>
              <w:top w:val="nil"/>
              <w:left w:val="nil"/>
              <w:bottom w:val="single" w:sz="4" w:space="0" w:color="auto"/>
              <w:right w:val="single" w:sz="4" w:space="0" w:color="auto"/>
            </w:tcBorders>
            <w:shd w:val="clear" w:color="auto" w:fill="auto"/>
            <w:noWrap/>
            <w:vAlign w:val="center"/>
            <w:hideMark/>
          </w:tcPr>
          <w:p w14:paraId="0F41CAFE" w14:textId="77777777" w:rsidR="009E7F71" w:rsidRPr="009E7F71" w:rsidRDefault="009E7F71" w:rsidP="009E7F71">
            <w:pPr>
              <w:jc w:val="right"/>
              <w:rPr>
                <w:rFonts w:ascii="Calibri" w:eastAsia="Times New Roman" w:hAnsi="Calibri" w:cs="Calibri"/>
                <w:color w:val="000000"/>
                <w:sz w:val="18"/>
                <w:szCs w:val="18"/>
                <w:lang w:eastAsia="nl-BE"/>
              </w:rPr>
            </w:pPr>
            <w:r w:rsidRPr="009E7F71">
              <w:rPr>
                <w:rFonts w:ascii="Calibri" w:eastAsia="Times New Roman" w:hAnsi="Calibri" w:cs="Calibri"/>
                <w:color w:val="000000"/>
                <w:sz w:val="18"/>
                <w:szCs w:val="18"/>
                <w:lang w:eastAsia="nl-BE"/>
              </w:rPr>
              <w:t>5,6</w:t>
            </w:r>
          </w:p>
        </w:tc>
        <w:tc>
          <w:tcPr>
            <w:tcW w:w="445" w:type="pct"/>
            <w:tcBorders>
              <w:top w:val="nil"/>
              <w:left w:val="nil"/>
              <w:bottom w:val="single" w:sz="4" w:space="0" w:color="auto"/>
              <w:right w:val="single" w:sz="4" w:space="0" w:color="auto"/>
            </w:tcBorders>
            <w:shd w:val="clear" w:color="auto" w:fill="auto"/>
            <w:vAlign w:val="center"/>
            <w:hideMark/>
          </w:tcPr>
          <w:p w14:paraId="6A151EC7" w14:textId="77777777" w:rsidR="009E7F71" w:rsidRPr="009E7F71" w:rsidRDefault="009E7F71" w:rsidP="009E7F71">
            <w:pPr>
              <w:jc w:val="right"/>
              <w:rPr>
                <w:rFonts w:ascii="Calibri" w:eastAsia="Times New Roman" w:hAnsi="Calibri" w:cs="Calibri"/>
                <w:color w:val="000000"/>
                <w:sz w:val="18"/>
                <w:szCs w:val="18"/>
                <w:lang w:eastAsia="nl-BE"/>
              </w:rPr>
            </w:pPr>
            <w:r w:rsidRPr="009E7F71">
              <w:rPr>
                <w:rFonts w:ascii="Calibri" w:eastAsia="Times New Roman" w:hAnsi="Calibri" w:cs="Calibri"/>
                <w:color w:val="000000"/>
                <w:sz w:val="18"/>
                <w:szCs w:val="18"/>
                <w:lang w:eastAsia="nl-BE"/>
              </w:rPr>
              <w:t>10%</w:t>
            </w:r>
          </w:p>
        </w:tc>
      </w:tr>
      <w:tr w:rsidR="00687650" w:rsidRPr="009E7F71" w14:paraId="65216854" w14:textId="77777777" w:rsidTr="00687650">
        <w:trPr>
          <w:trHeight w:val="290"/>
        </w:trPr>
        <w:tc>
          <w:tcPr>
            <w:tcW w:w="2187" w:type="pct"/>
            <w:tcBorders>
              <w:top w:val="nil"/>
              <w:left w:val="single" w:sz="4" w:space="0" w:color="auto"/>
              <w:bottom w:val="single" w:sz="4" w:space="0" w:color="auto"/>
              <w:right w:val="single" w:sz="4" w:space="0" w:color="auto"/>
            </w:tcBorders>
            <w:shd w:val="clear" w:color="auto" w:fill="auto"/>
            <w:vAlign w:val="center"/>
            <w:hideMark/>
          </w:tcPr>
          <w:p w14:paraId="17F978CC" w14:textId="77777777" w:rsidR="009E7F71" w:rsidRPr="009E7F71" w:rsidRDefault="009E7F71" w:rsidP="009E7F71">
            <w:pPr>
              <w:rPr>
                <w:rFonts w:ascii="Calibri" w:eastAsia="Times New Roman" w:hAnsi="Calibri" w:cs="Calibri"/>
                <w:b/>
                <w:bCs/>
                <w:sz w:val="18"/>
                <w:szCs w:val="18"/>
                <w:lang w:eastAsia="nl-BE"/>
              </w:rPr>
            </w:pPr>
            <w:r w:rsidRPr="009E7F71">
              <w:rPr>
                <w:rFonts w:ascii="Calibri" w:eastAsia="Times New Roman" w:hAnsi="Calibri" w:cs="Calibri"/>
                <w:b/>
                <w:bCs/>
                <w:sz w:val="18"/>
                <w:szCs w:val="18"/>
                <w:lang w:eastAsia="nl-BE"/>
              </w:rPr>
              <w:t xml:space="preserve">Correcties voor aftoetsing begrotingdoelstelling </w:t>
            </w:r>
          </w:p>
        </w:tc>
        <w:tc>
          <w:tcPr>
            <w:tcW w:w="514" w:type="pct"/>
            <w:tcBorders>
              <w:top w:val="nil"/>
              <w:left w:val="nil"/>
              <w:bottom w:val="single" w:sz="4" w:space="0" w:color="auto"/>
              <w:right w:val="single" w:sz="4" w:space="0" w:color="auto"/>
            </w:tcBorders>
            <w:shd w:val="clear" w:color="auto" w:fill="auto"/>
            <w:vAlign w:val="center"/>
            <w:hideMark/>
          </w:tcPr>
          <w:p w14:paraId="589BD57E" w14:textId="77777777" w:rsidR="009E7F71" w:rsidRPr="009E7F71" w:rsidRDefault="009E7F71" w:rsidP="009E7F71">
            <w:pPr>
              <w:jc w:val="right"/>
              <w:rPr>
                <w:rFonts w:ascii="Calibri" w:eastAsia="Times New Roman" w:hAnsi="Calibri" w:cs="Calibri"/>
                <w:b/>
                <w:bCs/>
                <w:sz w:val="18"/>
                <w:szCs w:val="18"/>
                <w:lang w:eastAsia="nl-BE"/>
              </w:rPr>
            </w:pPr>
            <w:r w:rsidRPr="009E7F71">
              <w:rPr>
                <w:rFonts w:ascii="Calibri" w:eastAsia="Times New Roman" w:hAnsi="Calibri" w:cs="Calibri"/>
                <w:b/>
                <w:bCs/>
                <w:sz w:val="18"/>
                <w:szCs w:val="18"/>
                <w:lang w:eastAsia="nl-BE"/>
              </w:rPr>
              <w:t>72,9</w:t>
            </w:r>
          </w:p>
        </w:tc>
        <w:tc>
          <w:tcPr>
            <w:tcW w:w="413" w:type="pct"/>
            <w:tcBorders>
              <w:top w:val="nil"/>
              <w:left w:val="nil"/>
              <w:bottom w:val="single" w:sz="4" w:space="0" w:color="auto"/>
              <w:right w:val="single" w:sz="4" w:space="0" w:color="auto"/>
            </w:tcBorders>
            <w:shd w:val="clear" w:color="auto" w:fill="auto"/>
            <w:vAlign w:val="center"/>
            <w:hideMark/>
          </w:tcPr>
          <w:p w14:paraId="6D5A2321" w14:textId="77777777" w:rsidR="009E7F71" w:rsidRPr="009E7F71" w:rsidRDefault="009E7F71" w:rsidP="009E7F71">
            <w:pPr>
              <w:jc w:val="right"/>
              <w:rPr>
                <w:rFonts w:ascii="Calibri" w:eastAsia="Times New Roman" w:hAnsi="Calibri" w:cs="Calibri"/>
                <w:b/>
                <w:bCs/>
                <w:sz w:val="18"/>
                <w:szCs w:val="18"/>
                <w:lang w:eastAsia="nl-BE"/>
              </w:rPr>
            </w:pPr>
            <w:r w:rsidRPr="009E7F71">
              <w:rPr>
                <w:rFonts w:ascii="Calibri" w:eastAsia="Times New Roman" w:hAnsi="Calibri" w:cs="Calibri"/>
                <w:b/>
                <w:bCs/>
                <w:sz w:val="18"/>
                <w:szCs w:val="18"/>
                <w:lang w:eastAsia="nl-BE"/>
              </w:rPr>
              <w:t>57,0</w:t>
            </w:r>
          </w:p>
        </w:tc>
        <w:tc>
          <w:tcPr>
            <w:tcW w:w="427" w:type="pct"/>
            <w:tcBorders>
              <w:top w:val="nil"/>
              <w:left w:val="nil"/>
              <w:bottom w:val="single" w:sz="4" w:space="0" w:color="auto"/>
              <w:right w:val="single" w:sz="4" w:space="0" w:color="auto"/>
            </w:tcBorders>
            <w:shd w:val="clear" w:color="auto" w:fill="auto"/>
            <w:vAlign w:val="center"/>
            <w:hideMark/>
          </w:tcPr>
          <w:p w14:paraId="36029975" w14:textId="77777777" w:rsidR="009E7F71" w:rsidRPr="009E7F71" w:rsidRDefault="009E7F71" w:rsidP="009E7F71">
            <w:pPr>
              <w:jc w:val="right"/>
              <w:rPr>
                <w:rFonts w:ascii="Calibri" w:eastAsia="Times New Roman" w:hAnsi="Calibri" w:cs="Calibri"/>
                <w:b/>
                <w:bCs/>
                <w:sz w:val="18"/>
                <w:szCs w:val="18"/>
                <w:lang w:eastAsia="nl-BE"/>
              </w:rPr>
            </w:pPr>
            <w:r w:rsidRPr="009E7F71">
              <w:rPr>
                <w:rFonts w:ascii="Calibri" w:eastAsia="Times New Roman" w:hAnsi="Calibri" w:cs="Calibri"/>
                <w:b/>
                <w:bCs/>
                <w:sz w:val="18"/>
                <w:szCs w:val="18"/>
                <w:lang w:eastAsia="nl-BE"/>
              </w:rPr>
              <w:t>62,6</w:t>
            </w:r>
          </w:p>
        </w:tc>
        <w:tc>
          <w:tcPr>
            <w:tcW w:w="336" w:type="pct"/>
            <w:tcBorders>
              <w:top w:val="nil"/>
              <w:left w:val="nil"/>
              <w:bottom w:val="single" w:sz="4" w:space="0" w:color="auto"/>
              <w:right w:val="single" w:sz="4" w:space="0" w:color="auto"/>
            </w:tcBorders>
            <w:shd w:val="clear" w:color="auto" w:fill="auto"/>
            <w:vAlign w:val="center"/>
            <w:hideMark/>
          </w:tcPr>
          <w:p w14:paraId="1CC5E9B5" w14:textId="77777777" w:rsidR="009E7F71" w:rsidRPr="009E7F71" w:rsidRDefault="009E7F71" w:rsidP="009E7F71">
            <w:pPr>
              <w:jc w:val="right"/>
              <w:rPr>
                <w:rFonts w:ascii="Calibri" w:eastAsia="Times New Roman" w:hAnsi="Calibri" w:cs="Calibri"/>
                <w:b/>
                <w:bCs/>
                <w:sz w:val="18"/>
                <w:szCs w:val="18"/>
                <w:lang w:eastAsia="nl-BE"/>
              </w:rPr>
            </w:pPr>
            <w:r w:rsidRPr="009E7F71">
              <w:rPr>
                <w:rFonts w:ascii="Calibri" w:eastAsia="Times New Roman" w:hAnsi="Calibri" w:cs="Calibri"/>
                <w:b/>
                <w:bCs/>
                <w:sz w:val="18"/>
                <w:szCs w:val="18"/>
                <w:lang w:eastAsia="nl-BE"/>
              </w:rPr>
              <w:t xml:space="preserve">-10,3 </w:t>
            </w:r>
          </w:p>
        </w:tc>
        <w:tc>
          <w:tcPr>
            <w:tcW w:w="372" w:type="pct"/>
            <w:tcBorders>
              <w:top w:val="nil"/>
              <w:left w:val="nil"/>
              <w:bottom w:val="single" w:sz="4" w:space="0" w:color="auto"/>
              <w:right w:val="single" w:sz="4" w:space="0" w:color="auto"/>
            </w:tcBorders>
            <w:shd w:val="clear" w:color="auto" w:fill="auto"/>
            <w:vAlign w:val="center"/>
            <w:hideMark/>
          </w:tcPr>
          <w:p w14:paraId="6FA3942D" w14:textId="77777777" w:rsidR="009E7F71" w:rsidRPr="009E7F71" w:rsidRDefault="009E7F71" w:rsidP="009E7F71">
            <w:pPr>
              <w:jc w:val="right"/>
              <w:rPr>
                <w:rFonts w:ascii="Calibri" w:eastAsia="Times New Roman" w:hAnsi="Calibri" w:cs="Calibri"/>
                <w:b/>
                <w:bCs/>
                <w:sz w:val="18"/>
                <w:szCs w:val="18"/>
                <w:lang w:eastAsia="nl-BE"/>
              </w:rPr>
            </w:pPr>
            <w:r w:rsidRPr="009E7F71">
              <w:rPr>
                <w:rFonts w:ascii="Calibri" w:eastAsia="Times New Roman" w:hAnsi="Calibri" w:cs="Calibri"/>
                <w:b/>
                <w:bCs/>
                <w:sz w:val="18"/>
                <w:szCs w:val="18"/>
                <w:lang w:eastAsia="nl-BE"/>
              </w:rPr>
              <w:t>-14,1%</w:t>
            </w:r>
          </w:p>
        </w:tc>
        <w:tc>
          <w:tcPr>
            <w:tcW w:w="305" w:type="pct"/>
            <w:tcBorders>
              <w:top w:val="nil"/>
              <w:left w:val="nil"/>
              <w:bottom w:val="single" w:sz="4" w:space="0" w:color="auto"/>
              <w:right w:val="single" w:sz="4" w:space="0" w:color="auto"/>
            </w:tcBorders>
            <w:shd w:val="clear" w:color="auto" w:fill="auto"/>
            <w:noWrap/>
            <w:vAlign w:val="center"/>
            <w:hideMark/>
          </w:tcPr>
          <w:p w14:paraId="717870DD" w14:textId="77777777" w:rsidR="009E7F71" w:rsidRPr="009E7F71" w:rsidRDefault="009E7F71" w:rsidP="009E7F71">
            <w:pPr>
              <w:jc w:val="right"/>
              <w:rPr>
                <w:rFonts w:ascii="Calibri" w:eastAsia="Times New Roman" w:hAnsi="Calibri" w:cs="Calibri"/>
                <w:b/>
                <w:bCs/>
                <w:color w:val="000000"/>
                <w:sz w:val="18"/>
                <w:szCs w:val="18"/>
                <w:lang w:eastAsia="nl-BE"/>
              </w:rPr>
            </w:pPr>
            <w:r w:rsidRPr="009E7F71">
              <w:rPr>
                <w:rFonts w:ascii="Calibri" w:eastAsia="Times New Roman" w:hAnsi="Calibri" w:cs="Calibri"/>
                <w:b/>
                <w:bCs/>
                <w:color w:val="000000"/>
                <w:sz w:val="18"/>
                <w:szCs w:val="18"/>
                <w:lang w:eastAsia="nl-BE"/>
              </w:rPr>
              <w:t>5,6</w:t>
            </w:r>
          </w:p>
        </w:tc>
        <w:tc>
          <w:tcPr>
            <w:tcW w:w="445" w:type="pct"/>
            <w:tcBorders>
              <w:top w:val="nil"/>
              <w:left w:val="nil"/>
              <w:bottom w:val="single" w:sz="4" w:space="0" w:color="auto"/>
              <w:right w:val="single" w:sz="4" w:space="0" w:color="auto"/>
            </w:tcBorders>
            <w:shd w:val="clear" w:color="auto" w:fill="auto"/>
            <w:vAlign w:val="center"/>
            <w:hideMark/>
          </w:tcPr>
          <w:p w14:paraId="348ECB7E" w14:textId="77777777" w:rsidR="009E7F71" w:rsidRPr="009E7F71" w:rsidRDefault="009E7F71" w:rsidP="009E7F71">
            <w:pPr>
              <w:jc w:val="right"/>
              <w:rPr>
                <w:rFonts w:ascii="Calibri" w:eastAsia="Times New Roman" w:hAnsi="Calibri" w:cs="Calibri"/>
                <w:b/>
                <w:bCs/>
                <w:sz w:val="18"/>
                <w:szCs w:val="18"/>
                <w:lang w:eastAsia="nl-BE"/>
              </w:rPr>
            </w:pPr>
            <w:r w:rsidRPr="009E7F71">
              <w:rPr>
                <w:rFonts w:ascii="Calibri" w:eastAsia="Times New Roman" w:hAnsi="Calibri" w:cs="Calibri"/>
                <w:b/>
                <w:bCs/>
                <w:sz w:val="18"/>
                <w:szCs w:val="18"/>
                <w:lang w:eastAsia="nl-BE"/>
              </w:rPr>
              <w:t>9,7%</w:t>
            </w:r>
          </w:p>
        </w:tc>
      </w:tr>
      <w:tr w:rsidR="00687650" w:rsidRPr="009E7F71" w14:paraId="72448755" w14:textId="77777777" w:rsidTr="00687650">
        <w:trPr>
          <w:trHeight w:val="580"/>
        </w:trPr>
        <w:tc>
          <w:tcPr>
            <w:tcW w:w="2187" w:type="pct"/>
            <w:tcBorders>
              <w:top w:val="nil"/>
              <w:left w:val="single" w:sz="4" w:space="0" w:color="auto"/>
              <w:bottom w:val="single" w:sz="4" w:space="0" w:color="auto"/>
              <w:right w:val="single" w:sz="4" w:space="0" w:color="auto"/>
            </w:tcBorders>
            <w:shd w:val="clear" w:color="auto" w:fill="auto"/>
            <w:vAlign w:val="center"/>
            <w:hideMark/>
          </w:tcPr>
          <w:p w14:paraId="4DAC4A43" w14:textId="77777777" w:rsidR="009E7F71" w:rsidRPr="009E7F71" w:rsidRDefault="009E7F71" w:rsidP="009E7F71">
            <w:pPr>
              <w:rPr>
                <w:rFonts w:ascii="Calibri" w:eastAsia="Times New Roman" w:hAnsi="Calibri" w:cs="Calibri"/>
                <w:b/>
                <w:bCs/>
                <w:sz w:val="18"/>
                <w:szCs w:val="18"/>
                <w:lang w:eastAsia="nl-BE"/>
              </w:rPr>
            </w:pPr>
            <w:r w:rsidRPr="009E7F71">
              <w:rPr>
                <w:rFonts w:ascii="Calibri" w:eastAsia="Times New Roman" w:hAnsi="Calibri" w:cs="Calibri"/>
                <w:b/>
                <w:bCs/>
                <w:sz w:val="18"/>
                <w:szCs w:val="18"/>
                <w:lang w:eastAsia="nl-BE"/>
              </w:rPr>
              <w:t>SALDO NA CORRECTIES AFTOETSING BEGROTINGSDOELSTELLING (HRF)</w:t>
            </w:r>
          </w:p>
        </w:tc>
        <w:tc>
          <w:tcPr>
            <w:tcW w:w="514" w:type="pct"/>
            <w:tcBorders>
              <w:top w:val="nil"/>
              <w:left w:val="nil"/>
              <w:bottom w:val="single" w:sz="4" w:space="0" w:color="auto"/>
              <w:right w:val="single" w:sz="4" w:space="0" w:color="auto"/>
            </w:tcBorders>
            <w:shd w:val="clear" w:color="auto" w:fill="auto"/>
            <w:vAlign w:val="center"/>
            <w:hideMark/>
          </w:tcPr>
          <w:p w14:paraId="65A9CDD2" w14:textId="77777777" w:rsidR="009E7F71" w:rsidRPr="009E7F71" w:rsidRDefault="009E7F71" w:rsidP="009E7F71">
            <w:pPr>
              <w:jc w:val="right"/>
              <w:rPr>
                <w:rFonts w:ascii="Calibri" w:eastAsia="Times New Roman" w:hAnsi="Calibri" w:cs="Calibri"/>
                <w:b/>
                <w:bCs/>
                <w:sz w:val="18"/>
                <w:szCs w:val="18"/>
                <w:lang w:eastAsia="nl-BE"/>
              </w:rPr>
            </w:pPr>
            <w:r w:rsidRPr="009E7F71">
              <w:rPr>
                <w:rFonts w:ascii="Calibri" w:eastAsia="Times New Roman" w:hAnsi="Calibri" w:cs="Calibri"/>
                <w:b/>
                <w:bCs/>
                <w:sz w:val="18"/>
                <w:szCs w:val="18"/>
                <w:lang w:eastAsia="nl-BE"/>
              </w:rPr>
              <w:t>154,2</w:t>
            </w:r>
          </w:p>
        </w:tc>
        <w:tc>
          <w:tcPr>
            <w:tcW w:w="413" w:type="pct"/>
            <w:tcBorders>
              <w:top w:val="nil"/>
              <w:left w:val="nil"/>
              <w:bottom w:val="single" w:sz="4" w:space="0" w:color="auto"/>
              <w:right w:val="single" w:sz="4" w:space="0" w:color="auto"/>
            </w:tcBorders>
            <w:shd w:val="clear" w:color="auto" w:fill="auto"/>
            <w:vAlign w:val="center"/>
            <w:hideMark/>
          </w:tcPr>
          <w:p w14:paraId="3E49D731" w14:textId="77777777" w:rsidR="009E7F71" w:rsidRPr="009E7F71" w:rsidRDefault="009E7F71" w:rsidP="009E7F71">
            <w:pPr>
              <w:jc w:val="right"/>
              <w:rPr>
                <w:rFonts w:ascii="Calibri" w:eastAsia="Times New Roman" w:hAnsi="Calibri" w:cs="Calibri"/>
                <w:b/>
                <w:bCs/>
                <w:sz w:val="18"/>
                <w:szCs w:val="18"/>
                <w:lang w:eastAsia="nl-BE"/>
              </w:rPr>
            </w:pPr>
            <w:r w:rsidRPr="009E7F71">
              <w:rPr>
                <w:rFonts w:ascii="Calibri" w:eastAsia="Times New Roman" w:hAnsi="Calibri" w:cs="Calibri"/>
                <w:b/>
                <w:bCs/>
                <w:sz w:val="18"/>
                <w:szCs w:val="18"/>
                <w:lang w:eastAsia="nl-BE"/>
              </w:rPr>
              <w:t>49,8</w:t>
            </w:r>
          </w:p>
        </w:tc>
        <w:tc>
          <w:tcPr>
            <w:tcW w:w="427" w:type="pct"/>
            <w:tcBorders>
              <w:top w:val="nil"/>
              <w:left w:val="nil"/>
              <w:bottom w:val="single" w:sz="4" w:space="0" w:color="auto"/>
              <w:right w:val="single" w:sz="4" w:space="0" w:color="auto"/>
            </w:tcBorders>
            <w:shd w:val="clear" w:color="auto" w:fill="auto"/>
            <w:vAlign w:val="center"/>
            <w:hideMark/>
          </w:tcPr>
          <w:p w14:paraId="31D14DD7" w14:textId="77777777" w:rsidR="009E7F71" w:rsidRPr="009E7F71" w:rsidRDefault="009E7F71" w:rsidP="009E7F71">
            <w:pPr>
              <w:jc w:val="right"/>
              <w:rPr>
                <w:rFonts w:ascii="Calibri" w:eastAsia="Times New Roman" w:hAnsi="Calibri" w:cs="Calibri"/>
                <w:b/>
                <w:bCs/>
                <w:sz w:val="18"/>
                <w:szCs w:val="18"/>
                <w:lang w:eastAsia="nl-BE"/>
              </w:rPr>
            </w:pPr>
            <w:r w:rsidRPr="009E7F71">
              <w:rPr>
                <w:rFonts w:ascii="Calibri" w:eastAsia="Times New Roman" w:hAnsi="Calibri" w:cs="Calibri"/>
                <w:b/>
                <w:bCs/>
                <w:sz w:val="18"/>
                <w:szCs w:val="18"/>
                <w:lang w:eastAsia="nl-BE"/>
              </w:rPr>
              <w:t>275,9</w:t>
            </w:r>
          </w:p>
        </w:tc>
        <w:tc>
          <w:tcPr>
            <w:tcW w:w="336" w:type="pct"/>
            <w:tcBorders>
              <w:top w:val="nil"/>
              <w:left w:val="nil"/>
              <w:bottom w:val="single" w:sz="4" w:space="0" w:color="auto"/>
              <w:right w:val="single" w:sz="4" w:space="0" w:color="auto"/>
            </w:tcBorders>
            <w:shd w:val="clear" w:color="auto" w:fill="auto"/>
            <w:vAlign w:val="center"/>
            <w:hideMark/>
          </w:tcPr>
          <w:p w14:paraId="45A3FF2E" w14:textId="77777777" w:rsidR="009E7F71" w:rsidRPr="009E7F71" w:rsidRDefault="009E7F71" w:rsidP="009E7F71">
            <w:pPr>
              <w:jc w:val="right"/>
              <w:rPr>
                <w:rFonts w:ascii="Calibri" w:eastAsia="Times New Roman" w:hAnsi="Calibri" w:cs="Calibri"/>
                <w:b/>
                <w:bCs/>
                <w:sz w:val="18"/>
                <w:szCs w:val="18"/>
                <w:lang w:eastAsia="nl-BE"/>
              </w:rPr>
            </w:pPr>
            <w:r w:rsidRPr="009E7F71">
              <w:rPr>
                <w:rFonts w:ascii="Calibri" w:eastAsia="Times New Roman" w:hAnsi="Calibri" w:cs="Calibri"/>
                <w:b/>
                <w:bCs/>
                <w:sz w:val="18"/>
                <w:szCs w:val="18"/>
                <w:lang w:eastAsia="nl-BE"/>
              </w:rPr>
              <w:t xml:space="preserve">121,7 </w:t>
            </w:r>
          </w:p>
        </w:tc>
        <w:tc>
          <w:tcPr>
            <w:tcW w:w="372" w:type="pct"/>
            <w:tcBorders>
              <w:top w:val="nil"/>
              <w:left w:val="nil"/>
              <w:bottom w:val="single" w:sz="4" w:space="0" w:color="auto"/>
              <w:right w:val="single" w:sz="4" w:space="0" w:color="auto"/>
            </w:tcBorders>
            <w:shd w:val="clear" w:color="auto" w:fill="auto"/>
            <w:vAlign w:val="center"/>
            <w:hideMark/>
          </w:tcPr>
          <w:p w14:paraId="3F816BE4" w14:textId="77777777" w:rsidR="009E7F71" w:rsidRPr="009E7F71" w:rsidRDefault="009E7F71" w:rsidP="009E7F71">
            <w:pPr>
              <w:jc w:val="right"/>
              <w:rPr>
                <w:rFonts w:ascii="Calibri" w:eastAsia="Times New Roman" w:hAnsi="Calibri" w:cs="Calibri"/>
                <w:b/>
                <w:bCs/>
                <w:sz w:val="18"/>
                <w:szCs w:val="18"/>
                <w:lang w:eastAsia="nl-BE"/>
              </w:rPr>
            </w:pPr>
            <w:r w:rsidRPr="009E7F71">
              <w:rPr>
                <w:rFonts w:ascii="Calibri" w:eastAsia="Times New Roman" w:hAnsi="Calibri" w:cs="Calibri"/>
                <w:b/>
                <w:bCs/>
                <w:sz w:val="18"/>
                <w:szCs w:val="18"/>
                <w:lang w:eastAsia="nl-BE"/>
              </w:rPr>
              <w:t>78,9%</w:t>
            </w:r>
          </w:p>
        </w:tc>
        <w:tc>
          <w:tcPr>
            <w:tcW w:w="305" w:type="pct"/>
            <w:tcBorders>
              <w:top w:val="nil"/>
              <w:left w:val="nil"/>
              <w:bottom w:val="single" w:sz="4" w:space="0" w:color="auto"/>
              <w:right w:val="single" w:sz="4" w:space="0" w:color="auto"/>
            </w:tcBorders>
            <w:shd w:val="clear" w:color="auto" w:fill="auto"/>
            <w:noWrap/>
            <w:vAlign w:val="center"/>
            <w:hideMark/>
          </w:tcPr>
          <w:p w14:paraId="6314DE0C" w14:textId="77777777" w:rsidR="009E7F71" w:rsidRPr="009E7F71" w:rsidRDefault="009E7F71" w:rsidP="009E7F71">
            <w:pPr>
              <w:jc w:val="right"/>
              <w:rPr>
                <w:rFonts w:ascii="Calibri" w:eastAsia="Times New Roman" w:hAnsi="Calibri" w:cs="Calibri"/>
                <w:b/>
                <w:bCs/>
                <w:color w:val="000000"/>
                <w:sz w:val="18"/>
                <w:szCs w:val="18"/>
                <w:lang w:eastAsia="nl-BE"/>
              </w:rPr>
            </w:pPr>
            <w:r w:rsidRPr="009E7F71">
              <w:rPr>
                <w:rFonts w:ascii="Calibri" w:eastAsia="Times New Roman" w:hAnsi="Calibri" w:cs="Calibri"/>
                <w:b/>
                <w:bCs/>
                <w:color w:val="000000"/>
                <w:sz w:val="18"/>
                <w:szCs w:val="18"/>
                <w:lang w:eastAsia="nl-BE"/>
              </w:rPr>
              <w:t>226,1</w:t>
            </w:r>
          </w:p>
        </w:tc>
        <w:tc>
          <w:tcPr>
            <w:tcW w:w="445" w:type="pct"/>
            <w:tcBorders>
              <w:top w:val="nil"/>
              <w:left w:val="nil"/>
              <w:bottom w:val="single" w:sz="4" w:space="0" w:color="auto"/>
              <w:right w:val="single" w:sz="4" w:space="0" w:color="auto"/>
            </w:tcBorders>
            <w:shd w:val="clear" w:color="auto" w:fill="auto"/>
            <w:vAlign w:val="center"/>
            <w:hideMark/>
          </w:tcPr>
          <w:p w14:paraId="3297527E" w14:textId="77777777" w:rsidR="009E7F71" w:rsidRPr="009E7F71" w:rsidRDefault="009E7F71" w:rsidP="009E7F71">
            <w:pPr>
              <w:jc w:val="right"/>
              <w:rPr>
                <w:rFonts w:ascii="Calibri" w:eastAsia="Times New Roman" w:hAnsi="Calibri" w:cs="Calibri"/>
                <w:b/>
                <w:bCs/>
                <w:sz w:val="18"/>
                <w:szCs w:val="18"/>
                <w:lang w:eastAsia="nl-BE"/>
              </w:rPr>
            </w:pPr>
            <w:r w:rsidRPr="009E7F71">
              <w:rPr>
                <w:rFonts w:ascii="Calibri" w:eastAsia="Times New Roman" w:hAnsi="Calibri" w:cs="Calibri"/>
                <w:b/>
                <w:bCs/>
                <w:sz w:val="18"/>
                <w:szCs w:val="18"/>
                <w:lang w:eastAsia="nl-BE"/>
              </w:rPr>
              <w:t>454,1%</w:t>
            </w:r>
          </w:p>
        </w:tc>
      </w:tr>
    </w:tbl>
    <w:p w14:paraId="231DF7C2" w14:textId="77777777" w:rsidR="00687650" w:rsidRDefault="00687650" w:rsidP="00BB3991">
      <w:pPr>
        <w:jc w:val="both"/>
      </w:pPr>
    </w:p>
    <w:p w14:paraId="4CC947FB" w14:textId="793937C8" w:rsidR="00D74DC9" w:rsidRPr="006937AD" w:rsidRDefault="00D74DC9" w:rsidP="00BB3991">
      <w:pPr>
        <w:jc w:val="both"/>
      </w:pPr>
      <w:r w:rsidRPr="006937AD">
        <w:t>In de aftoetsing van het vorderingensaldo aan</w:t>
      </w:r>
      <w:r w:rsidR="006F010A">
        <w:t xml:space="preserve"> de begrotingsdoestelling wordt een </w:t>
      </w:r>
      <w:r w:rsidRPr="006937AD">
        <w:t>element</w:t>
      </w:r>
      <w:r w:rsidR="00BB3991" w:rsidRPr="006937AD">
        <w:t xml:space="preserve"> buiten beschouwing gehouden</w:t>
      </w:r>
      <w:r w:rsidR="00241870">
        <w:t>, namelijk de hoofdwerken aan de Oosterweelverbinding</w:t>
      </w:r>
      <w:r w:rsidR="00BB3991" w:rsidRPr="006937AD">
        <w:t>.</w:t>
      </w:r>
      <w:r w:rsidR="006F010A">
        <w:t xml:space="preserve"> </w:t>
      </w:r>
    </w:p>
    <w:p w14:paraId="5552DF6E" w14:textId="77777777" w:rsidR="003F31BE" w:rsidRDefault="003F31BE" w:rsidP="00BB3991">
      <w:pPr>
        <w:jc w:val="both"/>
      </w:pPr>
    </w:p>
    <w:p w14:paraId="67526310" w14:textId="5B5004F0" w:rsidR="00BB3991" w:rsidRPr="006937AD" w:rsidRDefault="006F010A" w:rsidP="00BB3991">
      <w:pPr>
        <w:jc w:val="both"/>
      </w:pPr>
      <w:r>
        <w:t>Bij de BAM worden</w:t>
      </w:r>
      <w:r w:rsidR="003C209E">
        <w:t xml:space="preserve"> de </w:t>
      </w:r>
      <w:r w:rsidR="000A4A3D">
        <w:t>uitgaven (</w:t>
      </w:r>
      <w:r w:rsidR="00687650">
        <w:t>62,6</w:t>
      </w:r>
      <w:r w:rsidR="00BB3991" w:rsidRPr="006937AD">
        <w:t xml:space="preserve"> mil</w:t>
      </w:r>
      <w:r w:rsidR="00190012">
        <w:t>j</w:t>
      </w:r>
      <w:r w:rsidR="00BB3991" w:rsidRPr="006937AD">
        <w:t xml:space="preserve">oen euro) </w:t>
      </w:r>
      <w:r w:rsidR="000A61D8">
        <w:t xml:space="preserve">met betrekking tot </w:t>
      </w:r>
      <w:r w:rsidR="00BB3991" w:rsidRPr="006937AD">
        <w:t>de hoofdwerken Linkeroever geneutraliseerd bij de aftoetsing aan de begrotingsdoelstelling.</w:t>
      </w:r>
      <w:r w:rsidR="000A61D8">
        <w:t xml:space="preserve"> De</w:t>
      </w:r>
      <w:r w:rsidR="000A4A3D">
        <w:t>ze bedragen 1</w:t>
      </w:r>
      <w:r w:rsidR="00687650">
        <w:t>0</w:t>
      </w:r>
      <w:r w:rsidR="000A4A3D">
        <w:t>,</w:t>
      </w:r>
      <w:r w:rsidR="00687650">
        <w:t>3</w:t>
      </w:r>
      <w:r w:rsidR="000A61D8">
        <w:t xml:space="preserve"> miljoen euro minder dan geraamd bij de begroting</w:t>
      </w:r>
      <w:r w:rsidR="00C276F5">
        <w:t>saanpassing</w:t>
      </w:r>
      <w:r>
        <w:t xml:space="preserve"> 2019</w:t>
      </w:r>
      <w:r w:rsidR="000A61D8">
        <w:t>.</w:t>
      </w:r>
    </w:p>
    <w:p w14:paraId="1FBD8FA8" w14:textId="77777777" w:rsidR="00D74DC9" w:rsidRDefault="00D74DC9" w:rsidP="00046F5E">
      <w:pPr>
        <w:pStyle w:val="Kop3"/>
      </w:pPr>
    </w:p>
    <w:p w14:paraId="463CD5E8" w14:textId="77777777" w:rsidR="00B02BC7" w:rsidRPr="00B02BC7" w:rsidRDefault="00B02BC7" w:rsidP="00B02BC7"/>
    <w:p w14:paraId="26E6EFC3" w14:textId="30541D39" w:rsidR="00AA79CD" w:rsidRDefault="00AA79CD" w:rsidP="00F617F9">
      <w:pPr>
        <w:rPr>
          <w:rFonts w:asciiTheme="majorHAnsi" w:eastAsiaTheme="majorEastAsia" w:hAnsiTheme="majorHAnsi" w:cstheme="majorBidi"/>
          <w:b/>
          <w:bCs/>
          <w:color w:val="4F81BD" w:themeColor="accent1"/>
        </w:rPr>
      </w:pPr>
    </w:p>
    <w:p w14:paraId="0DC516A1" w14:textId="77777777" w:rsidR="00F440F5" w:rsidRDefault="00F440F5" w:rsidP="00F617F9">
      <w:pPr>
        <w:rPr>
          <w:rFonts w:asciiTheme="majorHAnsi" w:eastAsiaTheme="majorEastAsia" w:hAnsiTheme="majorHAnsi" w:cstheme="majorBidi"/>
          <w:b/>
          <w:bCs/>
          <w:color w:val="4F81BD" w:themeColor="accent1"/>
        </w:rPr>
        <w:sectPr w:rsidR="00F440F5">
          <w:footerReference w:type="default" r:id="rId13"/>
          <w:pgSz w:w="11906" w:h="16838"/>
          <w:pgMar w:top="1417" w:right="1417" w:bottom="1417" w:left="1417" w:header="708" w:footer="708" w:gutter="0"/>
          <w:cols w:space="708"/>
          <w:docGrid w:linePitch="360"/>
        </w:sectPr>
      </w:pPr>
    </w:p>
    <w:p w14:paraId="7570C0B8" w14:textId="374796E6" w:rsidR="00F440F5" w:rsidRDefault="0054699F" w:rsidP="00F617F9">
      <w:pPr>
        <w:rPr>
          <w:rFonts w:asciiTheme="majorHAnsi" w:eastAsiaTheme="majorEastAsia" w:hAnsiTheme="majorHAnsi" w:cstheme="majorBidi"/>
          <w:b/>
          <w:bCs/>
          <w:color w:val="4F81BD" w:themeColor="accent1"/>
        </w:rPr>
      </w:pPr>
      <w:r>
        <w:rPr>
          <w:rFonts w:asciiTheme="majorHAnsi" w:eastAsiaTheme="majorEastAsia" w:hAnsiTheme="majorHAnsi" w:cstheme="majorBidi"/>
          <w:b/>
          <w:bCs/>
          <w:color w:val="4F81BD" w:themeColor="accent1"/>
        </w:rPr>
        <w:lastRenderedPageBreak/>
        <w:t>BIJLAGE - Opcentiemen in de opeenvolgende monitoringnota’s 2019</w:t>
      </w:r>
    </w:p>
    <w:p w14:paraId="2F1065B3" w14:textId="231A40B9" w:rsidR="00F440F5" w:rsidRDefault="00F440F5" w:rsidP="00F617F9">
      <w:pPr>
        <w:rPr>
          <w:rFonts w:asciiTheme="majorHAnsi" w:eastAsiaTheme="majorEastAsia" w:hAnsiTheme="majorHAnsi" w:cstheme="majorBidi"/>
          <w:b/>
          <w:bCs/>
          <w:color w:val="4F81BD" w:themeColor="accent1"/>
        </w:rPr>
      </w:pPr>
    </w:p>
    <w:p w14:paraId="4131BD21" w14:textId="2C317ADC" w:rsidR="00F440F5" w:rsidRDefault="00F440F5" w:rsidP="00F617F9">
      <w:pPr>
        <w:rPr>
          <w:rFonts w:asciiTheme="majorHAnsi" w:eastAsiaTheme="majorEastAsia" w:hAnsiTheme="majorHAnsi" w:cstheme="majorBidi"/>
          <w:b/>
          <w:bCs/>
          <w:color w:val="4F81BD" w:themeColor="accent1"/>
        </w:rPr>
      </w:pPr>
    </w:p>
    <w:tbl>
      <w:tblPr>
        <w:tblW w:w="5000" w:type="pct"/>
        <w:tblCellMar>
          <w:left w:w="70" w:type="dxa"/>
          <w:right w:w="70" w:type="dxa"/>
        </w:tblCellMar>
        <w:tblLook w:val="04A0" w:firstRow="1" w:lastRow="0" w:firstColumn="1" w:lastColumn="0" w:noHBand="0" w:noVBand="1"/>
      </w:tblPr>
      <w:tblGrid>
        <w:gridCol w:w="2458"/>
        <w:gridCol w:w="957"/>
        <w:gridCol w:w="957"/>
        <w:gridCol w:w="1604"/>
        <w:gridCol w:w="1604"/>
        <w:gridCol w:w="1604"/>
        <w:gridCol w:w="1604"/>
        <w:gridCol w:w="1605"/>
        <w:gridCol w:w="1599"/>
      </w:tblGrid>
      <w:tr w:rsidR="00F440F5" w:rsidRPr="00F440F5" w14:paraId="07B3FBFA" w14:textId="77777777" w:rsidTr="0054699F">
        <w:trPr>
          <w:trHeight w:val="900"/>
          <w:tblHeader/>
        </w:trPr>
        <w:tc>
          <w:tcPr>
            <w:tcW w:w="6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321BF7" w14:textId="77777777" w:rsidR="00F440F5" w:rsidRPr="00F440F5" w:rsidRDefault="00F440F5" w:rsidP="00F440F5">
            <w:pPr>
              <w:rPr>
                <w:rFonts w:eastAsia="Times New Roman" w:cstheme="minorHAnsi"/>
                <w:b/>
                <w:bCs/>
                <w:color w:val="000000"/>
                <w:sz w:val="20"/>
                <w:szCs w:val="20"/>
                <w:lang w:eastAsia="nl-BE"/>
              </w:rPr>
            </w:pPr>
            <w:bookmarkStart w:id="1" w:name="RANGE!B2:J21"/>
            <w:r w:rsidRPr="00F440F5">
              <w:rPr>
                <w:rFonts w:eastAsia="Times New Roman" w:cstheme="minorHAnsi"/>
                <w:b/>
                <w:bCs/>
                <w:color w:val="000000"/>
                <w:sz w:val="20"/>
                <w:szCs w:val="20"/>
                <w:lang w:eastAsia="nl-BE"/>
              </w:rPr>
              <w:t>HRF definitie</w:t>
            </w:r>
            <w:r w:rsidRPr="00F440F5">
              <w:rPr>
                <w:rFonts w:eastAsia="Times New Roman" w:cstheme="minorHAnsi"/>
                <w:b/>
                <w:bCs/>
                <w:color w:val="000000"/>
                <w:sz w:val="20"/>
                <w:szCs w:val="20"/>
                <w:lang w:eastAsia="nl-BE"/>
              </w:rPr>
              <w:br/>
              <w:t>(in duizend euro)</w:t>
            </w:r>
            <w:bookmarkEnd w:id="1"/>
          </w:p>
        </w:tc>
        <w:tc>
          <w:tcPr>
            <w:tcW w:w="281" w:type="pct"/>
            <w:tcBorders>
              <w:top w:val="single" w:sz="4" w:space="0" w:color="auto"/>
              <w:left w:val="nil"/>
              <w:bottom w:val="single" w:sz="4" w:space="0" w:color="auto"/>
              <w:right w:val="single" w:sz="4" w:space="0" w:color="auto"/>
            </w:tcBorders>
            <w:shd w:val="clear" w:color="auto" w:fill="auto"/>
            <w:noWrap/>
            <w:vAlign w:val="center"/>
            <w:hideMark/>
          </w:tcPr>
          <w:p w14:paraId="7867938A" w14:textId="77777777" w:rsidR="00F440F5" w:rsidRPr="00F440F5" w:rsidRDefault="00F440F5" w:rsidP="00F440F5">
            <w:pPr>
              <w:jc w:val="center"/>
              <w:rPr>
                <w:rFonts w:eastAsia="Times New Roman" w:cstheme="minorHAnsi"/>
                <w:b/>
                <w:bCs/>
                <w:color w:val="000000"/>
                <w:sz w:val="20"/>
                <w:szCs w:val="20"/>
                <w:lang w:eastAsia="nl-BE"/>
              </w:rPr>
            </w:pPr>
            <w:r w:rsidRPr="00F440F5">
              <w:rPr>
                <w:rFonts w:eastAsia="Times New Roman" w:cstheme="minorHAnsi"/>
                <w:b/>
                <w:bCs/>
                <w:color w:val="000000"/>
                <w:sz w:val="20"/>
                <w:szCs w:val="20"/>
                <w:lang w:eastAsia="nl-BE"/>
              </w:rPr>
              <w:t>BO 2019</w:t>
            </w:r>
          </w:p>
        </w:tc>
        <w:tc>
          <w:tcPr>
            <w:tcW w:w="281" w:type="pct"/>
            <w:tcBorders>
              <w:top w:val="single" w:sz="4" w:space="0" w:color="auto"/>
              <w:left w:val="nil"/>
              <w:bottom w:val="single" w:sz="4" w:space="0" w:color="auto"/>
              <w:right w:val="single" w:sz="4" w:space="0" w:color="auto"/>
            </w:tcBorders>
            <w:shd w:val="clear" w:color="auto" w:fill="auto"/>
            <w:noWrap/>
            <w:vAlign w:val="center"/>
            <w:hideMark/>
          </w:tcPr>
          <w:p w14:paraId="389419E8" w14:textId="77777777" w:rsidR="00F440F5" w:rsidRPr="00F440F5" w:rsidRDefault="00F440F5" w:rsidP="00F440F5">
            <w:pPr>
              <w:jc w:val="center"/>
              <w:rPr>
                <w:rFonts w:eastAsia="Times New Roman" w:cstheme="minorHAnsi"/>
                <w:b/>
                <w:bCs/>
                <w:color w:val="000000"/>
                <w:sz w:val="20"/>
                <w:szCs w:val="20"/>
                <w:lang w:eastAsia="nl-BE"/>
              </w:rPr>
            </w:pPr>
            <w:r w:rsidRPr="00F440F5">
              <w:rPr>
                <w:rFonts w:eastAsia="Times New Roman" w:cstheme="minorHAnsi"/>
                <w:b/>
                <w:bCs/>
                <w:color w:val="000000"/>
                <w:sz w:val="20"/>
                <w:szCs w:val="20"/>
                <w:lang w:eastAsia="nl-BE"/>
              </w:rPr>
              <w:t>BA 2019</w:t>
            </w:r>
          </w:p>
        </w:tc>
        <w:tc>
          <w:tcPr>
            <w:tcW w:w="626" w:type="pct"/>
            <w:tcBorders>
              <w:top w:val="single" w:sz="4" w:space="0" w:color="auto"/>
              <w:left w:val="nil"/>
              <w:bottom w:val="single" w:sz="4" w:space="0" w:color="auto"/>
              <w:right w:val="single" w:sz="4" w:space="0" w:color="auto"/>
            </w:tcBorders>
            <w:shd w:val="clear" w:color="auto" w:fill="auto"/>
            <w:vAlign w:val="center"/>
            <w:hideMark/>
          </w:tcPr>
          <w:p w14:paraId="24B2AE07" w14:textId="77777777" w:rsidR="00F440F5" w:rsidRPr="00F440F5" w:rsidRDefault="00F440F5" w:rsidP="00F440F5">
            <w:pPr>
              <w:jc w:val="center"/>
              <w:rPr>
                <w:rFonts w:eastAsia="Times New Roman" w:cstheme="minorHAnsi"/>
                <w:b/>
                <w:bCs/>
                <w:color w:val="000000"/>
                <w:sz w:val="20"/>
                <w:szCs w:val="20"/>
                <w:lang w:eastAsia="nl-BE"/>
              </w:rPr>
            </w:pPr>
            <w:r w:rsidRPr="00F440F5">
              <w:rPr>
                <w:rFonts w:eastAsia="Times New Roman" w:cstheme="minorHAnsi"/>
                <w:b/>
                <w:bCs/>
                <w:color w:val="000000"/>
                <w:sz w:val="20"/>
                <w:szCs w:val="20"/>
                <w:lang w:eastAsia="nl-BE"/>
              </w:rPr>
              <w:t>Monitoring</w:t>
            </w:r>
            <w:r w:rsidRPr="00F440F5">
              <w:rPr>
                <w:rFonts w:eastAsia="Times New Roman" w:cstheme="minorHAnsi"/>
                <w:b/>
                <w:bCs/>
                <w:color w:val="000000"/>
                <w:sz w:val="20"/>
                <w:szCs w:val="20"/>
                <w:lang w:eastAsia="nl-BE"/>
              </w:rPr>
              <w:br/>
              <w:t>juli 2019</w:t>
            </w:r>
          </w:p>
        </w:tc>
        <w:tc>
          <w:tcPr>
            <w:tcW w:w="626" w:type="pct"/>
            <w:tcBorders>
              <w:top w:val="single" w:sz="4" w:space="0" w:color="auto"/>
              <w:left w:val="nil"/>
              <w:bottom w:val="single" w:sz="4" w:space="0" w:color="auto"/>
              <w:right w:val="single" w:sz="4" w:space="0" w:color="auto"/>
            </w:tcBorders>
            <w:shd w:val="clear" w:color="auto" w:fill="auto"/>
            <w:vAlign w:val="center"/>
            <w:hideMark/>
          </w:tcPr>
          <w:p w14:paraId="75CB06BA" w14:textId="77777777" w:rsidR="00F440F5" w:rsidRPr="00F440F5" w:rsidRDefault="00F440F5" w:rsidP="00F440F5">
            <w:pPr>
              <w:jc w:val="center"/>
              <w:rPr>
                <w:rFonts w:eastAsia="Times New Roman" w:cstheme="minorHAnsi"/>
                <w:b/>
                <w:bCs/>
                <w:color w:val="000000"/>
                <w:sz w:val="20"/>
                <w:szCs w:val="20"/>
                <w:lang w:eastAsia="nl-BE"/>
              </w:rPr>
            </w:pPr>
            <w:r w:rsidRPr="00F440F5">
              <w:rPr>
                <w:rFonts w:eastAsia="Times New Roman" w:cstheme="minorHAnsi"/>
                <w:b/>
                <w:bCs/>
                <w:color w:val="000000"/>
                <w:sz w:val="20"/>
                <w:szCs w:val="20"/>
                <w:lang w:eastAsia="nl-BE"/>
              </w:rPr>
              <w:t>Monitoring</w:t>
            </w:r>
            <w:r w:rsidRPr="00F440F5">
              <w:rPr>
                <w:rFonts w:eastAsia="Times New Roman" w:cstheme="minorHAnsi"/>
                <w:b/>
                <w:bCs/>
                <w:color w:val="000000"/>
                <w:sz w:val="20"/>
                <w:szCs w:val="20"/>
                <w:lang w:eastAsia="nl-BE"/>
              </w:rPr>
              <w:br/>
              <w:t>augustus 2019</w:t>
            </w:r>
            <w:r w:rsidRPr="00F440F5">
              <w:rPr>
                <w:rFonts w:eastAsia="Times New Roman" w:cstheme="minorHAnsi"/>
                <w:b/>
                <w:bCs/>
                <w:color w:val="000000"/>
                <w:sz w:val="20"/>
                <w:szCs w:val="20"/>
                <w:lang w:eastAsia="nl-BE"/>
              </w:rPr>
              <w:br/>
              <w:t>(regeerakkoord)</w:t>
            </w:r>
          </w:p>
        </w:tc>
        <w:tc>
          <w:tcPr>
            <w:tcW w:w="626" w:type="pct"/>
            <w:tcBorders>
              <w:top w:val="single" w:sz="4" w:space="0" w:color="auto"/>
              <w:left w:val="nil"/>
              <w:bottom w:val="single" w:sz="4" w:space="0" w:color="auto"/>
              <w:right w:val="single" w:sz="4" w:space="0" w:color="auto"/>
            </w:tcBorders>
            <w:shd w:val="clear" w:color="auto" w:fill="auto"/>
            <w:vAlign w:val="center"/>
            <w:hideMark/>
          </w:tcPr>
          <w:p w14:paraId="08CDF2A7" w14:textId="77777777" w:rsidR="00F440F5" w:rsidRPr="00F440F5" w:rsidRDefault="00F440F5" w:rsidP="00F440F5">
            <w:pPr>
              <w:jc w:val="center"/>
              <w:rPr>
                <w:rFonts w:eastAsia="Times New Roman" w:cstheme="minorHAnsi"/>
                <w:b/>
                <w:bCs/>
                <w:color w:val="000000"/>
                <w:sz w:val="20"/>
                <w:szCs w:val="20"/>
                <w:lang w:eastAsia="nl-BE"/>
              </w:rPr>
            </w:pPr>
            <w:r w:rsidRPr="00F440F5">
              <w:rPr>
                <w:rFonts w:eastAsia="Times New Roman" w:cstheme="minorHAnsi"/>
                <w:b/>
                <w:bCs/>
                <w:color w:val="000000"/>
                <w:sz w:val="20"/>
                <w:szCs w:val="20"/>
                <w:lang w:eastAsia="nl-BE"/>
              </w:rPr>
              <w:t>Monitoring</w:t>
            </w:r>
            <w:r w:rsidRPr="00F440F5">
              <w:rPr>
                <w:rFonts w:eastAsia="Times New Roman" w:cstheme="minorHAnsi"/>
                <w:b/>
                <w:bCs/>
                <w:color w:val="000000"/>
                <w:sz w:val="20"/>
                <w:szCs w:val="20"/>
                <w:lang w:eastAsia="nl-BE"/>
              </w:rPr>
              <w:br/>
              <w:t>oktober 2019</w:t>
            </w:r>
          </w:p>
        </w:tc>
        <w:tc>
          <w:tcPr>
            <w:tcW w:w="626" w:type="pct"/>
            <w:tcBorders>
              <w:top w:val="single" w:sz="4" w:space="0" w:color="auto"/>
              <w:left w:val="nil"/>
              <w:bottom w:val="single" w:sz="4" w:space="0" w:color="auto"/>
              <w:right w:val="single" w:sz="4" w:space="0" w:color="auto"/>
            </w:tcBorders>
            <w:shd w:val="clear" w:color="auto" w:fill="auto"/>
            <w:vAlign w:val="center"/>
            <w:hideMark/>
          </w:tcPr>
          <w:p w14:paraId="5FE2A57E" w14:textId="77777777" w:rsidR="00F440F5" w:rsidRPr="00F440F5" w:rsidRDefault="00F440F5" w:rsidP="00F440F5">
            <w:pPr>
              <w:jc w:val="center"/>
              <w:rPr>
                <w:rFonts w:eastAsia="Times New Roman" w:cstheme="minorHAnsi"/>
                <w:b/>
                <w:bCs/>
                <w:color w:val="000000"/>
                <w:sz w:val="20"/>
                <w:szCs w:val="20"/>
                <w:lang w:eastAsia="nl-BE"/>
              </w:rPr>
            </w:pPr>
            <w:r w:rsidRPr="00F440F5">
              <w:rPr>
                <w:rFonts w:eastAsia="Times New Roman" w:cstheme="minorHAnsi"/>
                <w:b/>
                <w:bCs/>
                <w:color w:val="000000"/>
                <w:sz w:val="20"/>
                <w:szCs w:val="20"/>
                <w:lang w:eastAsia="nl-BE"/>
              </w:rPr>
              <w:t>Monitoring</w:t>
            </w:r>
            <w:r w:rsidRPr="00F440F5">
              <w:rPr>
                <w:rFonts w:eastAsia="Times New Roman" w:cstheme="minorHAnsi"/>
                <w:b/>
                <w:bCs/>
                <w:color w:val="000000"/>
                <w:sz w:val="20"/>
                <w:szCs w:val="20"/>
                <w:lang w:eastAsia="nl-BE"/>
              </w:rPr>
              <w:br/>
              <w:t>november 2019</w:t>
            </w:r>
          </w:p>
        </w:tc>
        <w:tc>
          <w:tcPr>
            <w:tcW w:w="626" w:type="pct"/>
            <w:tcBorders>
              <w:top w:val="single" w:sz="4" w:space="0" w:color="auto"/>
              <w:left w:val="nil"/>
              <w:bottom w:val="single" w:sz="4" w:space="0" w:color="auto"/>
              <w:right w:val="single" w:sz="4" w:space="0" w:color="auto"/>
            </w:tcBorders>
            <w:shd w:val="clear" w:color="auto" w:fill="auto"/>
            <w:vAlign w:val="center"/>
            <w:hideMark/>
          </w:tcPr>
          <w:p w14:paraId="14F3AECA" w14:textId="77777777" w:rsidR="00F440F5" w:rsidRPr="00F440F5" w:rsidRDefault="00F440F5" w:rsidP="00F440F5">
            <w:pPr>
              <w:jc w:val="center"/>
              <w:rPr>
                <w:rFonts w:eastAsia="Times New Roman" w:cstheme="minorHAnsi"/>
                <w:b/>
                <w:bCs/>
                <w:color w:val="000000"/>
                <w:sz w:val="20"/>
                <w:szCs w:val="20"/>
                <w:lang w:eastAsia="nl-BE"/>
              </w:rPr>
            </w:pPr>
            <w:r w:rsidRPr="00F440F5">
              <w:rPr>
                <w:rFonts w:eastAsia="Times New Roman" w:cstheme="minorHAnsi"/>
                <w:b/>
                <w:bCs/>
                <w:color w:val="000000"/>
                <w:sz w:val="20"/>
                <w:szCs w:val="20"/>
                <w:lang w:eastAsia="nl-BE"/>
              </w:rPr>
              <w:t>Monitoring</w:t>
            </w:r>
            <w:r w:rsidRPr="00F440F5">
              <w:rPr>
                <w:rFonts w:eastAsia="Times New Roman" w:cstheme="minorHAnsi"/>
                <w:b/>
                <w:bCs/>
                <w:color w:val="000000"/>
                <w:sz w:val="20"/>
                <w:szCs w:val="20"/>
                <w:lang w:eastAsia="nl-BE"/>
              </w:rPr>
              <w:br/>
              <w:t>december 2019</w:t>
            </w:r>
          </w:p>
        </w:tc>
        <w:tc>
          <w:tcPr>
            <w:tcW w:w="626" w:type="pct"/>
            <w:tcBorders>
              <w:top w:val="single" w:sz="4" w:space="0" w:color="auto"/>
              <w:left w:val="nil"/>
              <w:bottom w:val="single" w:sz="4" w:space="0" w:color="auto"/>
              <w:right w:val="single" w:sz="4" w:space="0" w:color="auto"/>
            </w:tcBorders>
            <w:shd w:val="clear" w:color="auto" w:fill="auto"/>
            <w:vAlign w:val="center"/>
            <w:hideMark/>
          </w:tcPr>
          <w:p w14:paraId="638530F4" w14:textId="77777777" w:rsidR="00F440F5" w:rsidRPr="00F440F5" w:rsidRDefault="00F440F5" w:rsidP="00F440F5">
            <w:pPr>
              <w:jc w:val="center"/>
              <w:rPr>
                <w:rFonts w:eastAsia="Times New Roman" w:cstheme="minorHAnsi"/>
                <w:b/>
                <w:bCs/>
                <w:color w:val="000000"/>
                <w:sz w:val="20"/>
                <w:szCs w:val="20"/>
                <w:lang w:eastAsia="nl-BE"/>
              </w:rPr>
            </w:pPr>
            <w:r w:rsidRPr="00F440F5">
              <w:rPr>
                <w:rFonts w:eastAsia="Times New Roman" w:cstheme="minorHAnsi"/>
                <w:b/>
                <w:bCs/>
                <w:color w:val="000000"/>
                <w:sz w:val="20"/>
                <w:szCs w:val="20"/>
                <w:lang w:eastAsia="nl-BE"/>
              </w:rPr>
              <w:t>Monitoring</w:t>
            </w:r>
            <w:r w:rsidRPr="00F440F5">
              <w:rPr>
                <w:rFonts w:eastAsia="Times New Roman" w:cstheme="minorHAnsi"/>
                <w:b/>
                <w:bCs/>
                <w:color w:val="000000"/>
                <w:sz w:val="20"/>
                <w:szCs w:val="20"/>
                <w:lang w:eastAsia="nl-BE"/>
              </w:rPr>
              <w:br/>
              <w:t>februari 2020</w:t>
            </w:r>
          </w:p>
        </w:tc>
      </w:tr>
      <w:tr w:rsidR="00F440F5" w:rsidRPr="00F440F5" w14:paraId="5D1EC945" w14:textId="77777777" w:rsidTr="0054699F">
        <w:trPr>
          <w:trHeight w:val="600"/>
        </w:trPr>
        <w:tc>
          <w:tcPr>
            <w:tcW w:w="684"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ED6588D" w14:textId="77777777" w:rsidR="00F440F5" w:rsidRPr="00F440F5" w:rsidRDefault="00F440F5" w:rsidP="00F440F5">
            <w:pPr>
              <w:rPr>
                <w:rFonts w:eastAsia="Times New Roman" w:cstheme="minorHAnsi"/>
                <w:b/>
                <w:bCs/>
                <w:color w:val="000000"/>
                <w:sz w:val="20"/>
                <w:szCs w:val="20"/>
                <w:lang w:eastAsia="nl-BE"/>
              </w:rPr>
            </w:pPr>
            <w:r w:rsidRPr="00F440F5">
              <w:rPr>
                <w:rFonts w:eastAsia="Times New Roman" w:cstheme="minorHAnsi"/>
                <w:b/>
                <w:bCs/>
                <w:color w:val="000000"/>
                <w:sz w:val="20"/>
                <w:szCs w:val="20"/>
                <w:lang w:eastAsia="nl-BE"/>
              </w:rPr>
              <w:t>M.b.t. AJ 2015</w:t>
            </w:r>
          </w:p>
        </w:tc>
        <w:tc>
          <w:tcPr>
            <w:tcW w:w="281" w:type="pct"/>
            <w:tcBorders>
              <w:top w:val="nil"/>
              <w:left w:val="nil"/>
              <w:bottom w:val="single" w:sz="4" w:space="0" w:color="auto"/>
              <w:right w:val="single" w:sz="4" w:space="0" w:color="auto"/>
            </w:tcBorders>
            <w:shd w:val="clear" w:color="auto" w:fill="auto"/>
            <w:vAlign w:val="center"/>
            <w:hideMark/>
          </w:tcPr>
          <w:p w14:paraId="200FCB94" w14:textId="77777777" w:rsidR="00F440F5" w:rsidRPr="00F440F5" w:rsidRDefault="00F440F5" w:rsidP="00F440F5">
            <w:pPr>
              <w:jc w:val="center"/>
              <w:rPr>
                <w:rFonts w:eastAsia="Times New Roman" w:cstheme="minorHAnsi"/>
                <w:color w:val="000000"/>
                <w:sz w:val="20"/>
                <w:szCs w:val="20"/>
                <w:lang w:eastAsia="nl-BE"/>
              </w:rPr>
            </w:pPr>
            <w:r w:rsidRPr="00F440F5">
              <w:rPr>
                <w:rFonts w:eastAsia="Times New Roman" w:cstheme="minorHAnsi"/>
                <w:color w:val="000000"/>
                <w:sz w:val="20"/>
                <w:szCs w:val="20"/>
                <w:lang w:eastAsia="nl-BE"/>
              </w:rPr>
              <w:t> </w:t>
            </w:r>
          </w:p>
        </w:tc>
        <w:tc>
          <w:tcPr>
            <w:tcW w:w="281" w:type="pct"/>
            <w:tcBorders>
              <w:top w:val="nil"/>
              <w:left w:val="nil"/>
              <w:bottom w:val="single" w:sz="4" w:space="0" w:color="auto"/>
              <w:right w:val="single" w:sz="4" w:space="0" w:color="auto"/>
            </w:tcBorders>
            <w:shd w:val="clear" w:color="auto" w:fill="auto"/>
            <w:vAlign w:val="center"/>
            <w:hideMark/>
          </w:tcPr>
          <w:p w14:paraId="1901A2A4" w14:textId="77777777" w:rsidR="00F440F5" w:rsidRPr="00F440F5" w:rsidRDefault="00F440F5" w:rsidP="00F440F5">
            <w:pPr>
              <w:jc w:val="center"/>
              <w:rPr>
                <w:rFonts w:eastAsia="Times New Roman" w:cstheme="minorHAnsi"/>
                <w:color w:val="000000"/>
                <w:sz w:val="20"/>
                <w:szCs w:val="20"/>
                <w:lang w:eastAsia="nl-BE"/>
              </w:rPr>
            </w:pPr>
            <w:r w:rsidRPr="00F440F5">
              <w:rPr>
                <w:rFonts w:eastAsia="Times New Roman" w:cstheme="minorHAnsi"/>
                <w:color w:val="000000"/>
                <w:sz w:val="20"/>
                <w:szCs w:val="20"/>
                <w:lang w:eastAsia="nl-BE"/>
              </w:rPr>
              <w:t> </w:t>
            </w:r>
          </w:p>
        </w:tc>
        <w:tc>
          <w:tcPr>
            <w:tcW w:w="626" w:type="pct"/>
            <w:tcBorders>
              <w:top w:val="nil"/>
              <w:left w:val="nil"/>
              <w:bottom w:val="single" w:sz="4" w:space="0" w:color="auto"/>
              <w:right w:val="single" w:sz="4" w:space="0" w:color="auto"/>
            </w:tcBorders>
            <w:shd w:val="clear" w:color="auto" w:fill="auto"/>
            <w:vAlign w:val="center"/>
            <w:hideMark/>
          </w:tcPr>
          <w:p w14:paraId="6EC9380E" w14:textId="77777777" w:rsidR="00F440F5" w:rsidRPr="00F440F5" w:rsidRDefault="00F440F5" w:rsidP="00F440F5">
            <w:pPr>
              <w:jc w:val="center"/>
              <w:rPr>
                <w:rFonts w:eastAsia="Times New Roman" w:cstheme="minorHAnsi"/>
                <w:color w:val="000000"/>
                <w:sz w:val="20"/>
                <w:szCs w:val="20"/>
                <w:lang w:eastAsia="nl-BE"/>
              </w:rPr>
            </w:pPr>
            <w:r w:rsidRPr="00F440F5">
              <w:rPr>
                <w:rFonts w:eastAsia="Times New Roman" w:cstheme="minorHAnsi"/>
                <w:color w:val="000000"/>
                <w:sz w:val="20"/>
                <w:szCs w:val="20"/>
                <w:lang w:eastAsia="nl-BE"/>
              </w:rPr>
              <w:t>som van maandelijkse</w:t>
            </w:r>
            <w:r w:rsidRPr="00F440F5">
              <w:rPr>
                <w:rFonts w:eastAsia="Times New Roman" w:cstheme="minorHAnsi"/>
                <w:color w:val="000000"/>
                <w:sz w:val="20"/>
                <w:szCs w:val="20"/>
                <w:lang w:eastAsia="nl-BE"/>
              </w:rPr>
              <w:br/>
              <w:t>afrekeningen</w:t>
            </w:r>
          </w:p>
        </w:tc>
        <w:tc>
          <w:tcPr>
            <w:tcW w:w="626" w:type="pct"/>
            <w:tcBorders>
              <w:top w:val="nil"/>
              <w:left w:val="nil"/>
              <w:bottom w:val="single" w:sz="4" w:space="0" w:color="auto"/>
              <w:right w:val="single" w:sz="4" w:space="0" w:color="auto"/>
            </w:tcBorders>
            <w:shd w:val="clear" w:color="auto" w:fill="auto"/>
            <w:vAlign w:val="center"/>
            <w:hideMark/>
          </w:tcPr>
          <w:p w14:paraId="3878600E" w14:textId="77777777" w:rsidR="00F440F5" w:rsidRPr="00F440F5" w:rsidRDefault="00F440F5" w:rsidP="00F440F5">
            <w:pPr>
              <w:jc w:val="center"/>
              <w:rPr>
                <w:rFonts w:eastAsia="Times New Roman" w:cstheme="minorHAnsi"/>
                <w:color w:val="000000"/>
                <w:sz w:val="20"/>
                <w:szCs w:val="20"/>
                <w:lang w:eastAsia="nl-BE"/>
              </w:rPr>
            </w:pPr>
            <w:r w:rsidRPr="00F440F5">
              <w:rPr>
                <w:rFonts w:eastAsia="Times New Roman" w:cstheme="minorHAnsi"/>
                <w:color w:val="000000"/>
                <w:sz w:val="20"/>
                <w:szCs w:val="20"/>
                <w:lang w:eastAsia="nl-BE"/>
              </w:rPr>
              <w:t>som van maandelijkse</w:t>
            </w:r>
            <w:r w:rsidRPr="00F440F5">
              <w:rPr>
                <w:rFonts w:eastAsia="Times New Roman" w:cstheme="minorHAnsi"/>
                <w:color w:val="000000"/>
                <w:sz w:val="20"/>
                <w:szCs w:val="20"/>
                <w:lang w:eastAsia="nl-BE"/>
              </w:rPr>
              <w:br/>
              <w:t>afrekeningen</w:t>
            </w:r>
          </w:p>
        </w:tc>
        <w:tc>
          <w:tcPr>
            <w:tcW w:w="626" w:type="pct"/>
            <w:tcBorders>
              <w:top w:val="nil"/>
              <w:left w:val="nil"/>
              <w:bottom w:val="single" w:sz="4" w:space="0" w:color="auto"/>
              <w:right w:val="single" w:sz="4" w:space="0" w:color="auto"/>
            </w:tcBorders>
            <w:shd w:val="clear" w:color="auto" w:fill="auto"/>
            <w:vAlign w:val="center"/>
            <w:hideMark/>
          </w:tcPr>
          <w:p w14:paraId="7D09D35F" w14:textId="77777777" w:rsidR="00F440F5" w:rsidRPr="00F440F5" w:rsidRDefault="00F440F5" w:rsidP="00F440F5">
            <w:pPr>
              <w:jc w:val="center"/>
              <w:rPr>
                <w:rFonts w:eastAsia="Times New Roman" w:cstheme="minorHAnsi"/>
                <w:color w:val="000000"/>
                <w:sz w:val="20"/>
                <w:szCs w:val="20"/>
                <w:lang w:eastAsia="nl-BE"/>
              </w:rPr>
            </w:pPr>
            <w:r w:rsidRPr="00F440F5">
              <w:rPr>
                <w:rFonts w:eastAsia="Times New Roman" w:cstheme="minorHAnsi"/>
                <w:color w:val="000000"/>
                <w:sz w:val="20"/>
                <w:szCs w:val="20"/>
                <w:lang w:eastAsia="nl-BE"/>
              </w:rPr>
              <w:t>som van maandelijkse</w:t>
            </w:r>
            <w:r w:rsidRPr="00F440F5">
              <w:rPr>
                <w:rFonts w:eastAsia="Times New Roman" w:cstheme="minorHAnsi"/>
                <w:color w:val="000000"/>
                <w:sz w:val="20"/>
                <w:szCs w:val="20"/>
                <w:lang w:eastAsia="nl-BE"/>
              </w:rPr>
              <w:br/>
              <w:t>afrekeningen</w:t>
            </w:r>
          </w:p>
        </w:tc>
        <w:tc>
          <w:tcPr>
            <w:tcW w:w="626" w:type="pct"/>
            <w:tcBorders>
              <w:top w:val="nil"/>
              <w:left w:val="nil"/>
              <w:bottom w:val="single" w:sz="4" w:space="0" w:color="auto"/>
              <w:right w:val="single" w:sz="4" w:space="0" w:color="auto"/>
            </w:tcBorders>
            <w:shd w:val="clear" w:color="auto" w:fill="auto"/>
            <w:vAlign w:val="center"/>
            <w:hideMark/>
          </w:tcPr>
          <w:p w14:paraId="7CFEDEFD" w14:textId="77777777" w:rsidR="00F440F5" w:rsidRPr="00F440F5" w:rsidRDefault="00F440F5" w:rsidP="00F440F5">
            <w:pPr>
              <w:jc w:val="center"/>
              <w:rPr>
                <w:rFonts w:eastAsia="Times New Roman" w:cstheme="minorHAnsi"/>
                <w:color w:val="000000"/>
                <w:sz w:val="20"/>
                <w:szCs w:val="20"/>
                <w:lang w:eastAsia="nl-BE"/>
              </w:rPr>
            </w:pPr>
            <w:r w:rsidRPr="00F440F5">
              <w:rPr>
                <w:rFonts w:eastAsia="Times New Roman" w:cstheme="minorHAnsi"/>
                <w:color w:val="000000"/>
                <w:sz w:val="20"/>
                <w:szCs w:val="20"/>
                <w:lang w:eastAsia="nl-BE"/>
              </w:rPr>
              <w:t>som van maandelijkse</w:t>
            </w:r>
            <w:r w:rsidRPr="00F440F5">
              <w:rPr>
                <w:rFonts w:eastAsia="Times New Roman" w:cstheme="minorHAnsi"/>
                <w:color w:val="000000"/>
                <w:sz w:val="20"/>
                <w:szCs w:val="20"/>
                <w:lang w:eastAsia="nl-BE"/>
              </w:rPr>
              <w:br/>
              <w:t>afrekeningen</w:t>
            </w:r>
          </w:p>
        </w:tc>
        <w:tc>
          <w:tcPr>
            <w:tcW w:w="626" w:type="pct"/>
            <w:tcBorders>
              <w:top w:val="nil"/>
              <w:left w:val="nil"/>
              <w:bottom w:val="single" w:sz="4" w:space="0" w:color="auto"/>
              <w:right w:val="single" w:sz="4" w:space="0" w:color="auto"/>
            </w:tcBorders>
            <w:shd w:val="clear" w:color="auto" w:fill="auto"/>
            <w:vAlign w:val="center"/>
            <w:hideMark/>
          </w:tcPr>
          <w:p w14:paraId="58BD9D4C" w14:textId="77777777" w:rsidR="00F440F5" w:rsidRPr="00F440F5" w:rsidRDefault="00F440F5" w:rsidP="00F440F5">
            <w:pPr>
              <w:jc w:val="center"/>
              <w:rPr>
                <w:rFonts w:eastAsia="Times New Roman" w:cstheme="minorHAnsi"/>
                <w:color w:val="000000"/>
                <w:sz w:val="20"/>
                <w:szCs w:val="20"/>
                <w:lang w:eastAsia="nl-BE"/>
              </w:rPr>
            </w:pPr>
            <w:r w:rsidRPr="00F440F5">
              <w:rPr>
                <w:rFonts w:eastAsia="Times New Roman" w:cstheme="minorHAnsi"/>
                <w:color w:val="000000"/>
                <w:sz w:val="20"/>
                <w:szCs w:val="20"/>
                <w:lang w:eastAsia="nl-BE"/>
              </w:rPr>
              <w:t>som van maandelijkse</w:t>
            </w:r>
            <w:r w:rsidRPr="00F440F5">
              <w:rPr>
                <w:rFonts w:eastAsia="Times New Roman" w:cstheme="minorHAnsi"/>
                <w:color w:val="000000"/>
                <w:sz w:val="20"/>
                <w:szCs w:val="20"/>
                <w:lang w:eastAsia="nl-BE"/>
              </w:rPr>
              <w:br/>
              <w:t>afrekeningen</w:t>
            </w:r>
          </w:p>
        </w:tc>
        <w:tc>
          <w:tcPr>
            <w:tcW w:w="626" w:type="pct"/>
            <w:tcBorders>
              <w:top w:val="nil"/>
              <w:left w:val="nil"/>
              <w:bottom w:val="single" w:sz="4" w:space="0" w:color="auto"/>
              <w:right w:val="single" w:sz="4" w:space="0" w:color="auto"/>
            </w:tcBorders>
            <w:shd w:val="clear" w:color="auto" w:fill="auto"/>
            <w:vAlign w:val="center"/>
            <w:hideMark/>
          </w:tcPr>
          <w:p w14:paraId="7D486384" w14:textId="77777777" w:rsidR="00F440F5" w:rsidRPr="00F440F5" w:rsidRDefault="00F440F5" w:rsidP="00F440F5">
            <w:pPr>
              <w:jc w:val="center"/>
              <w:rPr>
                <w:rFonts w:eastAsia="Times New Roman" w:cstheme="minorHAnsi"/>
                <w:color w:val="000000"/>
                <w:sz w:val="20"/>
                <w:szCs w:val="20"/>
                <w:lang w:eastAsia="nl-BE"/>
              </w:rPr>
            </w:pPr>
            <w:r w:rsidRPr="00F440F5">
              <w:rPr>
                <w:rFonts w:eastAsia="Times New Roman" w:cstheme="minorHAnsi"/>
                <w:color w:val="000000"/>
                <w:sz w:val="20"/>
                <w:szCs w:val="20"/>
                <w:lang w:eastAsia="nl-BE"/>
              </w:rPr>
              <w:t>som van maandelijkse</w:t>
            </w:r>
            <w:r w:rsidRPr="00F440F5">
              <w:rPr>
                <w:rFonts w:eastAsia="Times New Roman" w:cstheme="minorHAnsi"/>
                <w:color w:val="000000"/>
                <w:sz w:val="20"/>
                <w:szCs w:val="20"/>
                <w:lang w:eastAsia="nl-BE"/>
              </w:rPr>
              <w:br/>
              <w:t>afrekeningen</w:t>
            </w:r>
          </w:p>
        </w:tc>
      </w:tr>
      <w:tr w:rsidR="00F440F5" w:rsidRPr="00F440F5" w14:paraId="197FD66B" w14:textId="77777777" w:rsidTr="0054699F">
        <w:trPr>
          <w:trHeight w:val="300"/>
        </w:trPr>
        <w:tc>
          <w:tcPr>
            <w:tcW w:w="684" w:type="pct"/>
            <w:vMerge/>
            <w:tcBorders>
              <w:top w:val="nil"/>
              <w:left w:val="single" w:sz="4" w:space="0" w:color="auto"/>
              <w:bottom w:val="single" w:sz="4" w:space="0" w:color="000000"/>
              <w:right w:val="single" w:sz="4" w:space="0" w:color="auto"/>
            </w:tcBorders>
            <w:vAlign w:val="center"/>
            <w:hideMark/>
          </w:tcPr>
          <w:p w14:paraId="011C41E6" w14:textId="77777777" w:rsidR="00F440F5" w:rsidRPr="00F440F5" w:rsidRDefault="00F440F5" w:rsidP="00F440F5">
            <w:pPr>
              <w:rPr>
                <w:rFonts w:eastAsia="Times New Roman" w:cstheme="minorHAnsi"/>
                <w:b/>
                <w:bCs/>
                <w:color w:val="000000"/>
                <w:sz w:val="20"/>
                <w:szCs w:val="20"/>
                <w:lang w:eastAsia="nl-BE"/>
              </w:rPr>
            </w:pPr>
          </w:p>
        </w:tc>
        <w:tc>
          <w:tcPr>
            <w:tcW w:w="281" w:type="pct"/>
            <w:tcBorders>
              <w:top w:val="nil"/>
              <w:left w:val="nil"/>
              <w:bottom w:val="single" w:sz="4" w:space="0" w:color="auto"/>
              <w:right w:val="single" w:sz="4" w:space="0" w:color="auto"/>
            </w:tcBorders>
            <w:shd w:val="clear" w:color="auto" w:fill="auto"/>
            <w:vAlign w:val="center"/>
            <w:hideMark/>
          </w:tcPr>
          <w:p w14:paraId="3418C243" w14:textId="77777777" w:rsidR="00F440F5" w:rsidRPr="00F440F5" w:rsidRDefault="00F440F5" w:rsidP="00F440F5">
            <w:pPr>
              <w:jc w:val="center"/>
              <w:rPr>
                <w:rFonts w:eastAsia="Times New Roman" w:cstheme="minorHAnsi"/>
                <w:b/>
                <w:bCs/>
                <w:color w:val="000000"/>
                <w:sz w:val="20"/>
                <w:szCs w:val="20"/>
                <w:lang w:eastAsia="nl-BE"/>
              </w:rPr>
            </w:pPr>
            <w:r w:rsidRPr="00F440F5">
              <w:rPr>
                <w:rFonts w:eastAsia="Times New Roman" w:cstheme="minorHAnsi"/>
                <w:b/>
                <w:bCs/>
                <w:color w:val="000000"/>
                <w:sz w:val="20"/>
                <w:szCs w:val="20"/>
                <w:lang w:eastAsia="nl-BE"/>
              </w:rPr>
              <w:t>0</w:t>
            </w:r>
          </w:p>
        </w:tc>
        <w:tc>
          <w:tcPr>
            <w:tcW w:w="281" w:type="pct"/>
            <w:tcBorders>
              <w:top w:val="nil"/>
              <w:left w:val="nil"/>
              <w:bottom w:val="single" w:sz="4" w:space="0" w:color="auto"/>
              <w:right w:val="single" w:sz="4" w:space="0" w:color="auto"/>
            </w:tcBorders>
            <w:shd w:val="clear" w:color="auto" w:fill="auto"/>
            <w:vAlign w:val="center"/>
            <w:hideMark/>
          </w:tcPr>
          <w:p w14:paraId="34E1568A" w14:textId="77777777" w:rsidR="00F440F5" w:rsidRPr="00F440F5" w:rsidRDefault="00F440F5" w:rsidP="00F440F5">
            <w:pPr>
              <w:jc w:val="center"/>
              <w:rPr>
                <w:rFonts w:eastAsia="Times New Roman" w:cstheme="minorHAnsi"/>
                <w:b/>
                <w:bCs/>
                <w:color w:val="000000"/>
                <w:sz w:val="20"/>
                <w:szCs w:val="20"/>
                <w:lang w:eastAsia="nl-BE"/>
              </w:rPr>
            </w:pPr>
            <w:r w:rsidRPr="00F440F5">
              <w:rPr>
                <w:rFonts w:eastAsia="Times New Roman" w:cstheme="minorHAnsi"/>
                <w:b/>
                <w:bCs/>
                <w:color w:val="000000"/>
                <w:sz w:val="20"/>
                <w:szCs w:val="20"/>
                <w:lang w:eastAsia="nl-BE"/>
              </w:rPr>
              <w:t>643</w:t>
            </w:r>
          </w:p>
        </w:tc>
        <w:tc>
          <w:tcPr>
            <w:tcW w:w="626" w:type="pct"/>
            <w:tcBorders>
              <w:top w:val="nil"/>
              <w:left w:val="nil"/>
              <w:bottom w:val="single" w:sz="4" w:space="0" w:color="auto"/>
              <w:right w:val="single" w:sz="4" w:space="0" w:color="auto"/>
            </w:tcBorders>
            <w:shd w:val="clear" w:color="auto" w:fill="auto"/>
            <w:vAlign w:val="center"/>
            <w:hideMark/>
          </w:tcPr>
          <w:p w14:paraId="43C1B513" w14:textId="77777777" w:rsidR="00F440F5" w:rsidRPr="00F440F5" w:rsidRDefault="00F440F5" w:rsidP="00F440F5">
            <w:pPr>
              <w:jc w:val="center"/>
              <w:rPr>
                <w:rFonts w:eastAsia="Times New Roman" w:cstheme="minorHAnsi"/>
                <w:b/>
                <w:bCs/>
                <w:color w:val="000000"/>
                <w:sz w:val="20"/>
                <w:szCs w:val="20"/>
                <w:lang w:eastAsia="nl-BE"/>
              </w:rPr>
            </w:pPr>
            <w:r w:rsidRPr="00F440F5">
              <w:rPr>
                <w:rFonts w:eastAsia="Times New Roman" w:cstheme="minorHAnsi"/>
                <w:b/>
                <w:bCs/>
                <w:color w:val="000000"/>
                <w:sz w:val="20"/>
                <w:szCs w:val="20"/>
                <w:lang w:eastAsia="nl-BE"/>
              </w:rPr>
              <w:t>417</w:t>
            </w:r>
          </w:p>
        </w:tc>
        <w:tc>
          <w:tcPr>
            <w:tcW w:w="626" w:type="pct"/>
            <w:tcBorders>
              <w:top w:val="nil"/>
              <w:left w:val="nil"/>
              <w:bottom w:val="single" w:sz="4" w:space="0" w:color="auto"/>
              <w:right w:val="single" w:sz="4" w:space="0" w:color="auto"/>
            </w:tcBorders>
            <w:shd w:val="clear" w:color="auto" w:fill="auto"/>
            <w:vAlign w:val="center"/>
            <w:hideMark/>
          </w:tcPr>
          <w:p w14:paraId="794C804A" w14:textId="77777777" w:rsidR="00F440F5" w:rsidRPr="00F440F5" w:rsidRDefault="00F440F5" w:rsidP="00F440F5">
            <w:pPr>
              <w:jc w:val="center"/>
              <w:rPr>
                <w:rFonts w:eastAsia="Times New Roman" w:cstheme="minorHAnsi"/>
                <w:b/>
                <w:bCs/>
                <w:color w:val="000000"/>
                <w:sz w:val="20"/>
                <w:szCs w:val="20"/>
                <w:lang w:eastAsia="nl-BE"/>
              </w:rPr>
            </w:pPr>
            <w:r w:rsidRPr="00F440F5">
              <w:rPr>
                <w:rFonts w:eastAsia="Times New Roman" w:cstheme="minorHAnsi"/>
                <w:b/>
                <w:bCs/>
                <w:color w:val="000000"/>
                <w:sz w:val="20"/>
                <w:szCs w:val="20"/>
                <w:lang w:eastAsia="nl-BE"/>
              </w:rPr>
              <w:t>643</w:t>
            </w:r>
          </w:p>
        </w:tc>
        <w:tc>
          <w:tcPr>
            <w:tcW w:w="626" w:type="pct"/>
            <w:tcBorders>
              <w:top w:val="nil"/>
              <w:left w:val="nil"/>
              <w:bottom w:val="single" w:sz="4" w:space="0" w:color="auto"/>
              <w:right w:val="single" w:sz="4" w:space="0" w:color="auto"/>
            </w:tcBorders>
            <w:shd w:val="clear" w:color="auto" w:fill="auto"/>
            <w:vAlign w:val="center"/>
            <w:hideMark/>
          </w:tcPr>
          <w:p w14:paraId="06E28C13" w14:textId="77777777" w:rsidR="00F440F5" w:rsidRPr="00F440F5" w:rsidRDefault="00F440F5" w:rsidP="00F440F5">
            <w:pPr>
              <w:jc w:val="center"/>
              <w:rPr>
                <w:rFonts w:eastAsia="Times New Roman" w:cstheme="minorHAnsi"/>
                <w:b/>
                <w:bCs/>
                <w:color w:val="000000"/>
                <w:sz w:val="20"/>
                <w:szCs w:val="20"/>
                <w:lang w:eastAsia="nl-BE"/>
              </w:rPr>
            </w:pPr>
            <w:r w:rsidRPr="00F440F5">
              <w:rPr>
                <w:rFonts w:eastAsia="Times New Roman" w:cstheme="minorHAnsi"/>
                <w:b/>
                <w:bCs/>
                <w:color w:val="000000"/>
                <w:sz w:val="20"/>
                <w:szCs w:val="20"/>
                <w:lang w:eastAsia="nl-BE"/>
              </w:rPr>
              <w:t>907</w:t>
            </w:r>
          </w:p>
        </w:tc>
        <w:tc>
          <w:tcPr>
            <w:tcW w:w="626" w:type="pct"/>
            <w:tcBorders>
              <w:top w:val="nil"/>
              <w:left w:val="nil"/>
              <w:bottom w:val="single" w:sz="4" w:space="0" w:color="auto"/>
              <w:right w:val="single" w:sz="4" w:space="0" w:color="auto"/>
            </w:tcBorders>
            <w:shd w:val="clear" w:color="auto" w:fill="auto"/>
            <w:vAlign w:val="center"/>
            <w:hideMark/>
          </w:tcPr>
          <w:p w14:paraId="3C246BAD" w14:textId="77777777" w:rsidR="00F440F5" w:rsidRPr="00F440F5" w:rsidRDefault="00F440F5" w:rsidP="00F440F5">
            <w:pPr>
              <w:jc w:val="center"/>
              <w:rPr>
                <w:rFonts w:eastAsia="Times New Roman" w:cstheme="minorHAnsi"/>
                <w:b/>
                <w:bCs/>
                <w:color w:val="000000"/>
                <w:sz w:val="20"/>
                <w:szCs w:val="20"/>
                <w:lang w:eastAsia="nl-BE"/>
              </w:rPr>
            </w:pPr>
            <w:r w:rsidRPr="00F440F5">
              <w:rPr>
                <w:rFonts w:eastAsia="Times New Roman" w:cstheme="minorHAnsi"/>
                <w:b/>
                <w:bCs/>
                <w:color w:val="000000"/>
                <w:sz w:val="20"/>
                <w:szCs w:val="20"/>
                <w:lang w:eastAsia="nl-BE"/>
              </w:rPr>
              <w:t>1.250</w:t>
            </w:r>
          </w:p>
        </w:tc>
        <w:tc>
          <w:tcPr>
            <w:tcW w:w="626" w:type="pct"/>
            <w:tcBorders>
              <w:top w:val="nil"/>
              <w:left w:val="nil"/>
              <w:bottom w:val="single" w:sz="4" w:space="0" w:color="auto"/>
              <w:right w:val="single" w:sz="4" w:space="0" w:color="auto"/>
            </w:tcBorders>
            <w:shd w:val="clear" w:color="auto" w:fill="auto"/>
            <w:vAlign w:val="center"/>
            <w:hideMark/>
          </w:tcPr>
          <w:p w14:paraId="5C439D38" w14:textId="77777777" w:rsidR="00F440F5" w:rsidRPr="00F440F5" w:rsidRDefault="00F440F5" w:rsidP="00F440F5">
            <w:pPr>
              <w:jc w:val="center"/>
              <w:rPr>
                <w:rFonts w:eastAsia="Times New Roman" w:cstheme="minorHAnsi"/>
                <w:b/>
                <w:bCs/>
                <w:color w:val="000000"/>
                <w:sz w:val="20"/>
                <w:szCs w:val="20"/>
                <w:lang w:eastAsia="nl-BE"/>
              </w:rPr>
            </w:pPr>
            <w:r w:rsidRPr="00F440F5">
              <w:rPr>
                <w:rFonts w:eastAsia="Times New Roman" w:cstheme="minorHAnsi"/>
                <w:b/>
                <w:bCs/>
                <w:color w:val="000000"/>
                <w:sz w:val="20"/>
                <w:szCs w:val="20"/>
                <w:lang w:eastAsia="nl-BE"/>
              </w:rPr>
              <w:t>1.450</w:t>
            </w:r>
          </w:p>
        </w:tc>
        <w:tc>
          <w:tcPr>
            <w:tcW w:w="626" w:type="pct"/>
            <w:tcBorders>
              <w:top w:val="nil"/>
              <w:left w:val="nil"/>
              <w:bottom w:val="single" w:sz="4" w:space="0" w:color="auto"/>
              <w:right w:val="single" w:sz="4" w:space="0" w:color="auto"/>
            </w:tcBorders>
            <w:shd w:val="clear" w:color="auto" w:fill="auto"/>
            <w:vAlign w:val="center"/>
            <w:hideMark/>
          </w:tcPr>
          <w:p w14:paraId="28F3513A" w14:textId="77777777" w:rsidR="00F440F5" w:rsidRPr="00F440F5" w:rsidRDefault="00F440F5" w:rsidP="00F440F5">
            <w:pPr>
              <w:jc w:val="center"/>
              <w:rPr>
                <w:rFonts w:eastAsia="Times New Roman" w:cstheme="minorHAnsi"/>
                <w:b/>
                <w:bCs/>
                <w:color w:val="000000"/>
                <w:sz w:val="20"/>
                <w:szCs w:val="20"/>
                <w:lang w:eastAsia="nl-BE"/>
              </w:rPr>
            </w:pPr>
            <w:r w:rsidRPr="00F440F5">
              <w:rPr>
                <w:rFonts w:eastAsia="Times New Roman" w:cstheme="minorHAnsi"/>
                <w:b/>
                <w:bCs/>
                <w:color w:val="000000"/>
                <w:sz w:val="20"/>
                <w:szCs w:val="20"/>
                <w:lang w:eastAsia="nl-BE"/>
              </w:rPr>
              <w:t>1.786</w:t>
            </w:r>
          </w:p>
        </w:tc>
      </w:tr>
      <w:tr w:rsidR="00F440F5" w:rsidRPr="00F440F5" w14:paraId="1921BAA9" w14:textId="77777777" w:rsidTr="0054699F">
        <w:trPr>
          <w:trHeight w:val="600"/>
        </w:trPr>
        <w:tc>
          <w:tcPr>
            <w:tcW w:w="684"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8519120" w14:textId="77777777" w:rsidR="00F440F5" w:rsidRPr="00F440F5" w:rsidRDefault="00F440F5" w:rsidP="00F440F5">
            <w:pPr>
              <w:rPr>
                <w:rFonts w:eastAsia="Times New Roman" w:cstheme="minorHAnsi"/>
                <w:b/>
                <w:bCs/>
                <w:color w:val="000000"/>
                <w:sz w:val="20"/>
                <w:szCs w:val="20"/>
                <w:lang w:eastAsia="nl-BE"/>
              </w:rPr>
            </w:pPr>
            <w:r w:rsidRPr="00F440F5">
              <w:rPr>
                <w:rFonts w:eastAsia="Times New Roman" w:cstheme="minorHAnsi"/>
                <w:b/>
                <w:bCs/>
                <w:color w:val="000000"/>
                <w:sz w:val="20"/>
                <w:szCs w:val="20"/>
                <w:lang w:eastAsia="nl-BE"/>
              </w:rPr>
              <w:t>M.b.t. AJ 2016</w:t>
            </w:r>
          </w:p>
        </w:tc>
        <w:tc>
          <w:tcPr>
            <w:tcW w:w="281" w:type="pct"/>
            <w:tcBorders>
              <w:top w:val="nil"/>
              <w:left w:val="nil"/>
              <w:bottom w:val="single" w:sz="4" w:space="0" w:color="auto"/>
              <w:right w:val="single" w:sz="4" w:space="0" w:color="auto"/>
            </w:tcBorders>
            <w:shd w:val="clear" w:color="auto" w:fill="auto"/>
            <w:noWrap/>
            <w:vAlign w:val="center"/>
            <w:hideMark/>
          </w:tcPr>
          <w:p w14:paraId="4C3952B0" w14:textId="77777777" w:rsidR="00F440F5" w:rsidRPr="00F440F5" w:rsidRDefault="00F440F5" w:rsidP="00F440F5">
            <w:pPr>
              <w:jc w:val="center"/>
              <w:rPr>
                <w:rFonts w:eastAsia="Times New Roman" w:cstheme="minorHAnsi"/>
                <w:color w:val="000000"/>
                <w:sz w:val="20"/>
                <w:szCs w:val="20"/>
                <w:lang w:eastAsia="nl-BE"/>
              </w:rPr>
            </w:pPr>
            <w:r w:rsidRPr="00F440F5">
              <w:rPr>
                <w:rFonts w:eastAsia="Times New Roman" w:cstheme="minorHAnsi"/>
                <w:color w:val="000000"/>
                <w:sz w:val="20"/>
                <w:szCs w:val="20"/>
                <w:lang w:eastAsia="nl-BE"/>
              </w:rPr>
              <w:t> </w:t>
            </w:r>
          </w:p>
        </w:tc>
        <w:tc>
          <w:tcPr>
            <w:tcW w:w="281" w:type="pct"/>
            <w:tcBorders>
              <w:top w:val="nil"/>
              <w:left w:val="nil"/>
              <w:bottom w:val="single" w:sz="4" w:space="0" w:color="auto"/>
              <w:right w:val="single" w:sz="4" w:space="0" w:color="auto"/>
            </w:tcBorders>
            <w:shd w:val="clear" w:color="auto" w:fill="auto"/>
            <w:noWrap/>
            <w:vAlign w:val="center"/>
            <w:hideMark/>
          </w:tcPr>
          <w:p w14:paraId="4E261084" w14:textId="77777777" w:rsidR="00F440F5" w:rsidRPr="00F440F5" w:rsidRDefault="00F440F5" w:rsidP="00F440F5">
            <w:pPr>
              <w:jc w:val="center"/>
              <w:rPr>
                <w:rFonts w:eastAsia="Times New Roman" w:cstheme="minorHAnsi"/>
                <w:color w:val="000000"/>
                <w:sz w:val="20"/>
                <w:szCs w:val="20"/>
                <w:lang w:eastAsia="nl-BE"/>
              </w:rPr>
            </w:pPr>
            <w:r w:rsidRPr="00F440F5">
              <w:rPr>
                <w:rFonts w:eastAsia="Times New Roman" w:cstheme="minorHAnsi"/>
                <w:color w:val="000000"/>
                <w:sz w:val="20"/>
                <w:szCs w:val="20"/>
                <w:lang w:eastAsia="nl-BE"/>
              </w:rPr>
              <w:t> </w:t>
            </w:r>
          </w:p>
        </w:tc>
        <w:tc>
          <w:tcPr>
            <w:tcW w:w="626" w:type="pct"/>
            <w:tcBorders>
              <w:top w:val="nil"/>
              <w:left w:val="nil"/>
              <w:bottom w:val="single" w:sz="4" w:space="0" w:color="auto"/>
              <w:right w:val="single" w:sz="4" w:space="0" w:color="auto"/>
            </w:tcBorders>
            <w:shd w:val="clear" w:color="auto" w:fill="auto"/>
            <w:vAlign w:val="center"/>
            <w:hideMark/>
          </w:tcPr>
          <w:p w14:paraId="255464FB" w14:textId="77777777" w:rsidR="00F440F5" w:rsidRPr="00F440F5" w:rsidRDefault="00F440F5" w:rsidP="00F440F5">
            <w:pPr>
              <w:jc w:val="center"/>
              <w:rPr>
                <w:rFonts w:eastAsia="Times New Roman" w:cstheme="minorHAnsi"/>
                <w:color w:val="000000"/>
                <w:sz w:val="20"/>
                <w:szCs w:val="20"/>
                <w:lang w:eastAsia="nl-BE"/>
              </w:rPr>
            </w:pPr>
            <w:r w:rsidRPr="00F440F5">
              <w:rPr>
                <w:rFonts w:eastAsia="Times New Roman" w:cstheme="minorHAnsi"/>
                <w:color w:val="000000"/>
                <w:sz w:val="20"/>
                <w:szCs w:val="20"/>
                <w:lang w:eastAsia="nl-BE"/>
              </w:rPr>
              <w:t>som van maandelijkse</w:t>
            </w:r>
            <w:r w:rsidRPr="00F440F5">
              <w:rPr>
                <w:rFonts w:eastAsia="Times New Roman" w:cstheme="minorHAnsi"/>
                <w:color w:val="000000"/>
                <w:sz w:val="20"/>
                <w:szCs w:val="20"/>
                <w:lang w:eastAsia="nl-BE"/>
              </w:rPr>
              <w:br/>
              <w:t>afrekeningen</w:t>
            </w:r>
          </w:p>
        </w:tc>
        <w:tc>
          <w:tcPr>
            <w:tcW w:w="626" w:type="pct"/>
            <w:tcBorders>
              <w:top w:val="nil"/>
              <w:left w:val="nil"/>
              <w:bottom w:val="single" w:sz="4" w:space="0" w:color="auto"/>
              <w:right w:val="single" w:sz="4" w:space="0" w:color="auto"/>
            </w:tcBorders>
            <w:shd w:val="clear" w:color="auto" w:fill="auto"/>
            <w:vAlign w:val="center"/>
            <w:hideMark/>
          </w:tcPr>
          <w:p w14:paraId="31B2C089" w14:textId="77777777" w:rsidR="00F440F5" w:rsidRPr="00F440F5" w:rsidRDefault="00F440F5" w:rsidP="00F440F5">
            <w:pPr>
              <w:jc w:val="center"/>
              <w:rPr>
                <w:rFonts w:eastAsia="Times New Roman" w:cstheme="minorHAnsi"/>
                <w:color w:val="000000"/>
                <w:sz w:val="20"/>
                <w:szCs w:val="20"/>
                <w:lang w:eastAsia="nl-BE"/>
              </w:rPr>
            </w:pPr>
            <w:r w:rsidRPr="00F440F5">
              <w:rPr>
                <w:rFonts w:eastAsia="Times New Roman" w:cstheme="minorHAnsi"/>
                <w:color w:val="000000"/>
                <w:sz w:val="20"/>
                <w:szCs w:val="20"/>
                <w:lang w:eastAsia="nl-BE"/>
              </w:rPr>
              <w:t>som van maandelijkse</w:t>
            </w:r>
            <w:r w:rsidRPr="00F440F5">
              <w:rPr>
                <w:rFonts w:eastAsia="Times New Roman" w:cstheme="minorHAnsi"/>
                <w:color w:val="000000"/>
                <w:sz w:val="20"/>
                <w:szCs w:val="20"/>
                <w:lang w:eastAsia="nl-BE"/>
              </w:rPr>
              <w:br/>
              <w:t>afrekeningen</w:t>
            </w:r>
          </w:p>
        </w:tc>
        <w:tc>
          <w:tcPr>
            <w:tcW w:w="626" w:type="pct"/>
            <w:tcBorders>
              <w:top w:val="nil"/>
              <w:left w:val="nil"/>
              <w:bottom w:val="single" w:sz="4" w:space="0" w:color="auto"/>
              <w:right w:val="single" w:sz="4" w:space="0" w:color="auto"/>
            </w:tcBorders>
            <w:shd w:val="clear" w:color="auto" w:fill="auto"/>
            <w:vAlign w:val="center"/>
            <w:hideMark/>
          </w:tcPr>
          <w:p w14:paraId="319108F5" w14:textId="77777777" w:rsidR="00F440F5" w:rsidRPr="00F440F5" w:rsidRDefault="00F440F5" w:rsidP="00F440F5">
            <w:pPr>
              <w:jc w:val="center"/>
              <w:rPr>
                <w:rFonts w:eastAsia="Times New Roman" w:cstheme="minorHAnsi"/>
                <w:color w:val="000000"/>
                <w:sz w:val="20"/>
                <w:szCs w:val="20"/>
                <w:lang w:eastAsia="nl-BE"/>
              </w:rPr>
            </w:pPr>
            <w:r w:rsidRPr="00F440F5">
              <w:rPr>
                <w:rFonts w:eastAsia="Times New Roman" w:cstheme="minorHAnsi"/>
                <w:color w:val="000000"/>
                <w:sz w:val="20"/>
                <w:szCs w:val="20"/>
                <w:lang w:eastAsia="nl-BE"/>
              </w:rPr>
              <w:t>som van maandelijkse</w:t>
            </w:r>
            <w:r w:rsidRPr="00F440F5">
              <w:rPr>
                <w:rFonts w:eastAsia="Times New Roman" w:cstheme="minorHAnsi"/>
                <w:color w:val="000000"/>
                <w:sz w:val="20"/>
                <w:szCs w:val="20"/>
                <w:lang w:eastAsia="nl-BE"/>
              </w:rPr>
              <w:br/>
              <w:t>afrekeningen</w:t>
            </w:r>
          </w:p>
        </w:tc>
        <w:tc>
          <w:tcPr>
            <w:tcW w:w="626" w:type="pct"/>
            <w:tcBorders>
              <w:top w:val="nil"/>
              <w:left w:val="nil"/>
              <w:bottom w:val="single" w:sz="4" w:space="0" w:color="auto"/>
              <w:right w:val="single" w:sz="4" w:space="0" w:color="auto"/>
            </w:tcBorders>
            <w:shd w:val="clear" w:color="auto" w:fill="auto"/>
            <w:vAlign w:val="center"/>
            <w:hideMark/>
          </w:tcPr>
          <w:p w14:paraId="241179E5" w14:textId="77777777" w:rsidR="00F440F5" w:rsidRPr="00F440F5" w:rsidRDefault="00F440F5" w:rsidP="00F440F5">
            <w:pPr>
              <w:jc w:val="center"/>
              <w:rPr>
                <w:rFonts w:eastAsia="Times New Roman" w:cstheme="minorHAnsi"/>
                <w:color w:val="000000"/>
                <w:sz w:val="20"/>
                <w:szCs w:val="20"/>
                <w:lang w:eastAsia="nl-BE"/>
              </w:rPr>
            </w:pPr>
            <w:r w:rsidRPr="00F440F5">
              <w:rPr>
                <w:rFonts w:eastAsia="Times New Roman" w:cstheme="minorHAnsi"/>
                <w:color w:val="000000"/>
                <w:sz w:val="20"/>
                <w:szCs w:val="20"/>
                <w:lang w:eastAsia="nl-BE"/>
              </w:rPr>
              <w:t>som van maandelijkse</w:t>
            </w:r>
            <w:r w:rsidRPr="00F440F5">
              <w:rPr>
                <w:rFonts w:eastAsia="Times New Roman" w:cstheme="minorHAnsi"/>
                <w:color w:val="000000"/>
                <w:sz w:val="20"/>
                <w:szCs w:val="20"/>
                <w:lang w:eastAsia="nl-BE"/>
              </w:rPr>
              <w:br/>
              <w:t>afrekeningen</w:t>
            </w:r>
          </w:p>
        </w:tc>
        <w:tc>
          <w:tcPr>
            <w:tcW w:w="626" w:type="pct"/>
            <w:tcBorders>
              <w:top w:val="nil"/>
              <w:left w:val="nil"/>
              <w:bottom w:val="single" w:sz="4" w:space="0" w:color="auto"/>
              <w:right w:val="single" w:sz="4" w:space="0" w:color="auto"/>
            </w:tcBorders>
            <w:shd w:val="clear" w:color="auto" w:fill="auto"/>
            <w:vAlign w:val="center"/>
            <w:hideMark/>
          </w:tcPr>
          <w:p w14:paraId="4D7E0654" w14:textId="77777777" w:rsidR="00F440F5" w:rsidRPr="00F440F5" w:rsidRDefault="00F440F5" w:rsidP="00F440F5">
            <w:pPr>
              <w:jc w:val="center"/>
              <w:rPr>
                <w:rFonts w:eastAsia="Times New Roman" w:cstheme="minorHAnsi"/>
                <w:color w:val="000000"/>
                <w:sz w:val="20"/>
                <w:szCs w:val="20"/>
                <w:lang w:eastAsia="nl-BE"/>
              </w:rPr>
            </w:pPr>
            <w:r w:rsidRPr="00F440F5">
              <w:rPr>
                <w:rFonts w:eastAsia="Times New Roman" w:cstheme="minorHAnsi"/>
                <w:color w:val="000000"/>
                <w:sz w:val="20"/>
                <w:szCs w:val="20"/>
                <w:lang w:eastAsia="nl-BE"/>
              </w:rPr>
              <w:t>som van maandelijkse</w:t>
            </w:r>
            <w:r w:rsidRPr="00F440F5">
              <w:rPr>
                <w:rFonts w:eastAsia="Times New Roman" w:cstheme="minorHAnsi"/>
                <w:color w:val="000000"/>
                <w:sz w:val="20"/>
                <w:szCs w:val="20"/>
                <w:lang w:eastAsia="nl-BE"/>
              </w:rPr>
              <w:br/>
              <w:t>afrekeningen</w:t>
            </w:r>
          </w:p>
        </w:tc>
        <w:tc>
          <w:tcPr>
            <w:tcW w:w="626" w:type="pct"/>
            <w:tcBorders>
              <w:top w:val="nil"/>
              <w:left w:val="nil"/>
              <w:bottom w:val="single" w:sz="4" w:space="0" w:color="auto"/>
              <w:right w:val="single" w:sz="4" w:space="0" w:color="auto"/>
            </w:tcBorders>
            <w:shd w:val="clear" w:color="auto" w:fill="auto"/>
            <w:vAlign w:val="center"/>
            <w:hideMark/>
          </w:tcPr>
          <w:p w14:paraId="76C5B0EF" w14:textId="77777777" w:rsidR="00F440F5" w:rsidRPr="00F440F5" w:rsidRDefault="00F440F5" w:rsidP="00F440F5">
            <w:pPr>
              <w:jc w:val="center"/>
              <w:rPr>
                <w:rFonts w:eastAsia="Times New Roman" w:cstheme="minorHAnsi"/>
                <w:color w:val="000000"/>
                <w:sz w:val="20"/>
                <w:szCs w:val="20"/>
                <w:lang w:eastAsia="nl-BE"/>
              </w:rPr>
            </w:pPr>
            <w:r w:rsidRPr="00F440F5">
              <w:rPr>
                <w:rFonts w:eastAsia="Times New Roman" w:cstheme="minorHAnsi"/>
                <w:color w:val="000000"/>
                <w:sz w:val="20"/>
                <w:szCs w:val="20"/>
                <w:lang w:eastAsia="nl-BE"/>
              </w:rPr>
              <w:t>som van maandelijkse</w:t>
            </w:r>
            <w:r w:rsidRPr="00F440F5">
              <w:rPr>
                <w:rFonts w:eastAsia="Times New Roman" w:cstheme="minorHAnsi"/>
                <w:color w:val="000000"/>
                <w:sz w:val="20"/>
                <w:szCs w:val="20"/>
                <w:lang w:eastAsia="nl-BE"/>
              </w:rPr>
              <w:br/>
              <w:t>afrekeningen</w:t>
            </w:r>
          </w:p>
        </w:tc>
      </w:tr>
      <w:tr w:rsidR="00F440F5" w:rsidRPr="00F440F5" w14:paraId="168832A4" w14:textId="77777777" w:rsidTr="0054699F">
        <w:trPr>
          <w:trHeight w:val="300"/>
        </w:trPr>
        <w:tc>
          <w:tcPr>
            <w:tcW w:w="684" w:type="pct"/>
            <w:vMerge/>
            <w:tcBorders>
              <w:top w:val="nil"/>
              <w:left w:val="single" w:sz="4" w:space="0" w:color="auto"/>
              <w:bottom w:val="single" w:sz="4" w:space="0" w:color="000000"/>
              <w:right w:val="single" w:sz="4" w:space="0" w:color="auto"/>
            </w:tcBorders>
            <w:vAlign w:val="center"/>
            <w:hideMark/>
          </w:tcPr>
          <w:p w14:paraId="3E02A65C" w14:textId="77777777" w:rsidR="00F440F5" w:rsidRPr="00F440F5" w:rsidRDefault="00F440F5" w:rsidP="00F440F5">
            <w:pPr>
              <w:rPr>
                <w:rFonts w:eastAsia="Times New Roman" w:cstheme="minorHAnsi"/>
                <w:b/>
                <w:bCs/>
                <w:color w:val="000000"/>
                <w:sz w:val="20"/>
                <w:szCs w:val="20"/>
                <w:lang w:eastAsia="nl-BE"/>
              </w:rPr>
            </w:pPr>
          </w:p>
        </w:tc>
        <w:tc>
          <w:tcPr>
            <w:tcW w:w="281" w:type="pct"/>
            <w:tcBorders>
              <w:top w:val="nil"/>
              <w:left w:val="nil"/>
              <w:bottom w:val="single" w:sz="4" w:space="0" w:color="auto"/>
              <w:right w:val="single" w:sz="4" w:space="0" w:color="auto"/>
            </w:tcBorders>
            <w:shd w:val="clear" w:color="auto" w:fill="auto"/>
            <w:vAlign w:val="center"/>
            <w:hideMark/>
          </w:tcPr>
          <w:p w14:paraId="06B4DD69" w14:textId="77777777" w:rsidR="00F440F5" w:rsidRPr="00F440F5" w:rsidRDefault="00F440F5" w:rsidP="00F440F5">
            <w:pPr>
              <w:jc w:val="center"/>
              <w:rPr>
                <w:rFonts w:eastAsia="Times New Roman" w:cstheme="minorHAnsi"/>
                <w:b/>
                <w:bCs/>
                <w:color w:val="000000"/>
                <w:sz w:val="20"/>
                <w:szCs w:val="20"/>
                <w:lang w:eastAsia="nl-BE"/>
              </w:rPr>
            </w:pPr>
            <w:r w:rsidRPr="00F440F5">
              <w:rPr>
                <w:rFonts w:eastAsia="Times New Roman" w:cstheme="minorHAnsi"/>
                <w:b/>
                <w:bCs/>
                <w:color w:val="000000"/>
                <w:sz w:val="20"/>
                <w:szCs w:val="20"/>
                <w:lang w:eastAsia="nl-BE"/>
              </w:rPr>
              <w:t>4.129</w:t>
            </w:r>
          </w:p>
        </w:tc>
        <w:tc>
          <w:tcPr>
            <w:tcW w:w="281" w:type="pct"/>
            <w:tcBorders>
              <w:top w:val="nil"/>
              <w:left w:val="nil"/>
              <w:bottom w:val="single" w:sz="4" w:space="0" w:color="auto"/>
              <w:right w:val="single" w:sz="4" w:space="0" w:color="auto"/>
            </w:tcBorders>
            <w:shd w:val="clear" w:color="auto" w:fill="auto"/>
            <w:vAlign w:val="center"/>
            <w:hideMark/>
          </w:tcPr>
          <w:p w14:paraId="639EAB48" w14:textId="77777777" w:rsidR="00F440F5" w:rsidRPr="00F440F5" w:rsidRDefault="00F440F5" w:rsidP="00F440F5">
            <w:pPr>
              <w:jc w:val="center"/>
              <w:rPr>
                <w:rFonts w:eastAsia="Times New Roman" w:cstheme="minorHAnsi"/>
                <w:b/>
                <w:bCs/>
                <w:color w:val="000000"/>
                <w:sz w:val="20"/>
                <w:szCs w:val="20"/>
                <w:lang w:eastAsia="nl-BE"/>
              </w:rPr>
            </w:pPr>
            <w:r w:rsidRPr="00F440F5">
              <w:rPr>
                <w:rFonts w:eastAsia="Times New Roman" w:cstheme="minorHAnsi"/>
                <w:b/>
                <w:bCs/>
                <w:color w:val="000000"/>
                <w:sz w:val="20"/>
                <w:szCs w:val="20"/>
                <w:lang w:eastAsia="nl-BE"/>
              </w:rPr>
              <w:t>4.807</w:t>
            </w:r>
          </w:p>
        </w:tc>
        <w:tc>
          <w:tcPr>
            <w:tcW w:w="626" w:type="pct"/>
            <w:tcBorders>
              <w:top w:val="nil"/>
              <w:left w:val="nil"/>
              <w:bottom w:val="single" w:sz="4" w:space="0" w:color="auto"/>
              <w:right w:val="single" w:sz="4" w:space="0" w:color="auto"/>
            </w:tcBorders>
            <w:shd w:val="clear" w:color="auto" w:fill="auto"/>
            <w:vAlign w:val="center"/>
            <w:hideMark/>
          </w:tcPr>
          <w:p w14:paraId="591DD474" w14:textId="77777777" w:rsidR="00F440F5" w:rsidRPr="00F440F5" w:rsidRDefault="00F440F5" w:rsidP="00F440F5">
            <w:pPr>
              <w:jc w:val="center"/>
              <w:rPr>
                <w:rFonts w:eastAsia="Times New Roman" w:cstheme="minorHAnsi"/>
                <w:b/>
                <w:bCs/>
                <w:color w:val="000000"/>
                <w:sz w:val="20"/>
                <w:szCs w:val="20"/>
                <w:lang w:eastAsia="nl-BE"/>
              </w:rPr>
            </w:pPr>
            <w:r w:rsidRPr="00F440F5">
              <w:rPr>
                <w:rFonts w:eastAsia="Times New Roman" w:cstheme="minorHAnsi"/>
                <w:b/>
                <w:bCs/>
                <w:color w:val="000000"/>
                <w:sz w:val="20"/>
                <w:szCs w:val="20"/>
                <w:lang w:eastAsia="nl-BE"/>
              </w:rPr>
              <w:t>4.284</w:t>
            </w:r>
          </w:p>
        </w:tc>
        <w:tc>
          <w:tcPr>
            <w:tcW w:w="626" w:type="pct"/>
            <w:tcBorders>
              <w:top w:val="nil"/>
              <w:left w:val="nil"/>
              <w:bottom w:val="single" w:sz="4" w:space="0" w:color="auto"/>
              <w:right w:val="single" w:sz="4" w:space="0" w:color="auto"/>
            </w:tcBorders>
            <w:shd w:val="clear" w:color="auto" w:fill="auto"/>
            <w:vAlign w:val="center"/>
            <w:hideMark/>
          </w:tcPr>
          <w:p w14:paraId="686C442C" w14:textId="77777777" w:rsidR="00F440F5" w:rsidRPr="00F440F5" w:rsidRDefault="00F440F5" w:rsidP="00F440F5">
            <w:pPr>
              <w:jc w:val="center"/>
              <w:rPr>
                <w:rFonts w:eastAsia="Times New Roman" w:cstheme="minorHAnsi"/>
                <w:b/>
                <w:bCs/>
                <w:color w:val="000000"/>
                <w:sz w:val="20"/>
                <w:szCs w:val="20"/>
                <w:lang w:eastAsia="nl-BE"/>
              </w:rPr>
            </w:pPr>
            <w:r w:rsidRPr="00F440F5">
              <w:rPr>
                <w:rFonts w:eastAsia="Times New Roman" w:cstheme="minorHAnsi"/>
                <w:b/>
                <w:bCs/>
                <w:color w:val="000000"/>
                <w:sz w:val="20"/>
                <w:szCs w:val="20"/>
                <w:lang w:eastAsia="nl-BE"/>
              </w:rPr>
              <w:t>4.807</w:t>
            </w:r>
          </w:p>
        </w:tc>
        <w:tc>
          <w:tcPr>
            <w:tcW w:w="626" w:type="pct"/>
            <w:tcBorders>
              <w:top w:val="nil"/>
              <w:left w:val="nil"/>
              <w:bottom w:val="single" w:sz="4" w:space="0" w:color="auto"/>
              <w:right w:val="single" w:sz="4" w:space="0" w:color="auto"/>
            </w:tcBorders>
            <w:shd w:val="clear" w:color="auto" w:fill="auto"/>
            <w:vAlign w:val="center"/>
            <w:hideMark/>
          </w:tcPr>
          <w:p w14:paraId="1C804A9E" w14:textId="77777777" w:rsidR="00F440F5" w:rsidRPr="00F440F5" w:rsidRDefault="00F440F5" w:rsidP="00F440F5">
            <w:pPr>
              <w:jc w:val="center"/>
              <w:rPr>
                <w:rFonts w:eastAsia="Times New Roman" w:cstheme="minorHAnsi"/>
                <w:b/>
                <w:bCs/>
                <w:color w:val="000000"/>
                <w:sz w:val="20"/>
                <w:szCs w:val="20"/>
                <w:lang w:eastAsia="nl-BE"/>
              </w:rPr>
            </w:pPr>
            <w:r w:rsidRPr="00F440F5">
              <w:rPr>
                <w:rFonts w:eastAsia="Times New Roman" w:cstheme="minorHAnsi"/>
                <w:b/>
                <w:bCs/>
                <w:color w:val="000000"/>
                <w:sz w:val="20"/>
                <w:szCs w:val="20"/>
                <w:lang w:eastAsia="nl-BE"/>
              </w:rPr>
              <w:t>5.283</w:t>
            </w:r>
          </w:p>
        </w:tc>
        <w:tc>
          <w:tcPr>
            <w:tcW w:w="626" w:type="pct"/>
            <w:tcBorders>
              <w:top w:val="nil"/>
              <w:left w:val="nil"/>
              <w:bottom w:val="single" w:sz="4" w:space="0" w:color="auto"/>
              <w:right w:val="single" w:sz="4" w:space="0" w:color="auto"/>
            </w:tcBorders>
            <w:shd w:val="clear" w:color="auto" w:fill="auto"/>
            <w:vAlign w:val="center"/>
            <w:hideMark/>
          </w:tcPr>
          <w:p w14:paraId="00BB41D4" w14:textId="77777777" w:rsidR="00F440F5" w:rsidRPr="00F440F5" w:rsidRDefault="00F440F5" w:rsidP="00F440F5">
            <w:pPr>
              <w:jc w:val="center"/>
              <w:rPr>
                <w:rFonts w:eastAsia="Times New Roman" w:cstheme="minorHAnsi"/>
                <w:b/>
                <w:bCs/>
                <w:color w:val="000000"/>
                <w:sz w:val="20"/>
                <w:szCs w:val="20"/>
                <w:lang w:eastAsia="nl-BE"/>
              </w:rPr>
            </w:pPr>
            <w:r w:rsidRPr="00F440F5">
              <w:rPr>
                <w:rFonts w:eastAsia="Times New Roman" w:cstheme="minorHAnsi"/>
                <w:b/>
                <w:bCs/>
                <w:color w:val="000000"/>
                <w:sz w:val="20"/>
                <w:szCs w:val="20"/>
                <w:lang w:eastAsia="nl-BE"/>
              </w:rPr>
              <w:t>5.081</w:t>
            </w:r>
          </w:p>
        </w:tc>
        <w:tc>
          <w:tcPr>
            <w:tcW w:w="626" w:type="pct"/>
            <w:tcBorders>
              <w:top w:val="nil"/>
              <w:left w:val="nil"/>
              <w:bottom w:val="single" w:sz="4" w:space="0" w:color="auto"/>
              <w:right w:val="single" w:sz="4" w:space="0" w:color="auto"/>
            </w:tcBorders>
            <w:shd w:val="clear" w:color="auto" w:fill="auto"/>
            <w:vAlign w:val="center"/>
            <w:hideMark/>
          </w:tcPr>
          <w:p w14:paraId="2AD91EDC" w14:textId="77777777" w:rsidR="00F440F5" w:rsidRPr="00F440F5" w:rsidRDefault="00F440F5" w:rsidP="00F440F5">
            <w:pPr>
              <w:jc w:val="center"/>
              <w:rPr>
                <w:rFonts w:eastAsia="Times New Roman" w:cstheme="minorHAnsi"/>
                <w:b/>
                <w:bCs/>
                <w:color w:val="000000"/>
                <w:sz w:val="20"/>
                <w:szCs w:val="20"/>
                <w:lang w:eastAsia="nl-BE"/>
              </w:rPr>
            </w:pPr>
            <w:r w:rsidRPr="00F440F5">
              <w:rPr>
                <w:rFonts w:eastAsia="Times New Roman" w:cstheme="minorHAnsi"/>
                <w:b/>
                <w:bCs/>
                <w:color w:val="000000"/>
                <w:sz w:val="20"/>
                <w:szCs w:val="20"/>
                <w:lang w:eastAsia="nl-BE"/>
              </w:rPr>
              <w:t>5.047</w:t>
            </w:r>
          </w:p>
        </w:tc>
        <w:tc>
          <w:tcPr>
            <w:tcW w:w="626" w:type="pct"/>
            <w:tcBorders>
              <w:top w:val="nil"/>
              <w:left w:val="nil"/>
              <w:bottom w:val="single" w:sz="4" w:space="0" w:color="auto"/>
              <w:right w:val="single" w:sz="4" w:space="0" w:color="auto"/>
            </w:tcBorders>
            <w:shd w:val="clear" w:color="auto" w:fill="auto"/>
            <w:vAlign w:val="center"/>
            <w:hideMark/>
          </w:tcPr>
          <w:p w14:paraId="6681A447" w14:textId="77777777" w:rsidR="00F440F5" w:rsidRPr="00F440F5" w:rsidRDefault="00F440F5" w:rsidP="00F440F5">
            <w:pPr>
              <w:jc w:val="center"/>
              <w:rPr>
                <w:rFonts w:eastAsia="Times New Roman" w:cstheme="minorHAnsi"/>
                <w:b/>
                <w:bCs/>
                <w:color w:val="000000"/>
                <w:sz w:val="20"/>
                <w:szCs w:val="20"/>
                <w:lang w:eastAsia="nl-BE"/>
              </w:rPr>
            </w:pPr>
            <w:r w:rsidRPr="00F440F5">
              <w:rPr>
                <w:rFonts w:eastAsia="Times New Roman" w:cstheme="minorHAnsi"/>
                <w:b/>
                <w:bCs/>
                <w:color w:val="000000"/>
                <w:sz w:val="20"/>
                <w:szCs w:val="20"/>
                <w:lang w:eastAsia="nl-BE"/>
              </w:rPr>
              <w:t>4.691</w:t>
            </w:r>
          </w:p>
        </w:tc>
      </w:tr>
      <w:tr w:rsidR="00F440F5" w:rsidRPr="00F440F5" w14:paraId="452E7CAB" w14:textId="77777777" w:rsidTr="0054699F">
        <w:trPr>
          <w:trHeight w:val="600"/>
        </w:trPr>
        <w:tc>
          <w:tcPr>
            <w:tcW w:w="684"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20B7C86" w14:textId="77777777" w:rsidR="00F440F5" w:rsidRPr="00F440F5" w:rsidRDefault="00F440F5" w:rsidP="00F440F5">
            <w:pPr>
              <w:rPr>
                <w:rFonts w:eastAsia="Times New Roman" w:cstheme="minorHAnsi"/>
                <w:b/>
                <w:bCs/>
                <w:color w:val="000000"/>
                <w:sz w:val="20"/>
                <w:szCs w:val="20"/>
                <w:lang w:eastAsia="nl-BE"/>
              </w:rPr>
            </w:pPr>
            <w:r w:rsidRPr="00F440F5">
              <w:rPr>
                <w:rFonts w:eastAsia="Times New Roman" w:cstheme="minorHAnsi"/>
                <w:b/>
                <w:bCs/>
                <w:color w:val="000000"/>
                <w:sz w:val="20"/>
                <w:szCs w:val="20"/>
                <w:lang w:eastAsia="nl-BE"/>
              </w:rPr>
              <w:t>M.b.t. AJ 2017</w:t>
            </w:r>
          </w:p>
        </w:tc>
        <w:tc>
          <w:tcPr>
            <w:tcW w:w="281" w:type="pct"/>
            <w:tcBorders>
              <w:top w:val="nil"/>
              <w:left w:val="nil"/>
              <w:bottom w:val="single" w:sz="4" w:space="0" w:color="auto"/>
              <w:right w:val="single" w:sz="4" w:space="0" w:color="auto"/>
            </w:tcBorders>
            <w:shd w:val="clear" w:color="auto" w:fill="auto"/>
            <w:noWrap/>
            <w:vAlign w:val="center"/>
            <w:hideMark/>
          </w:tcPr>
          <w:p w14:paraId="0DB4C3F9" w14:textId="77777777" w:rsidR="00F440F5" w:rsidRPr="00F440F5" w:rsidRDefault="00F440F5" w:rsidP="00F440F5">
            <w:pPr>
              <w:jc w:val="center"/>
              <w:rPr>
                <w:rFonts w:eastAsia="Times New Roman" w:cstheme="minorHAnsi"/>
                <w:color w:val="000000"/>
                <w:sz w:val="20"/>
                <w:szCs w:val="20"/>
                <w:lang w:eastAsia="nl-BE"/>
              </w:rPr>
            </w:pPr>
            <w:r w:rsidRPr="00F440F5">
              <w:rPr>
                <w:rFonts w:eastAsia="Times New Roman" w:cstheme="minorHAnsi"/>
                <w:color w:val="000000"/>
                <w:sz w:val="20"/>
                <w:szCs w:val="20"/>
                <w:lang w:eastAsia="nl-BE"/>
              </w:rPr>
              <w:t> </w:t>
            </w:r>
          </w:p>
        </w:tc>
        <w:tc>
          <w:tcPr>
            <w:tcW w:w="281" w:type="pct"/>
            <w:tcBorders>
              <w:top w:val="nil"/>
              <w:left w:val="nil"/>
              <w:bottom w:val="single" w:sz="4" w:space="0" w:color="auto"/>
              <w:right w:val="single" w:sz="4" w:space="0" w:color="auto"/>
            </w:tcBorders>
            <w:shd w:val="clear" w:color="auto" w:fill="auto"/>
            <w:noWrap/>
            <w:vAlign w:val="center"/>
            <w:hideMark/>
          </w:tcPr>
          <w:p w14:paraId="6ACEF023" w14:textId="77777777" w:rsidR="00F440F5" w:rsidRPr="00F440F5" w:rsidRDefault="00F440F5" w:rsidP="00F440F5">
            <w:pPr>
              <w:jc w:val="center"/>
              <w:rPr>
                <w:rFonts w:eastAsia="Times New Roman" w:cstheme="minorHAnsi"/>
                <w:color w:val="000000"/>
                <w:sz w:val="20"/>
                <w:szCs w:val="20"/>
                <w:lang w:eastAsia="nl-BE"/>
              </w:rPr>
            </w:pPr>
            <w:r w:rsidRPr="00F440F5">
              <w:rPr>
                <w:rFonts w:eastAsia="Times New Roman" w:cstheme="minorHAnsi"/>
                <w:color w:val="000000"/>
                <w:sz w:val="20"/>
                <w:szCs w:val="20"/>
                <w:lang w:eastAsia="nl-BE"/>
              </w:rPr>
              <w:t> </w:t>
            </w:r>
          </w:p>
        </w:tc>
        <w:tc>
          <w:tcPr>
            <w:tcW w:w="626" w:type="pct"/>
            <w:tcBorders>
              <w:top w:val="nil"/>
              <w:left w:val="nil"/>
              <w:bottom w:val="single" w:sz="4" w:space="0" w:color="auto"/>
              <w:right w:val="single" w:sz="4" w:space="0" w:color="auto"/>
            </w:tcBorders>
            <w:shd w:val="clear" w:color="auto" w:fill="auto"/>
            <w:vAlign w:val="center"/>
            <w:hideMark/>
          </w:tcPr>
          <w:p w14:paraId="1FDF66E7" w14:textId="77777777" w:rsidR="00F440F5" w:rsidRPr="00F440F5" w:rsidRDefault="00F440F5" w:rsidP="00F440F5">
            <w:pPr>
              <w:jc w:val="center"/>
              <w:rPr>
                <w:rFonts w:eastAsia="Times New Roman" w:cstheme="minorHAnsi"/>
                <w:color w:val="000000"/>
                <w:sz w:val="20"/>
                <w:szCs w:val="20"/>
                <w:lang w:eastAsia="nl-BE"/>
              </w:rPr>
            </w:pPr>
            <w:r w:rsidRPr="00F440F5">
              <w:rPr>
                <w:rFonts w:eastAsia="Times New Roman" w:cstheme="minorHAnsi"/>
                <w:color w:val="000000"/>
                <w:sz w:val="20"/>
                <w:szCs w:val="20"/>
                <w:lang w:eastAsia="nl-BE"/>
              </w:rPr>
              <w:t>som van maandelijkse</w:t>
            </w:r>
            <w:r w:rsidRPr="00F440F5">
              <w:rPr>
                <w:rFonts w:eastAsia="Times New Roman" w:cstheme="minorHAnsi"/>
                <w:color w:val="000000"/>
                <w:sz w:val="20"/>
                <w:szCs w:val="20"/>
                <w:lang w:eastAsia="nl-BE"/>
              </w:rPr>
              <w:br/>
              <w:t>afrekeningen</w:t>
            </w:r>
          </w:p>
        </w:tc>
        <w:tc>
          <w:tcPr>
            <w:tcW w:w="626" w:type="pct"/>
            <w:tcBorders>
              <w:top w:val="nil"/>
              <w:left w:val="nil"/>
              <w:bottom w:val="single" w:sz="4" w:space="0" w:color="auto"/>
              <w:right w:val="single" w:sz="4" w:space="0" w:color="auto"/>
            </w:tcBorders>
            <w:shd w:val="clear" w:color="auto" w:fill="auto"/>
            <w:vAlign w:val="center"/>
            <w:hideMark/>
          </w:tcPr>
          <w:p w14:paraId="587B6CE1" w14:textId="77777777" w:rsidR="00F440F5" w:rsidRPr="00F440F5" w:rsidRDefault="00F440F5" w:rsidP="00F440F5">
            <w:pPr>
              <w:jc w:val="center"/>
              <w:rPr>
                <w:rFonts w:eastAsia="Times New Roman" w:cstheme="minorHAnsi"/>
                <w:color w:val="000000"/>
                <w:sz w:val="20"/>
                <w:szCs w:val="20"/>
                <w:lang w:eastAsia="nl-BE"/>
              </w:rPr>
            </w:pPr>
            <w:r w:rsidRPr="00F440F5">
              <w:rPr>
                <w:rFonts w:eastAsia="Times New Roman" w:cstheme="minorHAnsi"/>
                <w:color w:val="000000"/>
                <w:sz w:val="20"/>
                <w:szCs w:val="20"/>
                <w:lang w:eastAsia="nl-BE"/>
              </w:rPr>
              <w:t>som van maandelijkse</w:t>
            </w:r>
            <w:r w:rsidRPr="00F440F5">
              <w:rPr>
                <w:rFonts w:eastAsia="Times New Roman" w:cstheme="minorHAnsi"/>
                <w:color w:val="000000"/>
                <w:sz w:val="20"/>
                <w:szCs w:val="20"/>
                <w:lang w:eastAsia="nl-BE"/>
              </w:rPr>
              <w:br/>
              <w:t>afrekeningen</w:t>
            </w:r>
          </w:p>
        </w:tc>
        <w:tc>
          <w:tcPr>
            <w:tcW w:w="626" w:type="pct"/>
            <w:tcBorders>
              <w:top w:val="nil"/>
              <w:left w:val="nil"/>
              <w:bottom w:val="single" w:sz="4" w:space="0" w:color="auto"/>
              <w:right w:val="single" w:sz="4" w:space="0" w:color="auto"/>
            </w:tcBorders>
            <w:shd w:val="clear" w:color="auto" w:fill="auto"/>
            <w:vAlign w:val="center"/>
            <w:hideMark/>
          </w:tcPr>
          <w:p w14:paraId="120CE016" w14:textId="77777777" w:rsidR="00F440F5" w:rsidRPr="00F440F5" w:rsidRDefault="00F440F5" w:rsidP="00F440F5">
            <w:pPr>
              <w:jc w:val="center"/>
              <w:rPr>
                <w:rFonts w:eastAsia="Times New Roman" w:cstheme="minorHAnsi"/>
                <w:color w:val="000000"/>
                <w:sz w:val="20"/>
                <w:szCs w:val="20"/>
                <w:lang w:eastAsia="nl-BE"/>
              </w:rPr>
            </w:pPr>
            <w:r w:rsidRPr="00F440F5">
              <w:rPr>
                <w:rFonts w:eastAsia="Times New Roman" w:cstheme="minorHAnsi"/>
                <w:color w:val="000000"/>
                <w:sz w:val="20"/>
                <w:szCs w:val="20"/>
                <w:lang w:eastAsia="nl-BE"/>
              </w:rPr>
              <w:t>som van maandelijkse</w:t>
            </w:r>
            <w:r w:rsidRPr="00F440F5">
              <w:rPr>
                <w:rFonts w:eastAsia="Times New Roman" w:cstheme="minorHAnsi"/>
                <w:color w:val="000000"/>
                <w:sz w:val="20"/>
                <w:szCs w:val="20"/>
                <w:lang w:eastAsia="nl-BE"/>
              </w:rPr>
              <w:br/>
              <w:t>afrekeningen</w:t>
            </w:r>
          </w:p>
        </w:tc>
        <w:tc>
          <w:tcPr>
            <w:tcW w:w="626" w:type="pct"/>
            <w:tcBorders>
              <w:top w:val="nil"/>
              <w:left w:val="nil"/>
              <w:bottom w:val="single" w:sz="4" w:space="0" w:color="auto"/>
              <w:right w:val="single" w:sz="4" w:space="0" w:color="auto"/>
            </w:tcBorders>
            <w:shd w:val="clear" w:color="auto" w:fill="auto"/>
            <w:vAlign w:val="center"/>
            <w:hideMark/>
          </w:tcPr>
          <w:p w14:paraId="12FD787F" w14:textId="77777777" w:rsidR="00F440F5" w:rsidRPr="00F440F5" w:rsidRDefault="00F440F5" w:rsidP="00F440F5">
            <w:pPr>
              <w:jc w:val="center"/>
              <w:rPr>
                <w:rFonts w:eastAsia="Times New Roman" w:cstheme="minorHAnsi"/>
                <w:color w:val="000000"/>
                <w:sz w:val="20"/>
                <w:szCs w:val="20"/>
                <w:lang w:eastAsia="nl-BE"/>
              </w:rPr>
            </w:pPr>
            <w:r w:rsidRPr="00F440F5">
              <w:rPr>
                <w:rFonts w:eastAsia="Times New Roman" w:cstheme="minorHAnsi"/>
                <w:color w:val="000000"/>
                <w:sz w:val="20"/>
                <w:szCs w:val="20"/>
                <w:lang w:eastAsia="nl-BE"/>
              </w:rPr>
              <w:t>som van maandelijkse</w:t>
            </w:r>
            <w:r w:rsidRPr="00F440F5">
              <w:rPr>
                <w:rFonts w:eastAsia="Times New Roman" w:cstheme="minorHAnsi"/>
                <w:color w:val="000000"/>
                <w:sz w:val="20"/>
                <w:szCs w:val="20"/>
                <w:lang w:eastAsia="nl-BE"/>
              </w:rPr>
              <w:br/>
              <w:t>afrekeningen</w:t>
            </w:r>
          </w:p>
        </w:tc>
        <w:tc>
          <w:tcPr>
            <w:tcW w:w="626" w:type="pct"/>
            <w:tcBorders>
              <w:top w:val="nil"/>
              <w:left w:val="nil"/>
              <w:bottom w:val="single" w:sz="4" w:space="0" w:color="auto"/>
              <w:right w:val="single" w:sz="4" w:space="0" w:color="auto"/>
            </w:tcBorders>
            <w:shd w:val="clear" w:color="auto" w:fill="auto"/>
            <w:vAlign w:val="center"/>
            <w:hideMark/>
          </w:tcPr>
          <w:p w14:paraId="21046513" w14:textId="77777777" w:rsidR="00F440F5" w:rsidRPr="00F440F5" w:rsidRDefault="00F440F5" w:rsidP="00F440F5">
            <w:pPr>
              <w:jc w:val="center"/>
              <w:rPr>
                <w:rFonts w:eastAsia="Times New Roman" w:cstheme="minorHAnsi"/>
                <w:color w:val="000000"/>
                <w:sz w:val="20"/>
                <w:szCs w:val="20"/>
                <w:lang w:eastAsia="nl-BE"/>
              </w:rPr>
            </w:pPr>
            <w:r w:rsidRPr="00F440F5">
              <w:rPr>
                <w:rFonts w:eastAsia="Times New Roman" w:cstheme="minorHAnsi"/>
                <w:color w:val="000000"/>
                <w:sz w:val="20"/>
                <w:szCs w:val="20"/>
                <w:lang w:eastAsia="nl-BE"/>
              </w:rPr>
              <w:t>som van maandelijkse</w:t>
            </w:r>
            <w:r w:rsidRPr="00F440F5">
              <w:rPr>
                <w:rFonts w:eastAsia="Times New Roman" w:cstheme="minorHAnsi"/>
                <w:color w:val="000000"/>
                <w:sz w:val="20"/>
                <w:szCs w:val="20"/>
                <w:lang w:eastAsia="nl-BE"/>
              </w:rPr>
              <w:br/>
              <w:t>afrekeningen</w:t>
            </w:r>
          </w:p>
        </w:tc>
        <w:tc>
          <w:tcPr>
            <w:tcW w:w="626" w:type="pct"/>
            <w:tcBorders>
              <w:top w:val="nil"/>
              <w:left w:val="nil"/>
              <w:bottom w:val="single" w:sz="4" w:space="0" w:color="auto"/>
              <w:right w:val="single" w:sz="4" w:space="0" w:color="auto"/>
            </w:tcBorders>
            <w:shd w:val="clear" w:color="auto" w:fill="auto"/>
            <w:vAlign w:val="center"/>
            <w:hideMark/>
          </w:tcPr>
          <w:p w14:paraId="40A64193" w14:textId="77777777" w:rsidR="00F440F5" w:rsidRPr="00F440F5" w:rsidRDefault="00F440F5" w:rsidP="00F440F5">
            <w:pPr>
              <w:jc w:val="center"/>
              <w:rPr>
                <w:rFonts w:eastAsia="Times New Roman" w:cstheme="minorHAnsi"/>
                <w:color w:val="000000"/>
                <w:sz w:val="20"/>
                <w:szCs w:val="20"/>
                <w:lang w:eastAsia="nl-BE"/>
              </w:rPr>
            </w:pPr>
            <w:r w:rsidRPr="00F440F5">
              <w:rPr>
                <w:rFonts w:eastAsia="Times New Roman" w:cstheme="minorHAnsi"/>
                <w:color w:val="000000"/>
                <w:sz w:val="20"/>
                <w:szCs w:val="20"/>
                <w:lang w:eastAsia="nl-BE"/>
              </w:rPr>
              <w:t>som van maandelijkse</w:t>
            </w:r>
            <w:r w:rsidRPr="00F440F5">
              <w:rPr>
                <w:rFonts w:eastAsia="Times New Roman" w:cstheme="minorHAnsi"/>
                <w:color w:val="000000"/>
                <w:sz w:val="20"/>
                <w:szCs w:val="20"/>
                <w:lang w:eastAsia="nl-BE"/>
              </w:rPr>
              <w:br/>
              <w:t>afrekeningen</w:t>
            </w:r>
          </w:p>
        </w:tc>
      </w:tr>
      <w:tr w:rsidR="00F440F5" w:rsidRPr="00F440F5" w14:paraId="74C476A7" w14:textId="77777777" w:rsidTr="0054699F">
        <w:trPr>
          <w:trHeight w:val="300"/>
        </w:trPr>
        <w:tc>
          <w:tcPr>
            <w:tcW w:w="684" w:type="pct"/>
            <w:vMerge/>
            <w:tcBorders>
              <w:top w:val="nil"/>
              <w:left w:val="single" w:sz="4" w:space="0" w:color="auto"/>
              <w:bottom w:val="single" w:sz="4" w:space="0" w:color="000000"/>
              <w:right w:val="single" w:sz="4" w:space="0" w:color="auto"/>
            </w:tcBorders>
            <w:vAlign w:val="center"/>
            <w:hideMark/>
          </w:tcPr>
          <w:p w14:paraId="237184EA" w14:textId="77777777" w:rsidR="00F440F5" w:rsidRPr="00F440F5" w:rsidRDefault="00F440F5" w:rsidP="00F440F5">
            <w:pPr>
              <w:rPr>
                <w:rFonts w:eastAsia="Times New Roman" w:cstheme="minorHAnsi"/>
                <w:b/>
                <w:bCs/>
                <w:color w:val="000000"/>
                <w:sz w:val="20"/>
                <w:szCs w:val="20"/>
                <w:lang w:eastAsia="nl-BE"/>
              </w:rPr>
            </w:pPr>
          </w:p>
        </w:tc>
        <w:tc>
          <w:tcPr>
            <w:tcW w:w="281" w:type="pct"/>
            <w:tcBorders>
              <w:top w:val="nil"/>
              <w:left w:val="nil"/>
              <w:bottom w:val="single" w:sz="4" w:space="0" w:color="auto"/>
              <w:right w:val="single" w:sz="4" w:space="0" w:color="auto"/>
            </w:tcBorders>
            <w:shd w:val="clear" w:color="auto" w:fill="auto"/>
            <w:vAlign w:val="center"/>
            <w:hideMark/>
          </w:tcPr>
          <w:p w14:paraId="5504C1D9" w14:textId="77777777" w:rsidR="00F440F5" w:rsidRPr="00F440F5" w:rsidRDefault="00F440F5" w:rsidP="00F440F5">
            <w:pPr>
              <w:jc w:val="center"/>
              <w:rPr>
                <w:rFonts w:eastAsia="Times New Roman" w:cstheme="minorHAnsi"/>
                <w:b/>
                <w:bCs/>
                <w:color w:val="000000"/>
                <w:sz w:val="20"/>
                <w:szCs w:val="20"/>
                <w:lang w:eastAsia="nl-BE"/>
              </w:rPr>
            </w:pPr>
            <w:r w:rsidRPr="00F440F5">
              <w:rPr>
                <w:rFonts w:eastAsia="Times New Roman" w:cstheme="minorHAnsi"/>
                <w:b/>
                <w:bCs/>
                <w:color w:val="000000"/>
                <w:sz w:val="20"/>
                <w:szCs w:val="20"/>
                <w:lang w:eastAsia="nl-BE"/>
              </w:rPr>
              <w:t>23.015</w:t>
            </w:r>
          </w:p>
        </w:tc>
        <w:tc>
          <w:tcPr>
            <w:tcW w:w="281" w:type="pct"/>
            <w:tcBorders>
              <w:top w:val="nil"/>
              <w:left w:val="nil"/>
              <w:bottom w:val="single" w:sz="4" w:space="0" w:color="auto"/>
              <w:right w:val="single" w:sz="4" w:space="0" w:color="auto"/>
            </w:tcBorders>
            <w:shd w:val="clear" w:color="auto" w:fill="auto"/>
            <w:vAlign w:val="center"/>
            <w:hideMark/>
          </w:tcPr>
          <w:p w14:paraId="328D8E8E" w14:textId="77777777" w:rsidR="00F440F5" w:rsidRPr="00F440F5" w:rsidRDefault="00F440F5" w:rsidP="00F440F5">
            <w:pPr>
              <w:jc w:val="center"/>
              <w:rPr>
                <w:rFonts w:eastAsia="Times New Roman" w:cstheme="minorHAnsi"/>
                <w:b/>
                <w:bCs/>
                <w:color w:val="000000"/>
                <w:sz w:val="20"/>
                <w:szCs w:val="20"/>
                <w:lang w:eastAsia="nl-BE"/>
              </w:rPr>
            </w:pPr>
            <w:r w:rsidRPr="00F440F5">
              <w:rPr>
                <w:rFonts w:eastAsia="Times New Roman" w:cstheme="minorHAnsi"/>
                <w:b/>
                <w:bCs/>
                <w:color w:val="000000"/>
                <w:sz w:val="20"/>
                <w:szCs w:val="20"/>
                <w:lang w:eastAsia="nl-BE"/>
              </w:rPr>
              <w:t>25.741</w:t>
            </w:r>
          </w:p>
        </w:tc>
        <w:tc>
          <w:tcPr>
            <w:tcW w:w="626" w:type="pct"/>
            <w:tcBorders>
              <w:top w:val="nil"/>
              <w:left w:val="nil"/>
              <w:bottom w:val="single" w:sz="4" w:space="0" w:color="auto"/>
              <w:right w:val="single" w:sz="4" w:space="0" w:color="auto"/>
            </w:tcBorders>
            <w:shd w:val="clear" w:color="auto" w:fill="auto"/>
            <w:vAlign w:val="center"/>
            <w:hideMark/>
          </w:tcPr>
          <w:p w14:paraId="7BA2A690" w14:textId="77777777" w:rsidR="00F440F5" w:rsidRPr="00F440F5" w:rsidRDefault="00F440F5" w:rsidP="00F440F5">
            <w:pPr>
              <w:jc w:val="center"/>
              <w:rPr>
                <w:rFonts w:eastAsia="Times New Roman" w:cstheme="minorHAnsi"/>
                <w:b/>
                <w:bCs/>
                <w:color w:val="000000"/>
                <w:sz w:val="20"/>
                <w:szCs w:val="20"/>
                <w:lang w:eastAsia="nl-BE"/>
              </w:rPr>
            </w:pPr>
            <w:r w:rsidRPr="00F440F5">
              <w:rPr>
                <w:rFonts w:eastAsia="Times New Roman" w:cstheme="minorHAnsi"/>
                <w:b/>
                <w:bCs/>
                <w:color w:val="000000"/>
                <w:sz w:val="20"/>
                <w:szCs w:val="20"/>
                <w:lang w:eastAsia="nl-BE"/>
              </w:rPr>
              <w:t>25.215</w:t>
            </w:r>
          </w:p>
        </w:tc>
        <w:tc>
          <w:tcPr>
            <w:tcW w:w="626" w:type="pct"/>
            <w:tcBorders>
              <w:top w:val="nil"/>
              <w:left w:val="nil"/>
              <w:bottom w:val="single" w:sz="4" w:space="0" w:color="auto"/>
              <w:right w:val="single" w:sz="4" w:space="0" w:color="auto"/>
            </w:tcBorders>
            <w:shd w:val="clear" w:color="auto" w:fill="auto"/>
            <w:vAlign w:val="center"/>
            <w:hideMark/>
          </w:tcPr>
          <w:p w14:paraId="29DCDF5F" w14:textId="77777777" w:rsidR="00F440F5" w:rsidRPr="00F440F5" w:rsidRDefault="00F440F5" w:rsidP="00F440F5">
            <w:pPr>
              <w:jc w:val="center"/>
              <w:rPr>
                <w:rFonts w:eastAsia="Times New Roman" w:cstheme="minorHAnsi"/>
                <w:b/>
                <w:bCs/>
                <w:color w:val="000000"/>
                <w:sz w:val="20"/>
                <w:szCs w:val="20"/>
                <w:lang w:eastAsia="nl-BE"/>
              </w:rPr>
            </w:pPr>
            <w:r w:rsidRPr="00F440F5">
              <w:rPr>
                <w:rFonts w:eastAsia="Times New Roman" w:cstheme="minorHAnsi"/>
                <w:b/>
                <w:bCs/>
                <w:color w:val="000000"/>
                <w:sz w:val="20"/>
                <w:szCs w:val="20"/>
                <w:lang w:eastAsia="nl-BE"/>
              </w:rPr>
              <w:t>25.741</w:t>
            </w:r>
          </w:p>
        </w:tc>
        <w:tc>
          <w:tcPr>
            <w:tcW w:w="626" w:type="pct"/>
            <w:tcBorders>
              <w:top w:val="nil"/>
              <w:left w:val="nil"/>
              <w:bottom w:val="single" w:sz="4" w:space="0" w:color="auto"/>
              <w:right w:val="single" w:sz="4" w:space="0" w:color="auto"/>
            </w:tcBorders>
            <w:shd w:val="clear" w:color="auto" w:fill="auto"/>
            <w:vAlign w:val="center"/>
            <w:hideMark/>
          </w:tcPr>
          <w:p w14:paraId="1971F922" w14:textId="77777777" w:rsidR="00F440F5" w:rsidRPr="00F440F5" w:rsidRDefault="00F440F5" w:rsidP="00F440F5">
            <w:pPr>
              <w:jc w:val="center"/>
              <w:rPr>
                <w:rFonts w:eastAsia="Times New Roman" w:cstheme="minorHAnsi"/>
                <w:b/>
                <w:bCs/>
                <w:color w:val="000000"/>
                <w:sz w:val="20"/>
                <w:szCs w:val="20"/>
                <w:lang w:eastAsia="nl-BE"/>
              </w:rPr>
            </w:pPr>
            <w:r w:rsidRPr="00F440F5">
              <w:rPr>
                <w:rFonts w:eastAsia="Times New Roman" w:cstheme="minorHAnsi"/>
                <w:b/>
                <w:bCs/>
                <w:color w:val="000000"/>
                <w:sz w:val="20"/>
                <w:szCs w:val="20"/>
                <w:lang w:eastAsia="nl-BE"/>
              </w:rPr>
              <w:t>25.443</w:t>
            </w:r>
          </w:p>
        </w:tc>
        <w:tc>
          <w:tcPr>
            <w:tcW w:w="626" w:type="pct"/>
            <w:tcBorders>
              <w:top w:val="nil"/>
              <w:left w:val="nil"/>
              <w:bottom w:val="single" w:sz="4" w:space="0" w:color="auto"/>
              <w:right w:val="single" w:sz="4" w:space="0" w:color="auto"/>
            </w:tcBorders>
            <w:shd w:val="clear" w:color="auto" w:fill="auto"/>
            <w:vAlign w:val="center"/>
            <w:hideMark/>
          </w:tcPr>
          <w:p w14:paraId="446F5AFA" w14:textId="77777777" w:rsidR="00F440F5" w:rsidRPr="00F440F5" w:rsidRDefault="00F440F5" w:rsidP="00F440F5">
            <w:pPr>
              <w:jc w:val="center"/>
              <w:rPr>
                <w:rFonts w:eastAsia="Times New Roman" w:cstheme="minorHAnsi"/>
                <w:b/>
                <w:bCs/>
                <w:color w:val="000000"/>
                <w:sz w:val="20"/>
                <w:szCs w:val="20"/>
                <w:lang w:eastAsia="nl-BE"/>
              </w:rPr>
            </w:pPr>
            <w:r w:rsidRPr="00F440F5">
              <w:rPr>
                <w:rFonts w:eastAsia="Times New Roman" w:cstheme="minorHAnsi"/>
                <w:b/>
                <w:bCs/>
                <w:color w:val="000000"/>
                <w:sz w:val="20"/>
                <w:szCs w:val="20"/>
                <w:lang w:eastAsia="nl-BE"/>
              </w:rPr>
              <w:t>26.032</w:t>
            </w:r>
          </w:p>
        </w:tc>
        <w:tc>
          <w:tcPr>
            <w:tcW w:w="626" w:type="pct"/>
            <w:tcBorders>
              <w:top w:val="nil"/>
              <w:left w:val="nil"/>
              <w:bottom w:val="single" w:sz="4" w:space="0" w:color="auto"/>
              <w:right w:val="single" w:sz="4" w:space="0" w:color="auto"/>
            </w:tcBorders>
            <w:shd w:val="clear" w:color="auto" w:fill="auto"/>
            <w:vAlign w:val="center"/>
            <w:hideMark/>
          </w:tcPr>
          <w:p w14:paraId="7F02098D" w14:textId="77777777" w:rsidR="00F440F5" w:rsidRPr="00F440F5" w:rsidRDefault="00F440F5" w:rsidP="00F440F5">
            <w:pPr>
              <w:jc w:val="center"/>
              <w:rPr>
                <w:rFonts w:eastAsia="Times New Roman" w:cstheme="minorHAnsi"/>
                <w:b/>
                <w:bCs/>
                <w:color w:val="000000"/>
                <w:sz w:val="20"/>
                <w:szCs w:val="20"/>
                <w:lang w:eastAsia="nl-BE"/>
              </w:rPr>
            </w:pPr>
            <w:r w:rsidRPr="00F440F5">
              <w:rPr>
                <w:rFonts w:eastAsia="Times New Roman" w:cstheme="minorHAnsi"/>
                <w:b/>
                <w:bCs/>
                <w:color w:val="000000"/>
                <w:sz w:val="20"/>
                <w:szCs w:val="20"/>
                <w:lang w:eastAsia="nl-BE"/>
              </w:rPr>
              <w:t>25.863</w:t>
            </w:r>
          </w:p>
        </w:tc>
        <w:tc>
          <w:tcPr>
            <w:tcW w:w="626" w:type="pct"/>
            <w:tcBorders>
              <w:top w:val="nil"/>
              <w:left w:val="nil"/>
              <w:bottom w:val="single" w:sz="4" w:space="0" w:color="auto"/>
              <w:right w:val="single" w:sz="4" w:space="0" w:color="auto"/>
            </w:tcBorders>
            <w:shd w:val="clear" w:color="auto" w:fill="auto"/>
            <w:vAlign w:val="center"/>
            <w:hideMark/>
          </w:tcPr>
          <w:p w14:paraId="0C35532C" w14:textId="77777777" w:rsidR="00F440F5" w:rsidRPr="00F440F5" w:rsidRDefault="00F440F5" w:rsidP="00F440F5">
            <w:pPr>
              <w:jc w:val="center"/>
              <w:rPr>
                <w:rFonts w:eastAsia="Times New Roman" w:cstheme="minorHAnsi"/>
                <w:b/>
                <w:bCs/>
                <w:color w:val="000000"/>
                <w:sz w:val="20"/>
                <w:szCs w:val="20"/>
                <w:lang w:eastAsia="nl-BE"/>
              </w:rPr>
            </w:pPr>
            <w:r w:rsidRPr="00F440F5">
              <w:rPr>
                <w:rFonts w:eastAsia="Times New Roman" w:cstheme="minorHAnsi"/>
                <w:b/>
                <w:bCs/>
                <w:color w:val="000000"/>
                <w:sz w:val="20"/>
                <w:szCs w:val="20"/>
                <w:lang w:eastAsia="nl-BE"/>
              </w:rPr>
              <w:t>26.393</w:t>
            </w:r>
          </w:p>
        </w:tc>
      </w:tr>
      <w:tr w:rsidR="00F440F5" w:rsidRPr="00F440F5" w14:paraId="4DE1832D" w14:textId="77777777" w:rsidTr="0054699F">
        <w:trPr>
          <w:trHeight w:val="900"/>
        </w:trPr>
        <w:tc>
          <w:tcPr>
            <w:tcW w:w="684"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008E34C" w14:textId="77777777" w:rsidR="00F440F5" w:rsidRPr="00F440F5" w:rsidRDefault="00F440F5" w:rsidP="00F440F5">
            <w:pPr>
              <w:rPr>
                <w:rFonts w:eastAsia="Times New Roman" w:cstheme="minorHAnsi"/>
                <w:b/>
                <w:bCs/>
                <w:color w:val="000000"/>
                <w:sz w:val="20"/>
                <w:szCs w:val="20"/>
                <w:lang w:eastAsia="nl-BE"/>
              </w:rPr>
            </w:pPr>
            <w:r w:rsidRPr="00F440F5">
              <w:rPr>
                <w:rFonts w:eastAsia="Times New Roman" w:cstheme="minorHAnsi"/>
                <w:b/>
                <w:bCs/>
                <w:color w:val="000000"/>
                <w:sz w:val="20"/>
                <w:szCs w:val="20"/>
                <w:lang w:eastAsia="nl-BE"/>
              </w:rPr>
              <w:t>M.b.t. AJ 2018</w:t>
            </w:r>
          </w:p>
        </w:tc>
        <w:tc>
          <w:tcPr>
            <w:tcW w:w="281" w:type="pct"/>
            <w:tcBorders>
              <w:top w:val="nil"/>
              <w:left w:val="nil"/>
              <w:bottom w:val="single" w:sz="4" w:space="0" w:color="auto"/>
              <w:right w:val="single" w:sz="4" w:space="0" w:color="auto"/>
            </w:tcBorders>
            <w:shd w:val="clear" w:color="auto" w:fill="auto"/>
            <w:vAlign w:val="center"/>
            <w:hideMark/>
          </w:tcPr>
          <w:p w14:paraId="6004B38C" w14:textId="77777777" w:rsidR="00F440F5" w:rsidRPr="00F440F5" w:rsidRDefault="00F440F5" w:rsidP="00F440F5">
            <w:pPr>
              <w:jc w:val="center"/>
              <w:rPr>
                <w:rFonts w:eastAsia="Times New Roman" w:cstheme="minorHAnsi"/>
                <w:b/>
                <w:bCs/>
                <w:color w:val="000000"/>
                <w:sz w:val="20"/>
                <w:szCs w:val="20"/>
                <w:lang w:eastAsia="nl-BE"/>
              </w:rPr>
            </w:pPr>
            <w:r w:rsidRPr="00F440F5">
              <w:rPr>
                <w:rFonts w:eastAsia="Times New Roman" w:cstheme="minorHAnsi"/>
                <w:b/>
                <w:bCs/>
                <w:color w:val="000000"/>
                <w:sz w:val="20"/>
                <w:szCs w:val="20"/>
                <w:lang w:eastAsia="nl-BE"/>
              </w:rPr>
              <w:t> </w:t>
            </w:r>
          </w:p>
        </w:tc>
        <w:tc>
          <w:tcPr>
            <w:tcW w:w="281" w:type="pct"/>
            <w:tcBorders>
              <w:top w:val="nil"/>
              <w:left w:val="nil"/>
              <w:bottom w:val="single" w:sz="4" w:space="0" w:color="auto"/>
              <w:right w:val="single" w:sz="4" w:space="0" w:color="auto"/>
            </w:tcBorders>
            <w:shd w:val="clear" w:color="auto" w:fill="auto"/>
            <w:vAlign w:val="center"/>
            <w:hideMark/>
          </w:tcPr>
          <w:p w14:paraId="2F68F301" w14:textId="77777777" w:rsidR="00F440F5" w:rsidRPr="00F440F5" w:rsidRDefault="00F440F5" w:rsidP="00F440F5">
            <w:pPr>
              <w:jc w:val="center"/>
              <w:rPr>
                <w:rFonts w:eastAsia="Times New Roman" w:cstheme="minorHAnsi"/>
                <w:b/>
                <w:bCs/>
                <w:color w:val="000000"/>
                <w:sz w:val="20"/>
                <w:szCs w:val="20"/>
                <w:lang w:eastAsia="nl-BE"/>
              </w:rPr>
            </w:pPr>
            <w:r w:rsidRPr="00F440F5">
              <w:rPr>
                <w:rFonts w:eastAsia="Times New Roman" w:cstheme="minorHAnsi"/>
                <w:b/>
                <w:bCs/>
                <w:color w:val="000000"/>
                <w:sz w:val="20"/>
                <w:szCs w:val="20"/>
                <w:lang w:eastAsia="nl-BE"/>
              </w:rPr>
              <w:t> </w:t>
            </w:r>
          </w:p>
        </w:tc>
        <w:tc>
          <w:tcPr>
            <w:tcW w:w="626" w:type="pct"/>
            <w:tcBorders>
              <w:top w:val="nil"/>
              <w:left w:val="nil"/>
              <w:bottom w:val="single" w:sz="4" w:space="0" w:color="auto"/>
              <w:right w:val="single" w:sz="4" w:space="0" w:color="auto"/>
            </w:tcBorders>
            <w:shd w:val="clear" w:color="auto" w:fill="auto"/>
            <w:vAlign w:val="center"/>
            <w:hideMark/>
          </w:tcPr>
          <w:p w14:paraId="683F2B7A" w14:textId="77777777" w:rsidR="00F440F5" w:rsidRPr="00F440F5" w:rsidRDefault="00F440F5" w:rsidP="00F440F5">
            <w:pPr>
              <w:jc w:val="center"/>
              <w:rPr>
                <w:rFonts w:eastAsia="Times New Roman" w:cstheme="minorHAnsi"/>
                <w:color w:val="000000"/>
                <w:sz w:val="20"/>
                <w:szCs w:val="20"/>
                <w:lang w:eastAsia="nl-BE"/>
              </w:rPr>
            </w:pPr>
            <w:r w:rsidRPr="00F440F5">
              <w:rPr>
                <w:rFonts w:eastAsia="Times New Roman" w:cstheme="minorHAnsi"/>
                <w:color w:val="000000"/>
                <w:sz w:val="20"/>
                <w:szCs w:val="20"/>
                <w:lang w:eastAsia="nl-BE"/>
              </w:rPr>
              <w:t>vanaf september 2019:</w:t>
            </w:r>
            <w:r w:rsidRPr="00F440F5">
              <w:rPr>
                <w:rFonts w:eastAsia="Times New Roman" w:cstheme="minorHAnsi"/>
                <w:color w:val="000000"/>
                <w:sz w:val="20"/>
                <w:szCs w:val="20"/>
                <w:lang w:eastAsia="nl-BE"/>
              </w:rPr>
              <w:br/>
              <w:t>som van maandelijkse</w:t>
            </w:r>
            <w:r w:rsidRPr="00F440F5">
              <w:rPr>
                <w:rFonts w:eastAsia="Times New Roman" w:cstheme="minorHAnsi"/>
                <w:color w:val="000000"/>
                <w:sz w:val="20"/>
                <w:szCs w:val="20"/>
                <w:lang w:eastAsia="nl-BE"/>
              </w:rPr>
              <w:br/>
              <w:t>afrekeningen</w:t>
            </w:r>
          </w:p>
        </w:tc>
        <w:tc>
          <w:tcPr>
            <w:tcW w:w="626" w:type="pct"/>
            <w:tcBorders>
              <w:top w:val="nil"/>
              <w:left w:val="nil"/>
              <w:bottom w:val="single" w:sz="4" w:space="0" w:color="auto"/>
              <w:right w:val="single" w:sz="4" w:space="0" w:color="auto"/>
            </w:tcBorders>
            <w:shd w:val="clear" w:color="auto" w:fill="auto"/>
            <w:vAlign w:val="center"/>
            <w:hideMark/>
          </w:tcPr>
          <w:p w14:paraId="5A73D769" w14:textId="77777777" w:rsidR="00F440F5" w:rsidRPr="00F440F5" w:rsidRDefault="00F440F5" w:rsidP="00F440F5">
            <w:pPr>
              <w:jc w:val="center"/>
              <w:rPr>
                <w:rFonts w:eastAsia="Times New Roman" w:cstheme="minorHAnsi"/>
                <w:color w:val="000000"/>
                <w:sz w:val="20"/>
                <w:szCs w:val="20"/>
                <w:lang w:eastAsia="nl-BE"/>
              </w:rPr>
            </w:pPr>
            <w:r w:rsidRPr="00F440F5">
              <w:rPr>
                <w:rFonts w:eastAsia="Times New Roman" w:cstheme="minorHAnsi"/>
                <w:color w:val="000000"/>
                <w:sz w:val="20"/>
                <w:szCs w:val="20"/>
                <w:lang w:eastAsia="nl-BE"/>
              </w:rPr>
              <w:t>vanaf september 2019:</w:t>
            </w:r>
            <w:r w:rsidRPr="00F440F5">
              <w:rPr>
                <w:rFonts w:eastAsia="Times New Roman" w:cstheme="minorHAnsi"/>
                <w:color w:val="000000"/>
                <w:sz w:val="20"/>
                <w:szCs w:val="20"/>
                <w:lang w:eastAsia="nl-BE"/>
              </w:rPr>
              <w:br/>
              <w:t>som van maandelijkse</w:t>
            </w:r>
            <w:r w:rsidRPr="00F440F5">
              <w:rPr>
                <w:rFonts w:eastAsia="Times New Roman" w:cstheme="minorHAnsi"/>
                <w:color w:val="000000"/>
                <w:sz w:val="20"/>
                <w:szCs w:val="20"/>
                <w:lang w:eastAsia="nl-BE"/>
              </w:rPr>
              <w:br/>
              <w:t>afrekeningen</w:t>
            </w:r>
          </w:p>
        </w:tc>
        <w:tc>
          <w:tcPr>
            <w:tcW w:w="626" w:type="pct"/>
            <w:tcBorders>
              <w:top w:val="nil"/>
              <w:left w:val="nil"/>
              <w:bottom w:val="single" w:sz="4" w:space="0" w:color="auto"/>
              <w:right w:val="single" w:sz="4" w:space="0" w:color="auto"/>
            </w:tcBorders>
            <w:shd w:val="clear" w:color="auto" w:fill="auto"/>
            <w:vAlign w:val="center"/>
            <w:hideMark/>
          </w:tcPr>
          <w:p w14:paraId="291BCD29" w14:textId="77777777" w:rsidR="00F440F5" w:rsidRPr="00F440F5" w:rsidRDefault="00F440F5" w:rsidP="00F440F5">
            <w:pPr>
              <w:jc w:val="center"/>
              <w:rPr>
                <w:rFonts w:eastAsia="Times New Roman" w:cstheme="minorHAnsi"/>
                <w:color w:val="000000"/>
                <w:sz w:val="20"/>
                <w:szCs w:val="20"/>
                <w:lang w:eastAsia="nl-BE"/>
              </w:rPr>
            </w:pPr>
            <w:r w:rsidRPr="00F440F5">
              <w:rPr>
                <w:rFonts w:eastAsia="Times New Roman" w:cstheme="minorHAnsi"/>
                <w:color w:val="000000"/>
                <w:sz w:val="20"/>
                <w:szCs w:val="20"/>
                <w:lang w:eastAsia="nl-BE"/>
              </w:rPr>
              <w:t>vanaf september 2019:</w:t>
            </w:r>
            <w:r w:rsidRPr="00F440F5">
              <w:rPr>
                <w:rFonts w:eastAsia="Times New Roman" w:cstheme="minorHAnsi"/>
                <w:color w:val="000000"/>
                <w:sz w:val="20"/>
                <w:szCs w:val="20"/>
                <w:lang w:eastAsia="nl-BE"/>
              </w:rPr>
              <w:br/>
              <w:t>som van maandelijkse</w:t>
            </w:r>
            <w:r w:rsidRPr="00F440F5">
              <w:rPr>
                <w:rFonts w:eastAsia="Times New Roman" w:cstheme="minorHAnsi"/>
                <w:color w:val="000000"/>
                <w:sz w:val="20"/>
                <w:szCs w:val="20"/>
                <w:lang w:eastAsia="nl-BE"/>
              </w:rPr>
              <w:br/>
              <w:t>afrekeningen</w:t>
            </w:r>
          </w:p>
        </w:tc>
        <w:tc>
          <w:tcPr>
            <w:tcW w:w="626" w:type="pct"/>
            <w:tcBorders>
              <w:top w:val="nil"/>
              <w:left w:val="nil"/>
              <w:bottom w:val="single" w:sz="4" w:space="0" w:color="auto"/>
              <w:right w:val="single" w:sz="4" w:space="0" w:color="auto"/>
            </w:tcBorders>
            <w:shd w:val="clear" w:color="auto" w:fill="auto"/>
            <w:vAlign w:val="center"/>
            <w:hideMark/>
          </w:tcPr>
          <w:p w14:paraId="2A9A5498" w14:textId="77777777" w:rsidR="00F440F5" w:rsidRPr="00F440F5" w:rsidRDefault="00F440F5" w:rsidP="00F440F5">
            <w:pPr>
              <w:jc w:val="center"/>
              <w:rPr>
                <w:rFonts w:eastAsia="Times New Roman" w:cstheme="minorHAnsi"/>
                <w:color w:val="000000"/>
                <w:sz w:val="20"/>
                <w:szCs w:val="20"/>
                <w:lang w:eastAsia="nl-BE"/>
              </w:rPr>
            </w:pPr>
            <w:r w:rsidRPr="00F440F5">
              <w:rPr>
                <w:rFonts w:eastAsia="Times New Roman" w:cstheme="minorHAnsi"/>
                <w:color w:val="000000"/>
                <w:sz w:val="20"/>
                <w:szCs w:val="20"/>
                <w:lang w:eastAsia="nl-BE"/>
              </w:rPr>
              <w:t>vanaf september 2019:</w:t>
            </w:r>
            <w:r w:rsidRPr="00F440F5">
              <w:rPr>
                <w:rFonts w:eastAsia="Times New Roman" w:cstheme="minorHAnsi"/>
                <w:color w:val="000000"/>
                <w:sz w:val="20"/>
                <w:szCs w:val="20"/>
                <w:lang w:eastAsia="nl-BE"/>
              </w:rPr>
              <w:br/>
              <w:t>som van maandelijkse</w:t>
            </w:r>
            <w:r w:rsidRPr="00F440F5">
              <w:rPr>
                <w:rFonts w:eastAsia="Times New Roman" w:cstheme="minorHAnsi"/>
                <w:color w:val="000000"/>
                <w:sz w:val="20"/>
                <w:szCs w:val="20"/>
                <w:lang w:eastAsia="nl-BE"/>
              </w:rPr>
              <w:br/>
              <w:t>afrekeningen</w:t>
            </w:r>
          </w:p>
        </w:tc>
        <w:tc>
          <w:tcPr>
            <w:tcW w:w="626" w:type="pct"/>
            <w:tcBorders>
              <w:top w:val="nil"/>
              <w:left w:val="nil"/>
              <w:bottom w:val="single" w:sz="4" w:space="0" w:color="auto"/>
              <w:right w:val="single" w:sz="4" w:space="0" w:color="auto"/>
            </w:tcBorders>
            <w:shd w:val="clear" w:color="auto" w:fill="auto"/>
            <w:vAlign w:val="center"/>
            <w:hideMark/>
          </w:tcPr>
          <w:p w14:paraId="7DAC159E" w14:textId="77777777" w:rsidR="00F440F5" w:rsidRPr="00F440F5" w:rsidRDefault="00F440F5" w:rsidP="00F440F5">
            <w:pPr>
              <w:jc w:val="center"/>
              <w:rPr>
                <w:rFonts w:eastAsia="Times New Roman" w:cstheme="minorHAnsi"/>
                <w:color w:val="000000"/>
                <w:sz w:val="20"/>
                <w:szCs w:val="20"/>
                <w:lang w:eastAsia="nl-BE"/>
              </w:rPr>
            </w:pPr>
            <w:r w:rsidRPr="00F440F5">
              <w:rPr>
                <w:rFonts w:eastAsia="Times New Roman" w:cstheme="minorHAnsi"/>
                <w:color w:val="000000"/>
                <w:sz w:val="20"/>
                <w:szCs w:val="20"/>
                <w:lang w:eastAsia="nl-BE"/>
              </w:rPr>
              <w:t>vanaf september 2019:</w:t>
            </w:r>
            <w:r w:rsidRPr="00F440F5">
              <w:rPr>
                <w:rFonts w:eastAsia="Times New Roman" w:cstheme="minorHAnsi"/>
                <w:color w:val="000000"/>
                <w:sz w:val="20"/>
                <w:szCs w:val="20"/>
                <w:lang w:eastAsia="nl-BE"/>
              </w:rPr>
              <w:br/>
              <w:t>som van maandelijkse</w:t>
            </w:r>
            <w:r w:rsidRPr="00F440F5">
              <w:rPr>
                <w:rFonts w:eastAsia="Times New Roman" w:cstheme="minorHAnsi"/>
                <w:color w:val="000000"/>
                <w:sz w:val="20"/>
                <w:szCs w:val="20"/>
                <w:lang w:eastAsia="nl-BE"/>
              </w:rPr>
              <w:br/>
              <w:t>afrekeningen</w:t>
            </w:r>
          </w:p>
        </w:tc>
        <w:tc>
          <w:tcPr>
            <w:tcW w:w="626" w:type="pct"/>
            <w:tcBorders>
              <w:top w:val="nil"/>
              <w:left w:val="nil"/>
              <w:bottom w:val="single" w:sz="4" w:space="0" w:color="auto"/>
              <w:right w:val="single" w:sz="4" w:space="0" w:color="auto"/>
            </w:tcBorders>
            <w:shd w:val="clear" w:color="auto" w:fill="auto"/>
            <w:vAlign w:val="center"/>
            <w:hideMark/>
          </w:tcPr>
          <w:p w14:paraId="4DC65CC3" w14:textId="77777777" w:rsidR="00F440F5" w:rsidRPr="00F440F5" w:rsidRDefault="00F440F5" w:rsidP="00F440F5">
            <w:pPr>
              <w:jc w:val="center"/>
              <w:rPr>
                <w:rFonts w:eastAsia="Times New Roman" w:cstheme="minorHAnsi"/>
                <w:color w:val="000000"/>
                <w:sz w:val="20"/>
                <w:szCs w:val="20"/>
                <w:lang w:eastAsia="nl-BE"/>
              </w:rPr>
            </w:pPr>
            <w:r w:rsidRPr="00F440F5">
              <w:rPr>
                <w:rFonts w:eastAsia="Times New Roman" w:cstheme="minorHAnsi"/>
                <w:color w:val="000000"/>
                <w:sz w:val="20"/>
                <w:szCs w:val="20"/>
                <w:lang w:eastAsia="nl-BE"/>
              </w:rPr>
              <w:t>vanaf september 2019:</w:t>
            </w:r>
            <w:r w:rsidRPr="00F440F5">
              <w:rPr>
                <w:rFonts w:eastAsia="Times New Roman" w:cstheme="minorHAnsi"/>
                <w:color w:val="000000"/>
                <w:sz w:val="20"/>
                <w:szCs w:val="20"/>
                <w:lang w:eastAsia="nl-BE"/>
              </w:rPr>
              <w:br/>
              <w:t>som van maandelijkse</w:t>
            </w:r>
            <w:r w:rsidRPr="00F440F5">
              <w:rPr>
                <w:rFonts w:eastAsia="Times New Roman" w:cstheme="minorHAnsi"/>
                <w:color w:val="000000"/>
                <w:sz w:val="20"/>
                <w:szCs w:val="20"/>
                <w:lang w:eastAsia="nl-BE"/>
              </w:rPr>
              <w:br/>
              <w:t>afrekeningen</w:t>
            </w:r>
          </w:p>
        </w:tc>
      </w:tr>
      <w:tr w:rsidR="00F440F5" w:rsidRPr="00F440F5" w14:paraId="2FF9F550" w14:textId="77777777" w:rsidTr="0054699F">
        <w:trPr>
          <w:trHeight w:val="300"/>
        </w:trPr>
        <w:tc>
          <w:tcPr>
            <w:tcW w:w="684" w:type="pct"/>
            <w:vMerge/>
            <w:tcBorders>
              <w:top w:val="nil"/>
              <w:left w:val="single" w:sz="4" w:space="0" w:color="auto"/>
              <w:bottom w:val="single" w:sz="4" w:space="0" w:color="000000"/>
              <w:right w:val="single" w:sz="4" w:space="0" w:color="auto"/>
            </w:tcBorders>
            <w:vAlign w:val="center"/>
            <w:hideMark/>
          </w:tcPr>
          <w:p w14:paraId="5F72231F" w14:textId="77777777" w:rsidR="00F440F5" w:rsidRPr="00F440F5" w:rsidRDefault="00F440F5" w:rsidP="00F440F5">
            <w:pPr>
              <w:rPr>
                <w:rFonts w:eastAsia="Times New Roman" w:cstheme="minorHAnsi"/>
                <w:b/>
                <w:bCs/>
                <w:color w:val="000000"/>
                <w:sz w:val="20"/>
                <w:szCs w:val="20"/>
                <w:lang w:eastAsia="nl-BE"/>
              </w:rPr>
            </w:pPr>
          </w:p>
        </w:tc>
        <w:tc>
          <w:tcPr>
            <w:tcW w:w="281" w:type="pct"/>
            <w:tcBorders>
              <w:top w:val="nil"/>
              <w:left w:val="nil"/>
              <w:bottom w:val="single" w:sz="4" w:space="0" w:color="auto"/>
              <w:right w:val="single" w:sz="4" w:space="0" w:color="auto"/>
            </w:tcBorders>
            <w:shd w:val="clear" w:color="auto" w:fill="auto"/>
            <w:vAlign w:val="center"/>
            <w:hideMark/>
          </w:tcPr>
          <w:p w14:paraId="38BA4AEE" w14:textId="77777777" w:rsidR="00F440F5" w:rsidRPr="00F440F5" w:rsidRDefault="00F440F5" w:rsidP="00F440F5">
            <w:pPr>
              <w:jc w:val="center"/>
              <w:rPr>
                <w:rFonts w:eastAsia="Times New Roman" w:cstheme="minorHAnsi"/>
                <w:b/>
                <w:bCs/>
                <w:color w:val="000000"/>
                <w:sz w:val="20"/>
                <w:szCs w:val="20"/>
                <w:lang w:eastAsia="nl-BE"/>
              </w:rPr>
            </w:pPr>
            <w:r w:rsidRPr="00F440F5">
              <w:rPr>
                <w:rFonts w:eastAsia="Times New Roman" w:cstheme="minorHAnsi"/>
                <w:b/>
                <w:bCs/>
                <w:color w:val="000000"/>
                <w:sz w:val="20"/>
                <w:szCs w:val="20"/>
                <w:lang w:eastAsia="nl-BE"/>
              </w:rPr>
              <w:t>201.386</w:t>
            </w:r>
          </w:p>
        </w:tc>
        <w:tc>
          <w:tcPr>
            <w:tcW w:w="281" w:type="pct"/>
            <w:tcBorders>
              <w:top w:val="nil"/>
              <w:left w:val="nil"/>
              <w:bottom w:val="single" w:sz="4" w:space="0" w:color="auto"/>
              <w:right w:val="single" w:sz="4" w:space="0" w:color="auto"/>
            </w:tcBorders>
            <w:shd w:val="clear" w:color="auto" w:fill="auto"/>
            <w:vAlign w:val="center"/>
            <w:hideMark/>
          </w:tcPr>
          <w:p w14:paraId="5DD9712A" w14:textId="77777777" w:rsidR="00F440F5" w:rsidRPr="00F440F5" w:rsidRDefault="00F440F5" w:rsidP="00F440F5">
            <w:pPr>
              <w:jc w:val="center"/>
              <w:rPr>
                <w:rFonts w:eastAsia="Times New Roman" w:cstheme="minorHAnsi"/>
                <w:b/>
                <w:bCs/>
                <w:color w:val="000000"/>
                <w:sz w:val="20"/>
                <w:szCs w:val="20"/>
                <w:lang w:eastAsia="nl-BE"/>
              </w:rPr>
            </w:pPr>
            <w:r w:rsidRPr="00F440F5">
              <w:rPr>
                <w:rFonts w:eastAsia="Times New Roman" w:cstheme="minorHAnsi"/>
                <w:b/>
                <w:bCs/>
                <w:color w:val="000000"/>
                <w:sz w:val="20"/>
                <w:szCs w:val="20"/>
                <w:lang w:eastAsia="nl-BE"/>
              </w:rPr>
              <w:t>232.316</w:t>
            </w:r>
          </w:p>
        </w:tc>
        <w:tc>
          <w:tcPr>
            <w:tcW w:w="626" w:type="pct"/>
            <w:tcBorders>
              <w:top w:val="nil"/>
              <w:left w:val="nil"/>
              <w:bottom w:val="single" w:sz="4" w:space="0" w:color="auto"/>
              <w:right w:val="single" w:sz="4" w:space="0" w:color="auto"/>
            </w:tcBorders>
            <w:shd w:val="clear" w:color="auto" w:fill="auto"/>
            <w:vAlign w:val="center"/>
            <w:hideMark/>
          </w:tcPr>
          <w:p w14:paraId="79D736E4" w14:textId="77777777" w:rsidR="00F440F5" w:rsidRPr="00F440F5" w:rsidRDefault="00F440F5" w:rsidP="00F440F5">
            <w:pPr>
              <w:jc w:val="center"/>
              <w:rPr>
                <w:rFonts w:eastAsia="Times New Roman" w:cstheme="minorHAnsi"/>
                <w:b/>
                <w:bCs/>
                <w:color w:val="000000"/>
                <w:sz w:val="20"/>
                <w:szCs w:val="20"/>
                <w:lang w:eastAsia="nl-BE"/>
              </w:rPr>
            </w:pPr>
            <w:r w:rsidRPr="00F440F5">
              <w:rPr>
                <w:rFonts w:eastAsia="Times New Roman" w:cstheme="minorHAnsi"/>
                <w:b/>
                <w:bCs/>
                <w:color w:val="000000"/>
                <w:sz w:val="20"/>
                <w:szCs w:val="20"/>
                <w:lang w:eastAsia="nl-BE"/>
              </w:rPr>
              <w:t>203.159</w:t>
            </w:r>
          </w:p>
        </w:tc>
        <w:tc>
          <w:tcPr>
            <w:tcW w:w="626" w:type="pct"/>
            <w:tcBorders>
              <w:top w:val="nil"/>
              <w:left w:val="nil"/>
              <w:bottom w:val="single" w:sz="4" w:space="0" w:color="auto"/>
              <w:right w:val="single" w:sz="4" w:space="0" w:color="auto"/>
            </w:tcBorders>
            <w:shd w:val="clear" w:color="auto" w:fill="auto"/>
            <w:vAlign w:val="center"/>
            <w:hideMark/>
          </w:tcPr>
          <w:p w14:paraId="5061B27A" w14:textId="77777777" w:rsidR="00F440F5" w:rsidRPr="00F440F5" w:rsidRDefault="00F440F5" w:rsidP="00F440F5">
            <w:pPr>
              <w:jc w:val="center"/>
              <w:rPr>
                <w:rFonts w:eastAsia="Times New Roman" w:cstheme="minorHAnsi"/>
                <w:b/>
                <w:bCs/>
                <w:color w:val="000000"/>
                <w:sz w:val="20"/>
                <w:szCs w:val="20"/>
                <w:lang w:eastAsia="nl-BE"/>
              </w:rPr>
            </w:pPr>
            <w:r w:rsidRPr="00F440F5">
              <w:rPr>
                <w:rFonts w:eastAsia="Times New Roman" w:cstheme="minorHAnsi"/>
                <w:b/>
                <w:bCs/>
                <w:color w:val="000000"/>
                <w:sz w:val="20"/>
                <w:szCs w:val="20"/>
                <w:lang w:eastAsia="nl-BE"/>
              </w:rPr>
              <w:t>232.316</w:t>
            </w:r>
          </w:p>
        </w:tc>
        <w:tc>
          <w:tcPr>
            <w:tcW w:w="626" w:type="pct"/>
            <w:tcBorders>
              <w:top w:val="nil"/>
              <w:left w:val="nil"/>
              <w:bottom w:val="single" w:sz="4" w:space="0" w:color="auto"/>
              <w:right w:val="single" w:sz="4" w:space="0" w:color="auto"/>
            </w:tcBorders>
            <w:shd w:val="clear" w:color="auto" w:fill="auto"/>
            <w:vAlign w:val="center"/>
            <w:hideMark/>
          </w:tcPr>
          <w:p w14:paraId="4F08D0A8" w14:textId="77777777" w:rsidR="00F440F5" w:rsidRPr="00F440F5" w:rsidRDefault="00F440F5" w:rsidP="00F440F5">
            <w:pPr>
              <w:jc w:val="center"/>
              <w:rPr>
                <w:rFonts w:eastAsia="Times New Roman" w:cstheme="minorHAnsi"/>
                <w:b/>
                <w:bCs/>
                <w:color w:val="000000"/>
                <w:sz w:val="20"/>
                <w:szCs w:val="20"/>
                <w:lang w:eastAsia="nl-BE"/>
              </w:rPr>
            </w:pPr>
            <w:r w:rsidRPr="00F440F5">
              <w:rPr>
                <w:rFonts w:eastAsia="Times New Roman" w:cstheme="minorHAnsi"/>
                <w:b/>
                <w:bCs/>
                <w:color w:val="000000"/>
                <w:sz w:val="20"/>
                <w:szCs w:val="20"/>
                <w:lang w:eastAsia="nl-BE"/>
              </w:rPr>
              <w:t>233.326</w:t>
            </w:r>
          </w:p>
        </w:tc>
        <w:tc>
          <w:tcPr>
            <w:tcW w:w="626" w:type="pct"/>
            <w:tcBorders>
              <w:top w:val="nil"/>
              <w:left w:val="nil"/>
              <w:bottom w:val="single" w:sz="4" w:space="0" w:color="auto"/>
              <w:right w:val="single" w:sz="4" w:space="0" w:color="auto"/>
            </w:tcBorders>
            <w:shd w:val="clear" w:color="auto" w:fill="auto"/>
            <w:vAlign w:val="center"/>
            <w:hideMark/>
          </w:tcPr>
          <w:p w14:paraId="20398ACF" w14:textId="77777777" w:rsidR="00F440F5" w:rsidRPr="00F440F5" w:rsidRDefault="00F440F5" w:rsidP="00F440F5">
            <w:pPr>
              <w:jc w:val="center"/>
              <w:rPr>
                <w:rFonts w:eastAsia="Times New Roman" w:cstheme="minorHAnsi"/>
                <w:b/>
                <w:bCs/>
                <w:color w:val="000000"/>
                <w:sz w:val="20"/>
                <w:szCs w:val="20"/>
                <w:lang w:eastAsia="nl-BE"/>
              </w:rPr>
            </w:pPr>
            <w:r w:rsidRPr="00F440F5">
              <w:rPr>
                <w:rFonts w:eastAsia="Times New Roman" w:cstheme="minorHAnsi"/>
                <w:b/>
                <w:bCs/>
                <w:color w:val="000000"/>
                <w:sz w:val="20"/>
                <w:szCs w:val="20"/>
                <w:lang w:eastAsia="nl-BE"/>
              </w:rPr>
              <w:t>233.918</w:t>
            </w:r>
          </w:p>
        </w:tc>
        <w:tc>
          <w:tcPr>
            <w:tcW w:w="626" w:type="pct"/>
            <w:tcBorders>
              <w:top w:val="nil"/>
              <w:left w:val="nil"/>
              <w:bottom w:val="single" w:sz="4" w:space="0" w:color="auto"/>
              <w:right w:val="single" w:sz="4" w:space="0" w:color="auto"/>
            </w:tcBorders>
            <w:shd w:val="clear" w:color="auto" w:fill="auto"/>
            <w:vAlign w:val="center"/>
            <w:hideMark/>
          </w:tcPr>
          <w:p w14:paraId="5A8EEF81" w14:textId="77777777" w:rsidR="00F440F5" w:rsidRPr="00F440F5" w:rsidRDefault="00F440F5" w:rsidP="00F440F5">
            <w:pPr>
              <w:jc w:val="center"/>
              <w:rPr>
                <w:rFonts w:eastAsia="Times New Roman" w:cstheme="minorHAnsi"/>
                <w:b/>
                <w:bCs/>
                <w:color w:val="000000"/>
                <w:sz w:val="20"/>
                <w:szCs w:val="20"/>
                <w:lang w:eastAsia="nl-BE"/>
              </w:rPr>
            </w:pPr>
            <w:r w:rsidRPr="00F440F5">
              <w:rPr>
                <w:rFonts w:eastAsia="Times New Roman" w:cstheme="minorHAnsi"/>
                <w:b/>
                <w:bCs/>
                <w:color w:val="000000"/>
                <w:sz w:val="20"/>
                <w:szCs w:val="20"/>
                <w:lang w:eastAsia="nl-BE"/>
              </w:rPr>
              <w:t>227.710</w:t>
            </w:r>
          </w:p>
        </w:tc>
        <w:tc>
          <w:tcPr>
            <w:tcW w:w="626" w:type="pct"/>
            <w:tcBorders>
              <w:top w:val="nil"/>
              <w:left w:val="nil"/>
              <w:bottom w:val="single" w:sz="4" w:space="0" w:color="auto"/>
              <w:right w:val="single" w:sz="4" w:space="0" w:color="auto"/>
            </w:tcBorders>
            <w:shd w:val="clear" w:color="auto" w:fill="auto"/>
            <w:vAlign w:val="center"/>
            <w:hideMark/>
          </w:tcPr>
          <w:p w14:paraId="38870C91" w14:textId="77777777" w:rsidR="00F440F5" w:rsidRPr="00F440F5" w:rsidRDefault="00F440F5" w:rsidP="00F440F5">
            <w:pPr>
              <w:jc w:val="center"/>
              <w:rPr>
                <w:rFonts w:eastAsia="Times New Roman" w:cstheme="minorHAnsi"/>
                <w:b/>
                <w:bCs/>
                <w:color w:val="000000"/>
                <w:sz w:val="20"/>
                <w:szCs w:val="20"/>
                <w:lang w:eastAsia="nl-BE"/>
              </w:rPr>
            </w:pPr>
            <w:r w:rsidRPr="00F440F5">
              <w:rPr>
                <w:rFonts w:eastAsia="Times New Roman" w:cstheme="minorHAnsi"/>
                <w:b/>
                <w:bCs/>
                <w:color w:val="000000"/>
                <w:sz w:val="20"/>
                <w:szCs w:val="20"/>
                <w:lang w:eastAsia="nl-BE"/>
              </w:rPr>
              <w:t>232.224</w:t>
            </w:r>
          </w:p>
        </w:tc>
      </w:tr>
      <w:tr w:rsidR="00F440F5" w:rsidRPr="00F440F5" w14:paraId="43F6CD93" w14:textId="77777777" w:rsidTr="0054699F">
        <w:trPr>
          <w:trHeight w:val="900"/>
        </w:trPr>
        <w:tc>
          <w:tcPr>
            <w:tcW w:w="68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344C15A" w14:textId="77777777" w:rsidR="00F440F5" w:rsidRPr="00F440F5" w:rsidRDefault="00F440F5" w:rsidP="00F440F5">
            <w:pPr>
              <w:rPr>
                <w:rFonts w:eastAsia="Times New Roman" w:cstheme="minorHAnsi"/>
                <w:b/>
                <w:bCs/>
                <w:color w:val="000000"/>
                <w:sz w:val="20"/>
                <w:szCs w:val="20"/>
                <w:lang w:eastAsia="nl-BE"/>
              </w:rPr>
            </w:pPr>
            <w:r w:rsidRPr="00F440F5">
              <w:rPr>
                <w:rFonts w:eastAsia="Times New Roman" w:cstheme="minorHAnsi"/>
                <w:b/>
                <w:bCs/>
                <w:color w:val="000000"/>
                <w:sz w:val="20"/>
                <w:szCs w:val="20"/>
                <w:lang w:eastAsia="nl-BE"/>
              </w:rPr>
              <w:t>M.b.t. AJ 2019</w:t>
            </w:r>
          </w:p>
        </w:tc>
        <w:tc>
          <w:tcPr>
            <w:tcW w:w="281" w:type="pct"/>
            <w:tcBorders>
              <w:top w:val="nil"/>
              <w:left w:val="nil"/>
              <w:bottom w:val="single" w:sz="4" w:space="0" w:color="auto"/>
              <w:right w:val="single" w:sz="4" w:space="0" w:color="auto"/>
            </w:tcBorders>
            <w:shd w:val="clear" w:color="auto" w:fill="auto"/>
            <w:noWrap/>
            <w:vAlign w:val="center"/>
            <w:hideMark/>
          </w:tcPr>
          <w:p w14:paraId="1FBA5185" w14:textId="77777777" w:rsidR="00F440F5" w:rsidRPr="00F440F5" w:rsidRDefault="00F440F5" w:rsidP="00F440F5">
            <w:pPr>
              <w:jc w:val="center"/>
              <w:rPr>
                <w:rFonts w:eastAsia="Times New Roman" w:cstheme="minorHAnsi"/>
                <w:color w:val="000000"/>
                <w:sz w:val="20"/>
                <w:szCs w:val="20"/>
                <w:lang w:eastAsia="nl-BE"/>
              </w:rPr>
            </w:pPr>
            <w:r w:rsidRPr="00F440F5">
              <w:rPr>
                <w:rFonts w:eastAsia="Times New Roman" w:cstheme="minorHAnsi"/>
                <w:color w:val="000000"/>
                <w:sz w:val="20"/>
                <w:szCs w:val="20"/>
                <w:lang w:eastAsia="nl-BE"/>
              </w:rPr>
              <w:t> </w:t>
            </w:r>
          </w:p>
        </w:tc>
        <w:tc>
          <w:tcPr>
            <w:tcW w:w="281" w:type="pct"/>
            <w:tcBorders>
              <w:top w:val="nil"/>
              <w:left w:val="nil"/>
              <w:bottom w:val="single" w:sz="4" w:space="0" w:color="auto"/>
              <w:right w:val="single" w:sz="4" w:space="0" w:color="auto"/>
            </w:tcBorders>
            <w:shd w:val="clear" w:color="auto" w:fill="auto"/>
            <w:noWrap/>
            <w:vAlign w:val="center"/>
            <w:hideMark/>
          </w:tcPr>
          <w:p w14:paraId="49D61B28" w14:textId="77777777" w:rsidR="00F440F5" w:rsidRPr="00F440F5" w:rsidRDefault="00F440F5" w:rsidP="00F440F5">
            <w:pPr>
              <w:jc w:val="center"/>
              <w:rPr>
                <w:rFonts w:eastAsia="Times New Roman" w:cstheme="minorHAnsi"/>
                <w:color w:val="000000"/>
                <w:sz w:val="20"/>
                <w:szCs w:val="20"/>
                <w:lang w:eastAsia="nl-BE"/>
              </w:rPr>
            </w:pPr>
            <w:r w:rsidRPr="00F440F5">
              <w:rPr>
                <w:rFonts w:eastAsia="Times New Roman" w:cstheme="minorHAnsi"/>
                <w:color w:val="000000"/>
                <w:sz w:val="20"/>
                <w:szCs w:val="20"/>
                <w:lang w:eastAsia="nl-BE"/>
              </w:rPr>
              <w:t> </w:t>
            </w:r>
          </w:p>
        </w:tc>
        <w:tc>
          <w:tcPr>
            <w:tcW w:w="626" w:type="pct"/>
            <w:tcBorders>
              <w:top w:val="nil"/>
              <w:left w:val="nil"/>
              <w:bottom w:val="single" w:sz="4" w:space="0" w:color="auto"/>
              <w:right w:val="single" w:sz="4" w:space="0" w:color="auto"/>
            </w:tcBorders>
            <w:shd w:val="clear" w:color="auto" w:fill="auto"/>
            <w:vAlign w:val="center"/>
            <w:hideMark/>
          </w:tcPr>
          <w:p w14:paraId="35DC9E15" w14:textId="77777777" w:rsidR="00F440F5" w:rsidRPr="00F440F5" w:rsidRDefault="00F440F5" w:rsidP="00F440F5">
            <w:pPr>
              <w:jc w:val="center"/>
              <w:rPr>
                <w:rFonts w:eastAsia="Times New Roman" w:cstheme="minorHAnsi"/>
                <w:color w:val="000000"/>
                <w:sz w:val="20"/>
                <w:szCs w:val="20"/>
                <w:lang w:eastAsia="nl-BE"/>
              </w:rPr>
            </w:pPr>
            <w:r w:rsidRPr="00F440F5">
              <w:rPr>
                <w:rFonts w:eastAsia="Times New Roman" w:cstheme="minorHAnsi"/>
                <w:color w:val="000000"/>
                <w:sz w:val="20"/>
                <w:szCs w:val="20"/>
                <w:lang w:eastAsia="nl-BE"/>
              </w:rPr>
              <w:t>voorschotten</w:t>
            </w:r>
            <w:r w:rsidRPr="00F440F5">
              <w:rPr>
                <w:rFonts w:eastAsia="Times New Roman" w:cstheme="minorHAnsi"/>
                <w:color w:val="000000"/>
                <w:sz w:val="20"/>
                <w:szCs w:val="20"/>
                <w:lang w:eastAsia="nl-BE"/>
              </w:rPr>
              <w:br/>
              <w:t>(twaalfden)</w:t>
            </w:r>
            <w:r w:rsidRPr="00F440F5">
              <w:rPr>
                <w:rFonts w:eastAsia="Times New Roman" w:cstheme="minorHAnsi"/>
                <w:color w:val="000000"/>
                <w:sz w:val="20"/>
                <w:szCs w:val="20"/>
                <w:lang w:eastAsia="nl-BE"/>
              </w:rPr>
              <w:br/>
              <w:t>(aan 99,37%)</w:t>
            </w:r>
          </w:p>
        </w:tc>
        <w:tc>
          <w:tcPr>
            <w:tcW w:w="626" w:type="pct"/>
            <w:tcBorders>
              <w:top w:val="nil"/>
              <w:left w:val="nil"/>
              <w:bottom w:val="single" w:sz="4" w:space="0" w:color="auto"/>
              <w:right w:val="single" w:sz="4" w:space="0" w:color="auto"/>
            </w:tcBorders>
            <w:shd w:val="clear" w:color="auto" w:fill="auto"/>
            <w:vAlign w:val="center"/>
            <w:hideMark/>
          </w:tcPr>
          <w:p w14:paraId="6BA94938" w14:textId="77777777" w:rsidR="00F440F5" w:rsidRPr="00F440F5" w:rsidRDefault="00F440F5" w:rsidP="00F440F5">
            <w:pPr>
              <w:jc w:val="center"/>
              <w:rPr>
                <w:rFonts w:eastAsia="Times New Roman" w:cstheme="minorHAnsi"/>
                <w:color w:val="000000"/>
                <w:sz w:val="20"/>
                <w:szCs w:val="20"/>
                <w:lang w:eastAsia="nl-BE"/>
              </w:rPr>
            </w:pPr>
            <w:r w:rsidRPr="00F440F5">
              <w:rPr>
                <w:rFonts w:eastAsia="Times New Roman" w:cstheme="minorHAnsi"/>
                <w:color w:val="000000"/>
                <w:sz w:val="20"/>
                <w:szCs w:val="20"/>
                <w:lang w:eastAsia="nl-BE"/>
              </w:rPr>
              <w:t>voorschotten</w:t>
            </w:r>
            <w:r w:rsidRPr="00F440F5">
              <w:rPr>
                <w:rFonts w:eastAsia="Times New Roman" w:cstheme="minorHAnsi"/>
                <w:color w:val="000000"/>
                <w:sz w:val="20"/>
                <w:szCs w:val="20"/>
                <w:lang w:eastAsia="nl-BE"/>
              </w:rPr>
              <w:br/>
              <w:t>(twaalfden)</w:t>
            </w:r>
            <w:r w:rsidRPr="00F440F5">
              <w:rPr>
                <w:rFonts w:eastAsia="Times New Roman" w:cstheme="minorHAnsi"/>
                <w:color w:val="000000"/>
                <w:sz w:val="20"/>
                <w:szCs w:val="20"/>
                <w:lang w:eastAsia="nl-BE"/>
              </w:rPr>
              <w:br/>
              <w:t>(aan 99,37%)</w:t>
            </w:r>
          </w:p>
        </w:tc>
        <w:tc>
          <w:tcPr>
            <w:tcW w:w="626" w:type="pct"/>
            <w:tcBorders>
              <w:top w:val="nil"/>
              <w:left w:val="nil"/>
              <w:bottom w:val="single" w:sz="4" w:space="0" w:color="auto"/>
              <w:right w:val="single" w:sz="4" w:space="0" w:color="auto"/>
            </w:tcBorders>
            <w:shd w:val="clear" w:color="auto" w:fill="auto"/>
            <w:vAlign w:val="center"/>
            <w:hideMark/>
          </w:tcPr>
          <w:p w14:paraId="586ACF05" w14:textId="77777777" w:rsidR="00F440F5" w:rsidRPr="00F440F5" w:rsidRDefault="00F440F5" w:rsidP="00F440F5">
            <w:pPr>
              <w:jc w:val="center"/>
              <w:rPr>
                <w:rFonts w:eastAsia="Times New Roman" w:cstheme="minorHAnsi"/>
                <w:color w:val="000000"/>
                <w:sz w:val="20"/>
                <w:szCs w:val="20"/>
                <w:lang w:eastAsia="nl-BE"/>
              </w:rPr>
            </w:pPr>
            <w:r w:rsidRPr="00F440F5">
              <w:rPr>
                <w:rFonts w:eastAsia="Times New Roman" w:cstheme="minorHAnsi"/>
                <w:color w:val="000000"/>
                <w:sz w:val="20"/>
                <w:szCs w:val="20"/>
                <w:lang w:eastAsia="nl-BE"/>
              </w:rPr>
              <w:t>voorschotten</w:t>
            </w:r>
            <w:r w:rsidRPr="00F440F5">
              <w:rPr>
                <w:rFonts w:eastAsia="Times New Roman" w:cstheme="minorHAnsi"/>
                <w:color w:val="000000"/>
                <w:sz w:val="20"/>
                <w:szCs w:val="20"/>
                <w:lang w:eastAsia="nl-BE"/>
              </w:rPr>
              <w:br/>
              <w:t>(twaalfden)</w:t>
            </w:r>
            <w:r w:rsidRPr="00F440F5">
              <w:rPr>
                <w:rFonts w:eastAsia="Times New Roman" w:cstheme="minorHAnsi"/>
                <w:color w:val="000000"/>
                <w:sz w:val="20"/>
                <w:szCs w:val="20"/>
                <w:lang w:eastAsia="nl-BE"/>
              </w:rPr>
              <w:br/>
              <w:t>(aan 99,37%)</w:t>
            </w:r>
          </w:p>
        </w:tc>
        <w:tc>
          <w:tcPr>
            <w:tcW w:w="626" w:type="pct"/>
            <w:tcBorders>
              <w:top w:val="nil"/>
              <w:left w:val="nil"/>
              <w:bottom w:val="single" w:sz="4" w:space="0" w:color="auto"/>
              <w:right w:val="single" w:sz="4" w:space="0" w:color="auto"/>
            </w:tcBorders>
            <w:shd w:val="clear" w:color="auto" w:fill="auto"/>
            <w:vAlign w:val="center"/>
            <w:hideMark/>
          </w:tcPr>
          <w:p w14:paraId="1494DF64" w14:textId="77777777" w:rsidR="00F440F5" w:rsidRPr="00F440F5" w:rsidRDefault="00F440F5" w:rsidP="00F440F5">
            <w:pPr>
              <w:jc w:val="center"/>
              <w:rPr>
                <w:rFonts w:eastAsia="Times New Roman" w:cstheme="minorHAnsi"/>
                <w:color w:val="000000"/>
                <w:sz w:val="20"/>
                <w:szCs w:val="20"/>
                <w:lang w:eastAsia="nl-BE"/>
              </w:rPr>
            </w:pPr>
            <w:r w:rsidRPr="00F440F5">
              <w:rPr>
                <w:rFonts w:eastAsia="Times New Roman" w:cstheme="minorHAnsi"/>
                <w:color w:val="000000"/>
                <w:sz w:val="20"/>
                <w:szCs w:val="20"/>
                <w:lang w:eastAsia="nl-BE"/>
              </w:rPr>
              <w:t>voorschotten</w:t>
            </w:r>
            <w:r w:rsidRPr="00F440F5">
              <w:rPr>
                <w:rFonts w:eastAsia="Times New Roman" w:cstheme="minorHAnsi"/>
                <w:color w:val="000000"/>
                <w:sz w:val="20"/>
                <w:szCs w:val="20"/>
                <w:lang w:eastAsia="nl-BE"/>
              </w:rPr>
              <w:br/>
              <w:t>(twaalfden)</w:t>
            </w:r>
            <w:r w:rsidRPr="00F440F5">
              <w:rPr>
                <w:rFonts w:eastAsia="Times New Roman" w:cstheme="minorHAnsi"/>
                <w:color w:val="000000"/>
                <w:sz w:val="20"/>
                <w:szCs w:val="20"/>
                <w:lang w:eastAsia="nl-BE"/>
              </w:rPr>
              <w:br/>
              <w:t>(aan 99,37%)</w:t>
            </w:r>
          </w:p>
        </w:tc>
        <w:tc>
          <w:tcPr>
            <w:tcW w:w="626" w:type="pct"/>
            <w:tcBorders>
              <w:top w:val="nil"/>
              <w:left w:val="nil"/>
              <w:bottom w:val="single" w:sz="4" w:space="0" w:color="auto"/>
              <w:right w:val="single" w:sz="4" w:space="0" w:color="auto"/>
            </w:tcBorders>
            <w:shd w:val="clear" w:color="auto" w:fill="auto"/>
            <w:vAlign w:val="center"/>
            <w:hideMark/>
          </w:tcPr>
          <w:p w14:paraId="2E4ABA5F" w14:textId="77777777" w:rsidR="00F440F5" w:rsidRPr="00F440F5" w:rsidRDefault="00F440F5" w:rsidP="00F440F5">
            <w:pPr>
              <w:jc w:val="center"/>
              <w:rPr>
                <w:rFonts w:eastAsia="Times New Roman" w:cstheme="minorHAnsi"/>
                <w:color w:val="000000"/>
                <w:sz w:val="20"/>
                <w:szCs w:val="20"/>
                <w:lang w:eastAsia="nl-BE"/>
              </w:rPr>
            </w:pPr>
            <w:r w:rsidRPr="00F440F5">
              <w:rPr>
                <w:rFonts w:eastAsia="Times New Roman" w:cstheme="minorHAnsi"/>
                <w:color w:val="000000"/>
                <w:sz w:val="20"/>
                <w:szCs w:val="20"/>
                <w:lang w:eastAsia="nl-BE"/>
              </w:rPr>
              <w:t>voorschotten</w:t>
            </w:r>
            <w:r w:rsidRPr="00F440F5">
              <w:rPr>
                <w:rFonts w:eastAsia="Times New Roman" w:cstheme="minorHAnsi"/>
                <w:color w:val="000000"/>
                <w:sz w:val="20"/>
                <w:szCs w:val="20"/>
                <w:lang w:eastAsia="nl-BE"/>
              </w:rPr>
              <w:br/>
              <w:t>(twaalfden)</w:t>
            </w:r>
            <w:r w:rsidRPr="00F440F5">
              <w:rPr>
                <w:rFonts w:eastAsia="Times New Roman" w:cstheme="minorHAnsi"/>
                <w:color w:val="000000"/>
                <w:sz w:val="20"/>
                <w:szCs w:val="20"/>
                <w:lang w:eastAsia="nl-BE"/>
              </w:rPr>
              <w:br/>
              <w:t>(aan 99,37%)</w:t>
            </w:r>
          </w:p>
        </w:tc>
        <w:tc>
          <w:tcPr>
            <w:tcW w:w="626" w:type="pct"/>
            <w:tcBorders>
              <w:top w:val="nil"/>
              <w:left w:val="nil"/>
              <w:bottom w:val="single" w:sz="4" w:space="0" w:color="auto"/>
              <w:right w:val="single" w:sz="4" w:space="0" w:color="auto"/>
            </w:tcBorders>
            <w:shd w:val="clear" w:color="auto" w:fill="auto"/>
            <w:vAlign w:val="center"/>
            <w:hideMark/>
          </w:tcPr>
          <w:p w14:paraId="03DCAD73" w14:textId="77777777" w:rsidR="00F440F5" w:rsidRPr="00F440F5" w:rsidRDefault="00F440F5" w:rsidP="00F440F5">
            <w:pPr>
              <w:jc w:val="center"/>
              <w:rPr>
                <w:rFonts w:eastAsia="Times New Roman" w:cstheme="minorHAnsi"/>
                <w:color w:val="000000"/>
                <w:sz w:val="20"/>
                <w:szCs w:val="20"/>
                <w:lang w:eastAsia="nl-BE"/>
              </w:rPr>
            </w:pPr>
            <w:r w:rsidRPr="00F440F5">
              <w:rPr>
                <w:rFonts w:eastAsia="Times New Roman" w:cstheme="minorHAnsi"/>
                <w:color w:val="000000"/>
                <w:sz w:val="20"/>
                <w:szCs w:val="20"/>
                <w:lang w:eastAsia="nl-BE"/>
              </w:rPr>
              <w:t>voorschotten</w:t>
            </w:r>
            <w:r w:rsidRPr="00F440F5">
              <w:rPr>
                <w:rFonts w:eastAsia="Times New Roman" w:cstheme="minorHAnsi"/>
                <w:color w:val="000000"/>
                <w:sz w:val="20"/>
                <w:szCs w:val="20"/>
                <w:lang w:eastAsia="nl-BE"/>
              </w:rPr>
              <w:br/>
              <w:t>(twaalfden)</w:t>
            </w:r>
            <w:r w:rsidRPr="00F440F5">
              <w:rPr>
                <w:rFonts w:eastAsia="Times New Roman" w:cstheme="minorHAnsi"/>
                <w:color w:val="000000"/>
                <w:sz w:val="20"/>
                <w:szCs w:val="20"/>
                <w:lang w:eastAsia="nl-BE"/>
              </w:rPr>
              <w:br/>
              <w:t>(aan 99,37%)</w:t>
            </w:r>
          </w:p>
        </w:tc>
      </w:tr>
      <w:tr w:rsidR="00F440F5" w:rsidRPr="00F440F5" w14:paraId="51342D1D" w14:textId="77777777" w:rsidTr="0054699F">
        <w:trPr>
          <w:trHeight w:val="300"/>
        </w:trPr>
        <w:tc>
          <w:tcPr>
            <w:tcW w:w="684" w:type="pct"/>
            <w:vMerge/>
            <w:tcBorders>
              <w:top w:val="nil"/>
              <w:left w:val="single" w:sz="4" w:space="0" w:color="auto"/>
              <w:bottom w:val="single" w:sz="4" w:space="0" w:color="auto"/>
              <w:right w:val="single" w:sz="4" w:space="0" w:color="auto"/>
            </w:tcBorders>
            <w:vAlign w:val="center"/>
            <w:hideMark/>
          </w:tcPr>
          <w:p w14:paraId="6E394E1A" w14:textId="77777777" w:rsidR="00F440F5" w:rsidRPr="00F440F5" w:rsidRDefault="00F440F5" w:rsidP="00F440F5">
            <w:pPr>
              <w:rPr>
                <w:rFonts w:eastAsia="Times New Roman" w:cstheme="minorHAnsi"/>
                <w:b/>
                <w:bCs/>
                <w:color w:val="000000"/>
                <w:sz w:val="20"/>
                <w:szCs w:val="20"/>
                <w:lang w:eastAsia="nl-BE"/>
              </w:rPr>
            </w:pPr>
          </w:p>
        </w:tc>
        <w:tc>
          <w:tcPr>
            <w:tcW w:w="281" w:type="pct"/>
            <w:tcBorders>
              <w:top w:val="nil"/>
              <w:left w:val="nil"/>
              <w:bottom w:val="single" w:sz="4" w:space="0" w:color="auto"/>
              <w:right w:val="single" w:sz="4" w:space="0" w:color="auto"/>
            </w:tcBorders>
            <w:shd w:val="clear" w:color="auto" w:fill="auto"/>
            <w:vAlign w:val="center"/>
            <w:hideMark/>
          </w:tcPr>
          <w:p w14:paraId="27762326" w14:textId="77777777" w:rsidR="00F440F5" w:rsidRPr="00F440F5" w:rsidRDefault="00F440F5" w:rsidP="00F440F5">
            <w:pPr>
              <w:jc w:val="center"/>
              <w:rPr>
                <w:rFonts w:eastAsia="Times New Roman" w:cstheme="minorHAnsi"/>
                <w:b/>
                <w:bCs/>
                <w:color w:val="000000"/>
                <w:sz w:val="20"/>
                <w:szCs w:val="20"/>
                <w:lang w:eastAsia="nl-BE"/>
              </w:rPr>
            </w:pPr>
            <w:r w:rsidRPr="00F440F5">
              <w:rPr>
                <w:rFonts w:eastAsia="Times New Roman" w:cstheme="minorHAnsi"/>
                <w:b/>
                <w:bCs/>
                <w:color w:val="000000"/>
                <w:sz w:val="20"/>
                <w:szCs w:val="20"/>
                <w:lang w:eastAsia="nl-BE"/>
              </w:rPr>
              <w:t>5.865.461</w:t>
            </w:r>
          </w:p>
        </w:tc>
        <w:tc>
          <w:tcPr>
            <w:tcW w:w="281" w:type="pct"/>
            <w:tcBorders>
              <w:top w:val="nil"/>
              <w:left w:val="nil"/>
              <w:bottom w:val="single" w:sz="4" w:space="0" w:color="auto"/>
              <w:right w:val="single" w:sz="4" w:space="0" w:color="auto"/>
            </w:tcBorders>
            <w:shd w:val="clear" w:color="auto" w:fill="auto"/>
            <w:vAlign w:val="center"/>
            <w:hideMark/>
          </w:tcPr>
          <w:p w14:paraId="7A2F2B43" w14:textId="77777777" w:rsidR="00F440F5" w:rsidRPr="00F440F5" w:rsidRDefault="00F440F5" w:rsidP="00F440F5">
            <w:pPr>
              <w:jc w:val="center"/>
              <w:rPr>
                <w:rFonts w:eastAsia="Times New Roman" w:cstheme="minorHAnsi"/>
                <w:b/>
                <w:bCs/>
                <w:color w:val="000000"/>
                <w:sz w:val="20"/>
                <w:szCs w:val="20"/>
                <w:lang w:eastAsia="nl-BE"/>
              </w:rPr>
            </w:pPr>
            <w:r w:rsidRPr="00F440F5">
              <w:rPr>
                <w:rFonts w:eastAsia="Times New Roman" w:cstheme="minorHAnsi"/>
                <w:b/>
                <w:bCs/>
                <w:color w:val="000000"/>
                <w:sz w:val="20"/>
                <w:szCs w:val="20"/>
                <w:lang w:eastAsia="nl-BE"/>
              </w:rPr>
              <w:t>5.904.829</w:t>
            </w:r>
          </w:p>
        </w:tc>
        <w:tc>
          <w:tcPr>
            <w:tcW w:w="626" w:type="pct"/>
            <w:tcBorders>
              <w:top w:val="nil"/>
              <w:left w:val="nil"/>
              <w:bottom w:val="single" w:sz="4" w:space="0" w:color="auto"/>
              <w:right w:val="single" w:sz="4" w:space="0" w:color="auto"/>
            </w:tcBorders>
            <w:shd w:val="clear" w:color="auto" w:fill="auto"/>
            <w:vAlign w:val="center"/>
            <w:hideMark/>
          </w:tcPr>
          <w:p w14:paraId="7E9BADF6" w14:textId="77777777" w:rsidR="00F440F5" w:rsidRPr="00F440F5" w:rsidRDefault="00F440F5" w:rsidP="00F440F5">
            <w:pPr>
              <w:jc w:val="center"/>
              <w:rPr>
                <w:rFonts w:eastAsia="Times New Roman" w:cstheme="minorHAnsi"/>
                <w:b/>
                <w:bCs/>
                <w:color w:val="000000"/>
                <w:sz w:val="20"/>
                <w:szCs w:val="20"/>
                <w:lang w:eastAsia="nl-BE"/>
              </w:rPr>
            </w:pPr>
            <w:r w:rsidRPr="00F440F5">
              <w:rPr>
                <w:rFonts w:eastAsia="Times New Roman" w:cstheme="minorHAnsi"/>
                <w:b/>
                <w:bCs/>
                <w:color w:val="000000"/>
                <w:sz w:val="20"/>
                <w:szCs w:val="20"/>
                <w:lang w:eastAsia="nl-BE"/>
              </w:rPr>
              <w:t>5.904.829</w:t>
            </w:r>
          </w:p>
        </w:tc>
        <w:tc>
          <w:tcPr>
            <w:tcW w:w="626" w:type="pct"/>
            <w:tcBorders>
              <w:top w:val="nil"/>
              <w:left w:val="nil"/>
              <w:bottom w:val="single" w:sz="4" w:space="0" w:color="auto"/>
              <w:right w:val="single" w:sz="4" w:space="0" w:color="auto"/>
            </w:tcBorders>
            <w:shd w:val="clear" w:color="auto" w:fill="auto"/>
            <w:vAlign w:val="center"/>
            <w:hideMark/>
          </w:tcPr>
          <w:p w14:paraId="356DA3B0" w14:textId="77777777" w:rsidR="00F440F5" w:rsidRPr="00F440F5" w:rsidRDefault="00F440F5" w:rsidP="00F440F5">
            <w:pPr>
              <w:jc w:val="center"/>
              <w:rPr>
                <w:rFonts w:eastAsia="Times New Roman" w:cstheme="minorHAnsi"/>
                <w:b/>
                <w:bCs/>
                <w:color w:val="000000"/>
                <w:sz w:val="20"/>
                <w:szCs w:val="20"/>
                <w:lang w:eastAsia="nl-BE"/>
              </w:rPr>
            </w:pPr>
            <w:r w:rsidRPr="00F440F5">
              <w:rPr>
                <w:rFonts w:eastAsia="Times New Roman" w:cstheme="minorHAnsi"/>
                <w:b/>
                <w:bCs/>
                <w:color w:val="000000"/>
                <w:sz w:val="20"/>
                <w:szCs w:val="20"/>
                <w:lang w:eastAsia="nl-BE"/>
              </w:rPr>
              <w:t>5.904.829</w:t>
            </w:r>
          </w:p>
        </w:tc>
        <w:tc>
          <w:tcPr>
            <w:tcW w:w="626" w:type="pct"/>
            <w:tcBorders>
              <w:top w:val="nil"/>
              <w:left w:val="nil"/>
              <w:bottom w:val="single" w:sz="4" w:space="0" w:color="auto"/>
              <w:right w:val="single" w:sz="4" w:space="0" w:color="auto"/>
            </w:tcBorders>
            <w:shd w:val="clear" w:color="auto" w:fill="auto"/>
            <w:vAlign w:val="center"/>
            <w:hideMark/>
          </w:tcPr>
          <w:p w14:paraId="4A2D7160" w14:textId="77777777" w:rsidR="00F440F5" w:rsidRPr="00F440F5" w:rsidRDefault="00F440F5" w:rsidP="00F440F5">
            <w:pPr>
              <w:jc w:val="center"/>
              <w:rPr>
                <w:rFonts w:eastAsia="Times New Roman" w:cstheme="minorHAnsi"/>
                <w:b/>
                <w:bCs/>
                <w:color w:val="000000"/>
                <w:sz w:val="20"/>
                <w:szCs w:val="20"/>
                <w:lang w:eastAsia="nl-BE"/>
              </w:rPr>
            </w:pPr>
            <w:r w:rsidRPr="00F440F5">
              <w:rPr>
                <w:rFonts w:eastAsia="Times New Roman" w:cstheme="minorHAnsi"/>
                <w:b/>
                <w:bCs/>
                <w:color w:val="000000"/>
                <w:sz w:val="20"/>
                <w:szCs w:val="20"/>
                <w:lang w:eastAsia="nl-BE"/>
              </w:rPr>
              <w:t>5.904.829</w:t>
            </w:r>
          </w:p>
        </w:tc>
        <w:tc>
          <w:tcPr>
            <w:tcW w:w="626" w:type="pct"/>
            <w:tcBorders>
              <w:top w:val="nil"/>
              <w:left w:val="nil"/>
              <w:bottom w:val="single" w:sz="4" w:space="0" w:color="auto"/>
              <w:right w:val="single" w:sz="4" w:space="0" w:color="auto"/>
            </w:tcBorders>
            <w:shd w:val="clear" w:color="auto" w:fill="auto"/>
            <w:vAlign w:val="center"/>
            <w:hideMark/>
          </w:tcPr>
          <w:p w14:paraId="4C6352EE" w14:textId="77777777" w:rsidR="00F440F5" w:rsidRPr="00F440F5" w:rsidRDefault="00F440F5" w:rsidP="00F440F5">
            <w:pPr>
              <w:jc w:val="center"/>
              <w:rPr>
                <w:rFonts w:eastAsia="Times New Roman" w:cstheme="minorHAnsi"/>
                <w:b/>
                <w:bCs/>
                <w:color w:val="000000"/>
                <w:sz w:val="20"/>
                <w:szCs w:val="20"/>
                <w:lang w:eastAsia="nl-BE"/>
              </w:rPr>
            </w:pPr>
            <w:r w:rsidRPr="00F440F5">
              <w:rPr>
                <w:rFonts w:eastAsia="Times New Roman" w:cstheme="minorHAnsi"/>
                <w:b/>
                <w:bCs/>
                <w:color w:val="000000"/>
                <w:sz w:val="20"/>
                <w:szCs w:val="20"/>
                <w:lang w:eastAsia="nl-BE"/>
              </w:rPr>
              <w:t>5.904.829</w:t>
            </w:r>
          </w:p>
        </w:tc>
        <w:tc>
          <w:tcPr>
            <w:tcW w:w="626" w:type="pct"/>
            <w:tcBorders>
              <w:top w:val="nil"/>
              <w:left w:val="nil"/>
              <w:bottom w:val="single" w:sz="4" w:space="0" w:color="auto"/>
              <w:right w:val="single" w:sz="4" w:space="0" w:color="auto"/>
            </w:tcBorders>
            <w:shd w:val="clear" w:color="auto" w:fill="auto"/>
            <w:vAlign w:val="center"/>
            <w:hideMark/>
          </w:tcPr>
          <w:p w14:paraId="1971533F" w14:textId="77777777" w:rsidR="00F440F5" w:rsidRPr="00F440F5" w:rsidRDefault="00F440F5" w:rsidP="00F440F5">
            <w:pPr>
              <w:jc w:val="center"/>
              <w:rPr>
                <w:rFonts w:eastAsia="Times New Roman" w:cstheme="minorHAnsi"/>
                <w:b/>
                <w:bCs/>
                <w:color w:val="000000"/>
                <w:sz w:val="20"/>
                <w:szCs w:val="20"/>
                <w:lang w:eastAsia="nl-BE"/>
              </w:rPr>
            </w:pPr>
            <w:r w:rsidRPr="00F440F5">
              <w:rPr>
                <w:rFonts w:eastAsia="Times New Roman" w:cstheme="minorHAnsi"/>
                <w:b/>
                <w:bCs/>
                <w:color w:val="000000"/>
                <w:sz w:val="20"/>
                <w:szCs w:val="20"/>
                <w:lang w:eastAsia="nl-BE"/>
              </w:rPr>
              <w:t>5.904.829</w:t>
            </w:r>
          </w:p>
        </w:tc>
        <w:tc>
          <w:tcPr>
            <w:tcW w:w="626" w:type="pct"/>
            <w:tcBorders>
              <w:top w:val="nil"/>
              <w:left w:val="nil"/>
              <w:bottom w:val="single" w:sz="4" w:space="0" w:color="auto"/>
              <w:right w:val="single" w:sz="4" w:space="0" w:color="auto"/>
            </w:tcBorders>
            <w:shd w:val="clear" w:color="auto" w:fill="auto"/>
            <w:vAlign w:val="center"/>
            <w:hideMark/>
          </w:tcPr>
          <w:p w14:paraId="2B93691C" w14:textId="77777777" w:rsidR="00F440F5" w:rsidRPr="00F440F5" w:rsidRDefault="00F440F5" w:rsidP="00F440F5">
            <w:pPr>
              <w:jc w:val="center"/>
              <w:rPr>
                <w:rFonts w:eastAsia="Times New Roman" w:cstheme="minorHAnsi"/>
                <w:b/>
                <w:bCs/>
                <w:color w:val="000000"/>
                <w:sz w:val="20"/>
                <w:szCs w:val="20"/>
                <w:lang w:eastAsia="nl-BE"/>
              </w:rPr>
            </w:pPr>
            <w:r w:rsidRPr="00F440F5">
              <w:rPr>
                <w:rFonts w:eastAsia="Times New Roman" w:cstheme="minorHAnsi"/>
                <w:b/>
                <w:bCs/>
                <w:color w:val="000000"/>
                <w:sz w:val="20"/>
                <w:szCs w:val="20"/>
                <w:lang w:eastAsia="nl-BE"/>
              </w:rPr>
              <w:t>5.904.829</w:t>
            </w:r>
          </w:p>
        </w:tc>
      </w:tr>
      <w:tr w:rsidR="0054699F" w:rsidRPr="0054699F" w14:paraId="0B2CD87D" w14:textId="77777777" w:rsidTr="0054699F">
        <w:trPr>
          <w:trHeight w:val="300"/>
        </w:trPr>
        <w:tc>
          <w:tcPr>
            <w:tcW w:w="684" w:type="pct"/>
            <w:tcBorders>
              <w:top w:val="nil"/>
              <w:left w:val="single" w:sz="4" w:space="0" w:color="auto"/>
              <w:bottom w:val="single" w:sz="4" w:space="0" w:color="auto"/>
              <w:right w:val="single" w:sz="4" w:space="0" w:color="auto"/>
            </w:tcBorders>
            <w:shd w:val="clear" w:color="000000" w:fill="FFFF00"/>
            <w:noWrap/>
            <w:vAlign w:val="center"/>
            <w:hideMark/>
          </w:tcPr>
          <w:p w14:paraId="59B3987C" w14:textId="77777777" w:rsidR="00F440F5" w:rsidRPr="00F440F5" w:rsidRDefault="00F440F5" w:rsidP="00F440F5">
            <w:pPr>
              <w:rPr>
                <w:rFonts w:eastAsia="Times New Roman" w:cstheme="minorHAnsi"/>
                <w:b/>
                <w:bCs/>
                <w:color w:val="000000"/>
                <w:sz w:val="20"/>
                <w:szCs w:val="20"/>
                <w:lang w:eastAsia="nl-BE"/>
              </w:rPr>
            </w:pPr>
            <w:r w:rsidRPr="00F440F5">
              <w:rPr>
                <w:rFonts w:eastAsia="Times New Roman" w:cstheme="minorHAnsi"/>
                <w:b/>
                <w:bCs/>
                <w:color w:val="000000"/>
                <w:sz w:val="20"/>
                <w:szCs w:val="20"/>
                <w:lang w:eastAsia="nl-BE"/>
              </w:rPr>
              <w:t>TOTAAL netto-opcentiemen</w:t>
            </w:r>
          </w:p>
        </w:tc>
        <w:tc>
          <w:tcPr>
            <w:tcW w:w="281" w:type="pct"/>
            <w:tcBorders>
              <w:top w:val="nil"/>
              <w:left w:val="nil"/>
              <w:bottom w:val="single" w:sz="4" w:space="0" w:color="auto"/>
              <w:right w:val="single" w:sz="4" w:space="0" w:color="auto"/>
            </w:tcBorders>
            <w:shd w:val="clear" w:color="000000" w:fill="FFFF00"/>
            <w:noWrap/>
            <w:vAlign w:val="center"/>
            <w:hideMark/>
          </w:tcPr>
          <w:p w14:paraId="59EDBCEA" w14:textId="77777777" w:rsidR="00F440F5" w:rsidRPr="00F440F5" w:rsidRDefault="00F440F5" w:rsidP="00F440F5">
            <w:pPr>
              <w:jc w:val="center"/>
              <w:rPr>
                <w:rFonts w:eastAsia="Times New Roman" w:cstheme="minorHAnsi"/>
                <w:b/>
                <w:bCs/>
                <w:color w:val="000000"/>
                <w:sz w:val="20"/>
                <w:szCs w:val="20"/>
                <w:lang w:eastAsia="nl-BE"/>
              </w:rPr>
            </w:pPr>
            <w:r w:rsidRPr="00F440F5">
              <w:rPr>
                <w:rFonts w:eastAsia="Times New Roman" w:cstheme="minorHAnsi"/>
                <w:b/>
                <w:bCs/>
                <w:color w:val="000000"/>
                <w:sz w:val="20"/>
                <w:szCs w:val="20"/>
                <w:lang w:eastAsia="nl-BE"/>
              </w:rPr>
              <w:t>6.093.992</w:t>
            </w:r>
          </w:p>
        </w:tc>
        <w:tc>
          <w:tcPr>
            <w:tcW w:w="281" w:type="pct"/>
            <w:tcBorders>
              <w:top w:val="nil"/>
              <w:left w:val="nil"/>
              <w:bottom w:val="single" w:sz="4" w:space="0" w:color="auto"/>
              <w:right w:val="single" w:sz="4" w:space="0" w:color="auto"/>
            </w:tcBorders>
            <w:shd w:val="clear" w:color="000000" w:fill="FFFF00"/>
            <w:noWrap/>
            <w:vAlign w:val="center"/>
            <w:hideMark/>
          </w:tcPr>
          <w:p w14:paraId="10753E1E" w14:textId="77777777" w:rsidR="00F440F5" w:rsidRPr="00F440F5" w:rsidRDefault="00F440F5" w:rsidP="00F440F5">
            <w:pPr>
              <w:jc w:val="center"/>
              <w:rPr>
                <w:rFonts w:eastAsia="Times New Roman" w:cstheme="minorHAnsi"/>
                <w:b/>
                <w:bCs/>
                <w:color w:val="000000"/>
                <w:sz w:val="20"/>
                <w:szCs w:val="20"/>
                <w:lang w:eastAsia="nl-BE"/>
              </w:rPr>
            </w:pPr>
            <w:r w:rsidRPr="00F440F5">
              <w:rPr>
                <w:rFonts w:eastAsia="Times New Roman" w:cstheme="minorHAnsi"/>
                <w:b/>
                <w:bCs/>
                <w:color w:val="000000"/>
                <w:sz w:val="20"/>
                <w:szCs w:val="20"/>
                <w:lang w:eastAsia="nl-BE"/>
              </w:rPr>
              <w:t>6.168.336</w:t>
            </w:r>
          </w:p>
        </w:tc>
        <w:tc>
          <w:tcPr>
            <w:tcW w:w="626" w:type="pct"/>
            <w:tcBorders>
              <w:top w:val="nil"/>
              <w:left w:val="nil"/>
              <w:bottom w:val="single" w:sz="4" w:space="0" w:color="auto"/>
              <w:right w:val="single" w:sz="4" w:space="0" w:color="auto"/>
            </w:tcBorders>
            <w:shd w:val="clear" w:color="000000" w:fill="FFFF00"/>
            <w:noWrap/>
            <w:vAlign w:val="center"/>
            <w:hideMark/>
          </w:tcPr>
          <w:p w14:paraId="7CDCC7F5" w14:textId="77777777" w:rsidR="00F440F5" w:rsidRPr="00F440F5" w:rsidRDefault="00F440F5" w:rsidP="00F440F5">
            <w:pPr>
              <w:jc w:val="center"/>
              <w:rPr>
                <w:rFonts w:eastAsia="Times New Roman" w:cstheme="minorHAnsi"/>
                <w:b/>
                <w:bCs/>
                <w:color w:val="000000"/>
                <w:sz w:val="20"/>
                <w:szCs w:val="20"/>
                <w:lang w:eastAsia="nl-BE"/>
              </w:rPr>
            </w:pPr>
            <w:r w:rsidRPr="00F440F5">
              <w:rPr>
                <w:rFonts w:eastAsia="Times New Roman" w:cstheme="minorHAnsi"/>
                <w:b/>
                <w:bCs/>
                <w:color w:val="000000"/>
                <w:sz w:val="20"/>
                <w:szCs w:val="20"/>
                <w:lang w:eastAsia="nl-BE"/>
              </w:rPr>
              <w:t>6.137.904</w:t>
            </w:r>
          </w:p>
        </w:tc>
        <w:tc>
          <w:tcPr>
            <w:tcW w:w="626" w:type="pct"/>
            <w:tcBorders>
              <w:top w:val="nil"/>
              <w:left w:val="nil"/>
              <w:bottom w:val="single" w:sz="4" w:space="0" w:color="auto"/>
              <w:right w:val="single" w:sz="4" w:space="0" w:color="auto"/>
            </w:tcBorders>
            <w:shd w:val="clear" w:color="000000" w:fill="FFFF00"/>
            <w:noWrap/>
            <w:vAlign w:val="center"/>
            <w:hideMark/>
          </w:tcPr>
          <w:p w14:paraId="3CEFF1A6" w14:textId="77777777" w:rsidR="00F440F5" w:rsidRPr="00F440F5" w:rsidRDefault="00F440F5" w:rsidP="00F440F5">
            <w:pPr>
              <w:jc w:val="center"/>
              <w:rPr>
                <w:rFonts w:eastAsia="Times New Roman" w:cstheme="minorHAnsi"/>
                <w:b/>
                <w:bCs/>
                <w:color w:val="000000"/>
                <w:sz w:val="20"/>
                <w:szCs w:val="20"/>
                <w:lang w:eastAsia="nl-BE"/>
              </w:rPr>
            </w:pPr>
            <w:r w:rsidRPr="00F440F5">
              <w:rPr>
                <w:rFonts w:eastAsia="Times New Roman" w:cstheme="minorHAnsi"/>
                <w:b/>
                <w:bCs/>
                <w:color w:val="000000"/>
                <w:sz w:val="20"/>
                <w:szCs w:val="20"/>
                <w:lang w:eastAsia="nl-BE"/>
              </w:rPr>
              <w:t>6.168.336</w:t>
            </w:r>
          </w:p>
        </w:tc>
        <w:tc>
          <w:tcPr>
            <w:tcW w:w="626" w:type="pct"/>
            <w:tcBorders>
              <w:top w:val="nil"/>
              <w:left w:val="nil"/>
              <w:bottom w:val="single" w:sz="4" w:space="0" w:color="auto"/>
              <w:right w:val="single" w:sz="4" w:space="0" w:color="auto"/>
            </w:tcBorders>
            <w:shd w:val="clear" w:color="000000" w:fill="FFFF00"/>
            <w:noWrap/>
            <w:vAlign w:val="center"/>
            <w:hideMark/>
          </w:tcPr>
          <w:p w14:paraId="5C1639A8" w14:textId="77777777" w:rsidR="00F440F5" w:rsidRPr="00F440F5" w:rsidRDefault="00F440F5" w:rsidP="00F440F5">
            <w:pPr>
              <w:jc w:val="center"/>
              <w:rPr>
                <w:rFonts w:eastAsia="Times New Roman" w:cstheme="minorHAnsi"/>
                <w:b/>
                <w:bCs/>
                <w:color w:val="000000"/>
                <w:sz w:val="20"/>
                <w:szCs w:val="20"/>
                <w:lang w:eastAsia="nl-BE"/>
              </w:rPr>
            </w:pPr>
            <w:r w:rsidRPr="00F440F5">
              <w:rPr>
                <w:rFonts w:eastAsia="Times New Roman" w:cstheme="minorHAnsi"/>
                <w:b/>
                <w:bCs/>
                <w:color w:val="000000"/>
                <w:sz w:val="20"/>
                <w:szCs w:val="20"/>
                <w:lang w:eastAsia="nl-BE"/>
              </w:rPr>
              <w:t>6.169.788</w:t>
            </w:r>
          </w:p>
        </w:tc>
        <w:tc>
          <w:tcPr>
            <w:tcW w:w="626" w:type="pct"/>
            <w:tcBorders>
              <w:top w:val="nil"/>
              <w:left w:val="nil"/>
              <w:bottom w:val="single" w:sz="4" w:space="0" w:color="auto"/>
              <w:right w:val="single" w:sz="4" w:space="0" w:color="auto"/>
            </w:tcBorders>
            <w:shd w:val="clear" w:color="000000" w:fill="FFFF00"/>
            <w:noWrap/>
            <w:vAlign w:val="center"/>
            <w:hideMark/>
          </w:tcPr>
          <w:p w14:paraId="5BAEBF64" w14:textId="77777777" w:rsidR="00F440F5" w:rsidRPr="00F440F5" w:rsidRDefault="00F440F5" w:rsidP="00F440F5">
            <w:pPr>
              <w:jc w:val="center"/>
              <w:rPr>
                <w:rFonts w:eastAsia="Times New Roman" w:cstheme="minorHAnsi"/>
                <w:b/>
                <w:bCs/>
                <w:color w:val="000000"/>
                <w:sz w:val="20"/>
                <w:szCs w:val="20"/>
                <w:lang w:eastAsia="nl-BE"/>
              </w:rPr>
            </w:pPr>
            <w:r w:rsidRPr="00F440F5">
              <w:rPr>
                <w:rFonts w:eastAsia="Times New Roman" w:cstheme="minorHAnsi"/>
                <w:b/>
                <w:bCs/>
                <w:color w:val="000000"/>
                <w:sz w:val="20"/>
                <w:szCs w:val="20"/>
                <w:lang w:eastAsia="nl-BE"/>
              </w:rPr>
              <w:t>6.171.111</w:t>
            </w:r>
          </w:p>
        </w:tc>
        <w:tc>
          <w:tcPr>
            <w:tcW w:w="626" w:type="pct"/>
            <w:tcBorders>
              <w:top w:val="nil"/>
              <w:left w:val="nil"/>
              <w:bottom w:val="single" w:sz="4" w:space="0" w:color="auto"/>
              <w:right w:val="single" w:sz="4" w:space="0" w:color="auto"/>
            </w:tcBorders>
            <w:shd w:val="clear" w:color="000000" w:fill="FFFF00"/>
            <w:noWrap/>
            <w:vAlign w:val="center"/>
            <w:hideMark/>
          </w:tcPr>
          <w:p w14:paraId="59F1459B" w14:textId="77777777" w:rsidR="00F440F5" w:rsidRPr="00F440F5" w:rsidRDefault="00F440F5" w:rsidP="00F440F5">
            <w:pPr>
              <w:jc w:val="center"/>
              <w:rPr>
                <w:rFonts w:eastAsia="Times New Roman" w:cstheme="minorHAnsi"/>
                <w:b/>
                <w:bCs/>
                <w:color w:val="000000"/>
                <w:sz w:val="20"/>
                <w:szCs w:val="20"/>
                <w:lang w:eastAsia="nl-BE"/>
              </w:rPr>
            </w:pPr>
            <w:r w:rsidRPr="00F440F5">
              <w:rPr>
                <w:rFonts w:eastAsia="Times New Roman" w:cstheme="minorHAnsi"/>
                <w:b/>
                <w:bCs/>
                <w:color w:val="000000"/>
                <w:sz w:val="20"/>
                <w:szCs w:val="20"/>
                <w:lang w:eastAsia="nl-BE"/>
              </w:rPr>
              <w:t>6.164.898</w:t>
            </w:r>
          </w:p>
        </w:tc>
        <w:tc>
          <w:tcPr>
            <w:tcW w:w="626" w:type="pct"/>
            <w:tcBorders>
              <w:top w:val="nil"/>
              <w:left w:val="nil"/>
              <w:bottom w:val="single" w:sz="4" w:space="0" w:color="auto"/>
              <w:right w:val="single" w:sz="4" w:space="0" w:color="auto"/>
            </w:tcBorders>
            <w:shd w:val="clear" w:color="000000" w:fill="FFFF00"/>
            <w:noWrap/>
            <w:vAlign w:val="center"/>
            <w:hideMark/>
          </w:tcPr>
          <w:p w14:paraId="180822D4" w14:textId="77777777" w:rsidR="00F440F5" w:rsidRPr="00F440F5" w:rsidRDefault="00F440F5" w:rsidP="00F440F5">
            <w:pPr>
              <w:jc w:val="center"/>
              <w:rPr>
                <w:rFonts w:eastAsia="Times New Roman" w:cstheme="minorHAnsi"/>
                <w:b/>
                <w:bCs/>
                <w:color w:val="000000"/>
                <w:sz w:val="20"/>
                <w:szCs w:val="20"/>
                <w:lang w:eastAsia="nl-BE"/>
              </w:rPr>
            </w:pPr>
            <w:r w:rsidRPr="00F440F5">
              <w:rPr>
                <w:rFonts w:eastAsia="Times New Roman" w:cstheme="minorHAnsi"/>
                <w:b/>
                <w:bCs/>
                <w:color w:val="000000"/>
                <w:sz w:val="20"/>
                <w:szCs w:val="20"/>
                <w:lang w:eastAsia="nl-BE"/>
              </w:rPr>
              <w:t>6.169.922</w:t>
            </w:r>
          </w:p>
        </w:tc>
      </w:tr>
      <w:tr w:rsidR="00F440F5" w:rsidRPr="00F440F5" w14:paraId="435371BA" w14:textId="77777777" w:rsidTr="0054699F">
        <w:trPr>
          <w:trHeight w:val="300"/>
        </w:trPr>
        <w:tc>
          <w:tcPr>
            <w:tcW w:w="684" w:type="pct"/>
            <w:tcBorders>
              <w:top w:val="nil"/>
              <w:left w:val="single" w:sz="4" w:space="0" w:color="auto"/>
              <w:bottom w:val="single" w:sz="4" w:space="0" w:color="auto"/>
              <w:right w:val="single" w:sz="4" w:space="0" w:color="auto"/>
            </w:tcBorders>
            <w:shd w:val="clear" w:color="auto" w:fill="auto"/>
            <w:noWrap/>
            <w:vAlign w:val="center"/>
            <w:hideMark/>
          </w:tcPr>
          <w:p w14:paraId="5279F319" w14:textId="77777777" w:rsidR="00F440F5" w:rsidRPr="00F440F5" w:rsidRDefault="00F440F5" w:rsidP="00F440F5">
            <w:pPr>
              <w:jc w:val="right"/>
              <w:rPr>
                <w:rFonts w:eastAsia="Times New Roman" w:cstheme="minorHAnsi"/>
                <w:i/>
                <w:iCs/>
                <w:sz w:val="20"/>
                <w:szCs w:val="20"/>
                <w:lang w:eastAsia="nl-BE"/>
              </w:rPr>
            </w:pPr>
            <w:r w:rsidRPr="00F440F5">
              <w:rPr>
                <w:rFonts w:eastAsia="Times New Roman" w:cstheme="minorHAnsi"/>
                <w:i/>
                <w:iCs/>
                <w:sz w:val="20"/>
                <w:szCs w:val="20"/>
                <w:lang w:eastAsia="nl-BE"/>
              </w:rPr>
              <w:t>Opeenvolgende verschillen</w:t>
            </w:r>
          </w:p>
        </w:tc>
        <w:tc>
          <w:tcPr>
            <w:tcW w:w="281" w:type="pct"/>
            <w:tcBorders>
              <w:top w:val="nil"/>
              <w:left w:val="nil"/>
              <w:bottom w:val="single" w:sz="4" w:space="0" w:color="auto"/>
              <w:right w:val="single" w:sz="4" w:space="0" w:color="auto"/>
            </w:tcBorders>
            <w:shd w:val="clear" w:color="auto" w:fill="auto"/>
            <w:noWrap/>
            <w:vAlign w:val="center"/>
            <w:hideMark/>
          </w:tcPr>
          <w:p w14:paraId="2B6FEF0F" w14:textId="77777777" w:rsidR="00F440F5" w:rsidRPr="00F440F5" w:rsidRDefault="00F440F5" w:rsidP="00F440F5">
            <w:pPr>
              <w:jc w:val="center"/>
              <w:rPr>
                <w:rFonts w:eastAsia="Times New Roman" w:cstheme="minorHAnsi"/>
                <w:i/>
                <w:iCs/>
                <w:sz w:val="20"/>
                <w:szCs w:val="20"/>
                <w:lang w:eastAsia="nl-BE"/>
              </w:rPr>
            </w:pPr>
            <w:r w:rsidRPr="00F440F5">
              <w:rPr>
                <w:rFonts w:eastAsia="Times New Roman" w:cstheme="minorHAnsi"/>
                <w:i/>
                <w:iCs/>
                <w:sz w:val="20"/>
                <w:szCs w:val="20"/>
                <w:lang w:eastAsia="nl-BE"/>
              </w:rPr>
              <w:t> </w:t>
            </w:r>
          </w:p>
        </w:tc>
        <w:tc>
          <w:tcPr>
            <w:tcW w:w="281" w:type="pct"/>
            <w:tcBorders>
              <w:top w:val="nil"/>
              <w:left w:val="nil"/>
              <w:bottom w:val="single" w:sz="4" w:space="0" w:color="auto"/>
              <w:right w:val="single" w:sz="4" w:space="0" w:color="auto"/>
            </w:tcBorders>
            <w:shd w:val="clear" w:color="auto" w:fill="auto"/>
            <w:noWrap/>
            <w:vAlign w:val="center"/>
            <w:hideMark/>
          </w:tcPr>
          <w:p w14:paraId="0032D849" w14:textId="77777777" w:rsidR="00F440F5" w:rsidRPr="00F440F5" w:rsidRDefault="00F440F5" w:rsidP="00F440F5">
            <w:pPr>
              <w:jc w:val="center"/>
              <w:rPr>
                <w:rFonts w:eastAsia="Times New Roman" w:cstheme="minorHAnsi"/>
                <w:i/>
                <w:iCs/>
                <w:sz w:val="20"/>
                <w:szCs w:val="20"/>
                <w:lang w:eastAsia="nl-BE"/>
              </w:rPr>
            </w:pPr>
            <w:r w:rsidRPr="00F440F5">
              <w:rPr>
                <w:rFonts w:eastAsia="Times New Roman" w:cstheme="minorHAnsi"/>
                <w:i/>
                <w:iCs/>
                <w:sz w:val="20"/>
                <w:szCs w:val="20"/>
                <w:lang w:eastAsia="nl-BE"/>
              </w:rPr>
              <w:t> </w:t>
            </w:r>
          </w:p>
        </w:tc>
        <w:tc>
          <w:tcPr>
            <w:tcW w:w="626" w:type="pct"/>
            <w:tcBorders>
              <w:top w:val="nil"/>
              <w:left w:val="nil"/>
              <w:bottom w:val="single" w:sz="4" w:space="0" w:color="auto"/>
              <w:right w:val="single" w:sz="4" w:space="0" w:color="auto"/>
            </w:tcBorders>
            <w:shd w:val="clear" w:color="auto" w:fill="auto"/>
            <w:noWrap/>
            <w:vAlign w:val="center"/>
            <w:hideMark/>
          </w:tcPr>
          <w:p w14:paraId="39A02716" w14:textId="77777777" w:rsidR="00F440F5" w:rsidRPr="00F440F5" w:rsidRDefault="00F440F5" w:rsidP="00F440F5">
            <w:pPr>
              <w:jc w:val="center"/>
              <w:rPr>
                <w:rFonts w:eastAsia="Times New Roman" w:cstheme="minorHAnsi"/>
                <w:i/>
                <w:iCs/>
                <w:sz w:val="20"/>
                <w:szCs w:val="20"/>
                <w:lang w:eastAsia="nl-BE"/>
              </w:rPr>
            </w:pPr>
            <w:r w:rsidRPr="00F440F5">
              <w:rPr>
                <w:rFonts w:eastAsia="Times New Roman" w:cstheme="minorHAnsi"/>
                <w:i/>
                <w:iCs/>
                <w:sz w:val="20"/>
                <w:szCs w:val="20"/>
                <w:lang w:eastAsia="nl-BE"/>
              </w:rPr>
              <w:t> </w:t>
            </w:r>
          </w:p>
        </w:tc>
        <w:tc>
          <w:tcPr>
            <w:tcW w:w="626" w:type="pct"/>
            <w:tcBorders>
              <w:top w:val="nil"/>
              <w:left w:val="nil"/>
              <w:bottom w:val="single" w:sz="4" w:space="0" w:color="auto"/>
              <w:right w:val="single" w:sz="4" w:space="0" w:color="auto"/>
            </w:tcBorders>
            <w:shd w:val="clear" w:color="auto" w:fill="auto"/>
            <w:noWrap/>
            <w:vAlign w:val="center"/>
            <w:hideMark/>
          </w:tcPr>
          <w:p w14:paraId="5008442B" w14:textId="77777777" w:rsidR="00F440F5" w:rsidRPr="00F440F5" w:rsidRDefault="00F440F5" w:rsidP="00F440F5">
            <w:pPr>
              <w:jc w:val="center"/>
              <w:rPr>
                <w:rFonts w:eastAsia="Times New Roman" w:cstheme="minorHAnsi"/>
                <w:i/>
                <w:iCs/>
                <w:sz w:val="20"/>
                <w:szCs w:val="20"/>
                <w:lang w:eastAsia="nl-BE"/>
              </w:rPr>
            </w:pPr>
            <w:r w:rsidRPr="00F440F5">
              <w:rPr>
                <w:rFonts w:eastAsia="Times New Roman" w:cstheme="minorHAnsi"/>
                <w:i/>
                <w:iCs/>
                <w:sz w:val="20"/>
                <w:szCs w:val="20"/>
                <w:lang w:eastAsia="nl-BE"/>
              </w:rPr>
              <w:t>30.432</w:t>
            </w:r>
          </w:p>
        </w:tc>
        <w:tc>
          <w:tcPr>
            <w:tcW w:w="626" w:type="pct"/>
            <w:tcBorders>
              <w:top w:val="nil"/>
              <w:left w:val="nil"/>
              <w:bottom w:val="single" w:sz="4" w:space="0" w:color="auto"/>
              <w:right w:val="single" w:sz="4" w:space="0" w:color="auto"/>
            </w:tcBorders>
            <w:shd w:val="clear" w:color="auto" w:fill="auto"/>
            <w:noWrap/>
            <w:vAlign w:val="center"/>
            <w:hideMark/>
          </w:tcPr>
          <w:p w14:paraId="682C114A" w14:textId="77777777" w:rsidR="00F440F5" w:rsidRPr="00F440F5" w:rsidRDefault="00F440F5" w:rsidP="00F440F5">
            <w:pPr>
              <w:jc w:val="center"/>
              <w:rPr>
                <w:rFonts w:eastAsia="Times New Roman" w:cstheme="minorHAnsi"/>
                <w:i/>
                <w:iCs/>
                <w:sz w:val="20"/>
                <w:szCs w:val="20"/>
                <w:lang w:eastAsia="nl-BE"/>
              </w:rPr>
            </w:pPr>
            <w:r w:rsidRPr="00F440F5">
              <w:rPr>
                <w:rFonts w:eastAsia="Times New Roman" w:cstheme="minorHAnsi"/>
                <w:i/>
                <w:iCs/>
                <w:sz w:val="20"/>
                <w:szCs w:val="20"/>
                <w:lang w:eastAsia="nl-BE"/>
              </w:rPr>
              <w:t>1.452</w:t>
            </w:r>
          </w:p>
        </w:tc>
        <w:tc>
          <w:tcPr>
            <w:tcW w:w="626" w:type="pct"/>
            <w:tcBorders>
              <w:top w:val="nil"/>
              <w:left w:val="nil"/>
              <w:bottom w:val="single" w:sz="4" w:space="0" w:color="auto"/>
              <w:right w:val="single" w:sz="4" w:space="0" w:color="auto"/>
            </w:tcBorders>
            <w:shd w:val="clear" w:color="auto" w:fill="auto"/>
            <w:noWrap/>
            <w:vAlign w:val="center"/>
            <w:hideMark/>
          </w:tcPr>
          <w:p w14:paraId="7DA044C2" w14:textId="77777777" w:rsidR="00F440F5" w:rsidRPr="00F440F5" w:rsidRDefault="00F440F5" w:rsidP="00F440F5">
            <w:pPr>
              <w:jc w:val="center"/>
              <w:rPr>
                <w:rFonts w:eastAsia="Times New Roman" w:cstheme="minorHAnsi"/>
                <w:i/>
                <w:iCs/>
                <w:sz w:val="20"/>
                <w:szCs w:val="20"/>
                <w:lang w:eastAsia="nl-BE"/>
              </w:rPr>
            </w:pPr>
            <w:r w:rsidRPr="00F440F5">
              <w:rPr>
                <w:rFonts w:eastAsia="Times New Roman" w:cstheme="minorHAnsi"/>
                <w:i/>
                <w:iCs/>
                <w:sz w:val="20"/>
                <w:szCs w:val="20"/>
                <w:lang w:eastAsia="nl-BE"/>
              </w:rPr>
              <w:t>1.323</w:t>
            </w:r>
          </w:p>
        </w:tc>
        <w:tc>
          <w:tcPr>
            <w:tcW w:w="626" w:type="pct"/>
            <w:tcBorders>
              <w:top w:val="nil"/>
              <w:left w:val="nil"/>
              <w:bottom w:val="single" w:sz="4" w:space="0" w:color="auto"/>
              <w:right w:val="single" w:sz="4" w:space="0" w:color="auto"/>
            </w:tcBorders>
            <w:shd w:val="clear" w:color="auto" w:fill="auto"/>
            <w:noWrap/>
            <w:vAlign w:val="center"/>
            <w:hideMark/>
          </w:tcPr>
          <w:p w14:paraId="087AB081" w14:textId="77777777" w:rsidR="00F440F5" w:rsidRPr="00F440F5" w:rsidRDefault="00F440F5" w:rsidP="00F440F5">
            <w:pPr>
              <w:jc w:val="center"/>
              <w:rPr>
                <w:rFonts w:eastAsia="Times New Roman" w:cstheme="minorHAnsi"/>
                <w:i/>
                <w:iCs/>
                <w:sz w:val="20"/>
                <w:szCs w:val="20"/>
                <w:lang w:eastAsia="nl-BE"/>
              </w:rPr>
            </w:pPr>
            <w:r w:rsidRPr="00F440F5">
              <w:rPr>
                <w:rFonts w:eastAsia="Times New Roman" w:cstheme="minorHAnsi"/>
                <w:i/>
                <w:iCs/>
                <w:sz w:val="20"/>
                <w:szCs w:val="20"/>
                <w:lang w:eastAsia="nl-BE"/>
              </w:rPr>
              <w:t>-6.213</w:t>
            </w:r>
          </w:p>
        </w:tc>
        <w:tc>
          <w:tcPr>
            <w:tcW w:w="626" w:type="pct"/>
            <w:tcBorders>
              <w:top w:val="nil"/>
              <w:left w:val="nil"/>
              <w:bottom w:val="single" w:sz="4" w:space="0" w:color="auto"/>
              <w:right w:val="single" w:sz="4" w:space="0" w:color="auto"/>
            </w:tcBorders>
            <w:shd w:val="clear" w:color="auto" w:fill="auto"/>
            <w:noWrap/>
            <w:vAlign w:val="center"/>
            <w:hideMark/>
          </w:tcPr>
          <w:p w14:paraId="65D1F93C" w14:textId="77777777" w:rsidR="00F440F5" w:rsidRPr="00F440F5" w:rsidRDefault="00F440F5" w:rsidP="00F440F5">
            <w:pPr>
              <w:jc w:val="center"/>
              <w:rPr>
                <w:rFonts w:eastAsia="Times New Roman" w:cstheme="minorHAnsi"/>
                <w:i/>
                <w:iCs/>
                <w:sz w:val="20"/>
                <w:szCs w:val="20"/>
                <w:lang w:eastAsia="nl-BE"/>
              </w:rPr>
            </w:pPr>
            <w:r w:rsidRPr="00F440F5">
              <w:rPr>
                <w:rFonts w:eastAsia="Times New Roman" w:cstheme="minorHAnsi"/>
                <w:i/>
                <w:iCs/>
                <w:sz w:val="20"/>
                <w:szCs w:val="20"/>
                <w:lang w:eastAsia="nl-BE"/>
              </w:rPr>
              <w:t>5.024</w:t>
            </w:r>
          </w:p>
        </w:tc>
      </w:tr>
      <w:tr w:rsidR="00F440F5" w:rsidRPr="00F440F5" w14:paraId="5D9D8CBB" w14:textId="77777777" w:rsidTr="0054699F">
        <w:trPr>
          <w:trHeight w:val="300"/>
        </w:trPr>
        <w:tc>
          <w:tcPr>
            <w:tcW w:w="684" w:type="pct"/>
            <w:tcBorders>
              <w:top w:val="nil"/>
              <w:left w:val="single" w:sz="4" w:space="0" w:color="auto"/>
              <w:bottom w:val="single" w:sz="4" w:space="0" w:color="auto"/>
              <w:right w:val="single" w:sz="4" w:space="0" w:color="auto"/>
            </w:tcBorders>
            <w:shd w:val="clear" w:color="auto" w:fill="auto"/>
            <w:noWrap/>
            <w:vAlign w:val="center"/>
            <w:hideMark/>
          </w:tcPr>
          <w:p w14:paraId="733EBADE" w14:textId="77777777" w:rsidR="00F440F5" w:rsidRPr="00F440F5" w:rsidRDefault="00F440F5" w:rsidP="00F440F5">
            <w:pPr>
              <w:jc w:val="right"/>
              <w:rPr>
                <w:rFonts w:eastAsia="Times New Roman" w:cstheme="minorHAnsi"/>
                <w:i/>
                <w:iCs/>
                <w:sz w:val="20"/>
                <w:szCs w:val="20"/>
                <w:lang w:eastAsia="nl-BE"/>
              </w:rPr>
            </w:pPr>
            <w:r w:rsidRPr="00F440F5">
              <w:rPr>
                <w:rFonts w:eastAsia="Times New Roman" w:cstheme="minorHAnsi"/>
                <w:i/>
                <w:iCs/>
                <w:sz w:val="20"/>
                <w:szCs w:val="20"/>
                <w:lang w:eastAsia="nl-BE"/>
              </w:rPr>
              <w:t>Verschil tov BO / BA 2019</w:t>
            </w:r>
          </w:p>
        </w:tc>
        <w:tc>
          <w:tcPr>
            <w:tcW w:w="281" w:type="pct"/>
            <w:tcBorders>
              <w:top w:val="nil"/>
              <w:left w:val="nil"/>
              <w:bottom w:val="single" w:sz="4" w:space="0" w:color="auto"/>
              <w:right w:val="single" w:sz="4" w:space="0" w:color="auto"/>
            </w:tcBorders>
            <w:shd w:val="clear" w:color="auto" w:fill="auto"/>
            <w:noWrap/>
            <w:vAlign w:val="center"/>
            <w:hideMark/>
          </w:tcPr>
          <w:p w14:paraId="4893CFBB" w14:textId="77777777" w:rsidR="00F440F5" w:rsidRPr="00F440F5" w:rsidRDefault="00F440F5" w:rsidP="00F440F5">
            <w:pPr>
              <w:jc w:val="center"/>
              <w:rPr>
                <w:rFonts w:eastAsia="Times New Roman" w:cstheme="minorHAnsi"/>
                <w:sz w:val="20"/>
                <w:szCs w:val="20"/>
                <w:lang w:eastAsia="nl-BE"/>
              </w:rPr>
            </w:pPr>
            <w:r w:rsidRPr="00F440F5">
              <w:rPr>
                <w:rFonts w:eastAsia="Times New Roman" w:cstheme="minorHAnsi"/>
                <w:sz w:val="20"/>
                <w:szCs w:val="20"/>
                <w:lang w:eastAsia="nl-BE"/>
              </w:rPr>
              <w:t> </w:t>
            </w:r>
          </w:p>
        </w:tc>
        <w:tc>
          <w:tcPr>
            <w:tcW w:w="281" w:type="pct"/>
            <w:tcBorders>
              <w:top w:val="nil"/>
              <w:left w:val="nil"/>
              <w:bottom w:val="single" w:sz="4" w:space="0" w:color="auto"/>
              <w:right w:val="single" w:sz="4" w:space="0" w:color="auto"/>
            </w:tcBorders>
            <w:shd w:val="clear" w:color="auto" w:fill="auto"/>
            <w:noWrap/>
            <w:vAlign w:val="center"/>
            <w:hideMark/>
          </w:tcPr>
          <w:p w14:paraId="69952727" w14:textId="77777777" w:rsidR="00F440F5" w:rsidRPr="00F440F5" w:rsidRDefault="00F440F5" w:rsidP="00F440F5">
            <w:pPr>
              <w:jc w:val="center"/>
              <w:rPr>
                <w:rFonts w:eastAsia="Times New Roman" w:cstheme="minorHAnsi"/>
                <w:sz w:val="20"/>
                <w:szCs w:val="20"/>
                <w:lang w:eastAsia="nl-BE"/>
              </w:rPr>
            </w:pPr>
            <w:r w:rsidRPr="00F440F5">
              <w:rPr>
                <w:rFonts w:eastAsia="Times New Roman" w:cstheme="minorHAnsi"/>
                <w:sz w:val="20"/>
                <w:szCs w:val="20"/>
                <w:lang w:eastAsia="nl-BE"/>
              </w:rPr>
              <w:t> </w:t>
            </w:r>
          </w:p>
        </w:tc>
        <w:tc>
          <w:tcPr>
            <w:tcW w:w="626" w:type="pct"/>
            <w:tcBorders>
              <w:top w:val="nil"/>
              <w:left w:val="nil"/>
              <w:bottom w:val="single" w:sz="4" w:space="0" w:color="auto"/>
              <w:right w:val="single" w:sz="4" w:space="0" w:color="auto"/>
            </w:tcBorders>
            <w:shd w:val="clear" w:color="auto" w:fill="auto"/>
            <w:noWrap/>
            <w:vAlign w:val="center"/>
            <w:hideMark/>
          </w:tcPr>
          <w:p w14:paraId="1A0BE46D" w14:textId="77777777" w:rsidR="00F440F5" w:rsidRPr="00F440F5" w:rsidRDefault="00F440F5" w:rsidP="00F440F5">
            <w:pPr>
              <w:jc w:val="center"/>
              <w:rPr>
                <w:rFonts w:eastAsia="Times New Roman" w:cstheme="minorHAnsi"/>
                <w:i/>
                <w:iCs/>
                <w:sz w:val="20"/>
                <w:szCs w:val="20"/>
                <w:lang w:eastAsia="nl-BE"/>
              </w:rPr>
            </w:pPr>
            <w:r w:rsidRPr="00F440F5">
              <w:rPr>
                <w:rFonts w:eastAsia="Times New Roman" w:cstheme="minorHAnsi"/>
                <w:i/>
                <w:iCs/>
                <w:sz w:val="20"/>
                <w:szCs w:val="20"/>
                <w:lang w:eastAsia="nl-BE"/>
              </w:rPr>
              <w:t>43.912</w:t>
            </w:r>
          </w:p>
        </w:tc>
        <w:tc>
          <w:tcPr>
            <w:tcW w:w="626" w:type="pct"/>
            <w:tcBorders>
              <w:top w:val="nil"/>
              <w:left w:val="nil"/>
              <w:bottom w:val="single" w:sz="4" w:space="0" w:color="auto"/>
              <w:right w:val="single" w:sz="4" w:space="0" w:color="auto"/>
            </w:tcBorders>
            <w:shd w:val="clear" w:color="auto" w:fill="auto"/>
            <w:noWrap/>
            <w:vAlign w:val="center"/>
            <w:hideMark/>
          </w:tcPr>
          <w:p w14:paraId="5546FA98" w14:textId="77777777" w:rsidR="00F440F5" w:rsidRPr="00F440F5" w:rsidRDefault="00F440F5" w:rsidP="00F440F5">
            <w:pPr>
              <w:jc w:val="center"/>
              <w:rPr>
                <w:rFonts w:eastAsia="Times New Roman" w:cstheme="minorHAnsi"/>
                <w:i/>
                <w:iCs/>
                <w:sz w:val="20"/>
                <w:szCs w:val="20"/>
                <w:lang w:eastAsia="nl-BE"/>
              </w:rPr>
            </w:pPr>
            <w:r w:rsidRPr="00F440F5">
              <w:rPr>
                <w:rFonts w:eastAsia="Times New Roman" w:cstheme="minorHAnsi"/>
                <w:i/>
                <w:iCs/>
                <w:sz w:val="20"/>
                <w:szCs w:val="20"/>
                <w:lang w:eastAsia="nl-BE"/>
              </w:rPr>
              <w:t>0</w:t>
            </w:r>
          </w:p>
        </w:tc>
        <w:tc>
          <w:tcPr>
            <w:tcW w:w="626" w:type="pct"/>
            <w:tcBorders>
              <w:top w:val="nil"/>
              <w:left w:val="nil"/>
              <w:bottom w:val="single" w:sz="4" w:space="0" w:color="auto"/>
              <w:right w:val="single" w:sz="4" w:space="0" w:color="auto"/>
            </w:tcBorders>
            <w:shd w:val="clear" w:color="auto" w:fill="auto"/>
            <w:noWrap/>
            <w:vAlign w:val="center"/>
            <w:hideMark/>
          </w:tcPr>
          <w:p w14:paraId="1F08809F" w14:textId="77777777" w:rsidR="00F440F5" w:rsidRPr="00F440F5" w:rsidRDefault="00F440F5" w:rsidP="00F440F5">
            <w:pPr>
              <w:jc w:val="center"/>
              <w:rPr>
                <w:rFonts w:eastAsia="Times New Roman" w:cstheme="minorHAnsi"/>
                <w:i/>
                <w:iCs/>
                <w:sz w:val="20"/>
                <w:szCs w:val="20"/>
                <w:lang w:eastAsia="nl-BE"/>
              </w:rPr>
            </w:pPr>
            <w:r w:rsidRPr="00F440F5">
              <w:rPr>
                <w:rFonts w:eastAsia="Times New Roman" w:cstheme="minorHAnsi"/>
                <w:i/>
                <w:iCs/>
                <w:sz w:val="20"/>
                <w:szCs w:val="20"/>
                <w:lang w:eastAsia="nl-BE"/>
              </w:rPr>
              <w:t>1.452</w:t>
            </w:r>
          </w:p>
        </w:tc>
        <w:tc>
          <w:tcPr>
            <w:tcW w:w="626" w:type="pct"/>
            <w:tcBorders>
              <w:top w:val="nil"/>
              <w:left w:val="nil"/>
              <w:bottom w:val="single" w:sz="4" w:space="0" w:color="auto"/>
              <w:right w:val="single" w:sz="4" w:space="0" w:color="auto"/>
            </w:tcBorders>
            <w:shd w:val="clear" w:color="auto" w:fill="auto"/>
            <w:noWrap/>
            <w:vAlign w:val="center"/>
            <w:hideMark/>
          </w:tcPr>
          <w:p w14:paraId="243B20B7" w14:textId="77777777" w:rsidR="00F440F5" w:rsidRPr="00F440F5" w:rsidRDefault="00F440F5" w:rsidP="00F440F5">
            <w:pPr>
              <w:jc w:val="center"/>
              <w:rPr>
                <w:rFonts w:eastAsia="Times New Roman" w:cstheme="minorHAnsi"/>
                <w:i/>
                <w:iCs/>
                <w:sz w:val="20"/>
                <w:szCs w:val="20"/>
                <w:lang w:eastAsia="nl-BE"/>
              </w:rPr>
            </w:pPr>
            <w:r w:rsidRPr="00F440F5">
              <w:rPr>
                <w:rFonts w:eastAsia="Times New Roman" w:cstheme="minorHAnsi"/>
                <w:i/>
                <w:iCs/>
                <w:sz w:val="20"/>
                <w:szCs w:val="20"/>
                <w:lang w:eastAsia="nl-BE"/>
              </w:rPr>
              <w:t>2.775</w:t>
            </w:r>
          </w:p>
        </w:tc>
        <w:tc>
          <w:tcPr>
            <w:tcW w:w="626" w:type="pct"/>
            <w:tcBorders>
              <w:top w:val="nil"/>
              <w:left w:val="nil"/>
              <w:bottom w:val="single" w:sz="4" w:space="0" w:color="auto"/>
              <w:right w:val="single" w:sz="4" w:space="0" w:color="auto"/>
            </w:tcBorders>
            <w:shd w:val="clear" w:color="auto" w:fill="auto"/>
            <w:noWrap/>
            <w:vAlign w:val="center"/>
            <w:hideMark/>
          </w:tcPr>
          <w:p w14:paraId="0B62D4DD" w14:textId="77777777" w:rsidR="00F440F5" w:rsidRPr="00F440F5" w:rsidRDefault="00F440F5" w:rsidP="00F440F5">
            <w:pPr>
              <w:jc w:val="center"/>
              <w:rPr>
                <w:rFonts w:eastAsia="Times New Roman" w:cstheme="minorHAnsi"/>
                <w:i/>
                <w:iCs/>
                <w:sz w:val="20"/>
                <w:szCs w:val="20"/>
                <w:lang w:eastAsia="nl-BE"/>
              </w:rPr>
            </w:pPr>
            <w:r w:rsidRPr="00F440F5">
              <w:rPr>
                <w:rFonts w:eastAsia="Times New Roman" w:cstheme="minorHAnsi"/>
                <w:i/>
                <w:iCs/>
                <w:sz w:val="20"/>
                <w:szCs w:val="20"/>
                <w:lang w:eastAsia="nl-BE"/>
              </w:rPr>
              <w:t>-3.438</w:t>
            </w:r>
          </w:p>
        </w:tc>
        <w:tc>
          <w:tcPr>
            <w:tcW w:w="626" w:type="pct"/>
            <w:tcBorders>
              <w:top w:val="nil"/>
              <w:left w:val="nil"/>
              <w:bottom w:val="single" w:sz="4" w:space="0" w:color="auto"/>
              <w:right w:val="single" w:sz="4" w:space="0" w:color="auto"/>
            </w:tcBorders>
            <w:shd w:val="clear" w:color="auto" w:fill="auto"/>
            <w:noWrap/>
            <w:vAlign w:val="center"/>
            <w:hideMark/>
          </w:tcPr>
          <w:p w14:paraId="698CE797" w14:textId="77777777" w:rsidR="00F440F5" w:rsidRPr="00F440F5" w:rsidRDefault="00F440F5" w:rsidP="00F440F5">
            <w:pPr>
              <w:jc w:val="center"/>
              <w:rPr>
                <w:rFonts w:eastAsia="Times New Roman" w:cstheme="minorHAnsi"/>
                <w:i/>
                <w:iCs/>
                <w:sz w:val="20"/>
                <w:szCs w:val="20"/>
                <w:lang w:eastAsia="nl-BE"/>
              </w:rPr>
            </w:pPr>
            <w:r w:rsidRPr="00F440F5">
              <w:rPr>
                <w:rFonts w:eastAsia="Times New Roman" w:cstheme="minorHAnsi"/>
                <w:i/>
                <w:iCs/>
                <w:sz w:val="20"/>
                <w:szCs w:val="20"/>
                <w:lang w:eastAsia="nl-BE"/>
              </w:rPr>
              <w:t>1.586</w:t>
            </w:r>
          </w:p>
        </w:tc>
      </w:tr>
      <w:tr w:rsidR="00F440F5" w:rsidRPr="00F440F5" w14:paraId="535C7EFB" w14:textId="77777777" w:rsidTr="0054699F">
        <w:trPr>
          <w:trHeight w:val="300"/>
        </w:trPr>
        <w:tc>
          <w:tcPr>
            <w:tcW w:w="684" w:type="pct"/>
            <w:tcBorders>
              <w:top w:val="nil"/>
              <w:left w:val="nil"/>
              <w:bottom w:val="nil"/>
              <w:right w:val="nil"/>
            </w:tcBorders>
            <w:shd w:val="clear" w:color="auto" w:fill="auto"/>
            <w:noWrap/>
            <w:vAlign w:val="center"/>
            <w:hideMark/>
          </w:tcPr>
          <w:p w14:paraId="002CCBF6" w14:textId="77777777" w:rsidR="00F440F5" w:rsidRPr="00F440F5" w:rsidRDefault="00F440F5" w:rsidP="00F440F5">
            <w:pPr>
              <w:jc w:val="center"/>
              <w:rPr>
                <w:rFonts w:eastAsia="Times New Roman" w:cstheme="minorHAnsi"/>
                <w:i/>
                <w:iCs/>
                <w:sz w:val="20"/>
                <w:szCs w:val="20"/>
                <w:lang w:eastAsia="nl-BE"/>
              </w:rPr>
            </w:pPr>
          </w:p>
        </w:tc>
        <w:tc>
          <w:tcPr>
            <w:tcW w:w="281" w:type="pct"/>
            <w:tcBorders>
              <w:top w:val="nil"/>
              <w:left w:val="nil"/>
              <w:bottom w:val="nil"/>
              <w:right w:val="nil"/>
            </w:tcBorders>
            <w:shd w:val="clear" w:color="auto" w:fill="auto"/>
            <w:noWrap/>
            <w:vAlign w:val="center"/>
            <w:hideMark/>
          </w:tcPr>
          <w:p w14:paraId="519950AB" w14:textId="77777777" w:rsidR="00F440F5" w:rsidRPr="00F440F5" w:rsidRDefault="00F440F5" w:rsidP="00F440F5">
            <w:pPr>
              <w:rPr>
                <w:rFonts w:eastAsia="Times New Roman" w:cstheme="minorHAnsi"/>
                <w:sz w:val="20"/>
                <w:szCs w:val="20"/>
                <w:lang w:eastAsia="nl-BE"/>
              </w:rPr>
            </w:pPr>
          </w:p>
        </w:tc>
        <w:tc>
          <w:tcPr>
            <w:tcW w:w="281" w:type="pct"/>
            <w:tcBorders>
              <w:top w:val="nil"/>
              <w:left w:val="nil"/>
              <w:bottom w:val="nil"/>
              <w:right w:val="nil"/>
            </w:tcBorders>
            <w:shd w:val="clear" w:color="auto" w:fill="auto"/>
            <w:noWrap/>
            <w:vAlign w:val="center"/>
            <w:hideMark/>
          </w:tcPr>
          <w:p w14:paraId="01B881B9" w14:textId="77777777" w:rsidR="00F440F5" w:rsidRPr="00F440F5" w:rsidRDefault="00F440F5" w:rsidP="00F440F5">
            <w:pPr>
              <w:jc w:val="center"/>
              <w:rPr>
                <w:rFonts w:eastAsia="Times New Roman" w:cstheme="minorHAnsi"/>
                <w:sz w:val="20"/>
                <w:szCs w:val="20"/>
                <w:lang w:eastAsia="nl-BE"/>
              </w:rPr>
            </w:pPr>
          </w:p>
        </w:tc>
        <w:tc>
          <w:tcPr>
            <w:tcW w:w="626" w:type="pct"/>
            <w:tcBorders>
              <w:top w:val="nil"/>
              <w:left w:val="nil"/>
              <w:bottom w:val="nil"/>
              <w:right w:val="nil"/>
            </w:tcBorders>
            <w:shd w:val="clear" w:color="auto" w:fill="auto"/>
            <w:noWrap/>
            <w:vAlign w:val="center"/>
            <w:hideMark/>
          </w:tcPr>
          <w:p w14:paraId="1E5550A7" w14:textId="77777777" w:rsidR="00F440F5" w:rsidRPr="00F440F5" w:rsidRDefault="00F440F5" w:rsidP="00F440F5">
            <w:pPr>
              <w:jc w:val="center"/>
              <w:rPr>
                <w:rFonts w:eastAsia="Times New Roman" w:cstheme="minorHAnsi"/>
                <w:sz w:val="20"/>
                <w:szCs w:val="20"/>
                <w:lang w:eastAsia="nl-BE"/>
              </w:rPr>
            </w:pPr>
          </w:p>
        </w:tc>
        <w:tc>
          <w:tcPr>
            <w:tcW w:w="626" w:type="pct"/>
            <w:tcBorders>
              <w:top w:val="nil"/>
              <w:left w:val="nil"/>
              <w:bottom w:val="nil"/>
              <w:right w:val="nil"/>
            </w:tcBorders>
            <w:shd w:val="clear" w:color="auto" w:fill="auto"/>
            <w:noWrap/>
            <w:vAlign w:val="center"/>
            <w:hideMark/>
          </w:tcPr>
          <w:p w14:paraId="4A03E439" w14:textId="77777777" w:rsidR="00F440F5" w:rsidRPr="00F440F5" w:rsidRDefault="00F440F5" w:rsidP="00F440F5">
            <w:pPr>
              <w:jc w:val="center"/>
              <w:rPr>
                <w:rFonts w:eastAsia="Times New Roman" w:cstheme="minorHAnsi"/>
                <w:sz w:val="20"/>
                <w:szCs w:val="20"/>
                <w:lang w:eastAsia="nl-BE"/>
              </w:rPr>
            </w:pPr>
          </w:p>
        </w:tc>
        <w:tc>
          <w:tcPr>
            <w:tcW w:w="626" w:type="pct"/>
            <w:tcBorders>
              <w:top w:val="nil"/>
              <w:left w:val="nil"/>
              <w:bottom w:val="nil"/>
              <w:right w:val="nil"/>
            </w:tcBorders>
            <w:shd w:val="clear" w:color="auto" w:fill="auto"/>
            <w:noWrap/>
            <w:vAlign w:val="center"/>
            <w:hideMark/>
          </w:tcPr>
          <w:p w14:paraId="1257291D" w14:textId="77777777" w:rsidR="00F440F5" w:rsidRPr="00F440F5" w:rsidRDefault="00F440F5" w:rsidP="00F440F5">
            <w:pPr>
              <w:jc w:val="center"/>
              <w:rPr>
                <w:rFonts w:eastAsia="Times New Roman" w:cstheme="minorHAnsi"/>
                <w:sz w:val="20"/>
                <w:szCs w:val="20"/>
                <w:lang w:eastAsia="nl-BE"/>
              </w:rPr>
            </w:pPr>
          </w:p>
        </w:tc>
        <w:tc>
          <w:tcPr>
            <w:tcW w:w="626" w:type="pct"/>
            <w:tcBorders>
              <w:top w:val="nil"/>
              <w:left w:val="nil"/>
              <w:bottom w:val="nil"/>
              <w:right w:val="nil"/>
            </w:tcBorders>
            <w:shd w:val="clear" w:color="auto" w:fill="auto"/>
            <w:noWrap/>
            <w:vAlign w:val="center"/>
            <w:hideMark/>
          </w:tcPr>
          <w:p w14:paraId="34D0FF2C" w14:textId="77777777" w:rsidR="00F440F5" w:rsidRPr="00F440F5" w:rsidRDefault="00F440F5" w:rsidP="00F440F5">
            <w:pPr>
              <w:jc w:val="center"/>
              <w:rPr>
                <w:rFonts w:eastAsia="Times New Roman" w:cstheme="minorHAnsi"/>
                <w:sz w:val="20"/>
                <w:szCs w:val="20"/>
                <w:lang w:eastAsia="nl-BE"/>
              </w:rPr>
            </w:pPr>
          </w:p>
        </w:tc>
        <w:tc>
          <w:tcPr>
            <w:tcW w:w="626" w:type="pct"/>
            <w:tcBorders>
              <w:top w:val="nil"/>
              <w:left w:val="nil"/>
              <w:bottom w:val="nil"/>
              <w:right w:val="nil"/>
            </w:tcBorders>
            <w:shd w:val="clear" w:color="auto" w:fill="auto"/>
            <w:noWrap/>
            <w:vAlign w:val="center"/>
            <w:hideMark/>
          </w:tcPr>
          <w:p w14:paraId="50DA1952" w14:textId="77777777" w:rsidR="00F440F5" w:rsidRPr="00F440F5" w:rsidRDefault="00F440F5" w:rsidP="00F440F5">
            <w:pPr>
              <w:jc w:val="center"/>
              <w:rPr>
                <w:rFonts w:eastAsia="Times New Roman" w:cstheme="minorHAnsi"/>
                <w:sz w:val="20"/>
                <w:szCs w:val="20"/>
                <w:lang w:eastAsia="nl-BE"/>
              </w:rPr>
            </w:pPr>
          </w:p>
        </w:tc>
        <w:tc>
          <w:tcPr>
            <w:tcW w:w="626" w:type="pct"/>
            <w:tcBorders>
              <w:top w:val="nil"/>
              <w:left w:val="nil"/>
              <w:bottom w:val="nil"/>
              <w:right w:val="nil"/>
            </w:tcBorders>
            <w:shd w:val="clear" w:color="auto" w:fill="auto"/>
            <w:noWrap/>
            <w:vAlign w:val="center"/>
            <w:hideMark/>
          </w:tcPr>
          <w:p w14:paraId="5A0A2C90" w14:textId="77777777" w:rsidR="00F440F5" w:rsidRPr="00F440F5" w:rsidRDefault="00F440F5" w:rsidP="00F440F5">
            <w:pPr>
              <w:jc w:val="center"/>
              <w:rPr>
                <w:rFonts w:eastAsia="Times New Roman" w:cstheme="minorHAnsi"/>
                <w:sz w:val="20"/>
                <w:szCs w:val="20"/>
                <w:lang w:eastAsia="nl-BE"/>
              </w:rPr>
            </w:pPr>
          </w:p>
        </w:tc>
      </w:tr>
      <w:tr w:rsidR="00F440F5" w:rsidRPr="00F440F5" w14:paraId="4038818A" w14:textId="77777777" w:rsidTr="0054699F">
        <w:trPr>
          <w:trHeight w:val="300"/>
        </w:trPr>
        <w:tc>
          <w:tcPr>
            <w:tcW w:w="684" w:type="pct"/>
            <w:tcBorders>
              <w:top w:val="nil"/>
              <w:left w:val="nil"/>
              <w:bottom w:val="nil"/>
              <w:right w:val="nil"/>
            </w:tcBorders>
            <w:shd w:val="clear" w:color="auto" w:fill="auto"/>
            <w:noWrap/>
            <w:vAlign w:val="center"/>
            <w:hideMark/>
          </w:tcPr>
          <w:p w14:paraId="1E8047E4" w14:textId="77777777" w:rsidR="00F440F5" w:rsidRPr="00F440F5" w:rsidRDefault="00F440F5" w:rsidP="00F440F5">
            <w:pPr>
              <w:jc w:val="center"/>
              <w:rPr>
                <w:rFonts w:eastAsia="Times New Roman" w:cstheme="minorHAnsi"/>
                <w:sz w:val="20"/>
                <w:szCs w:val="20"/>
                <w:lang w:eastAsia="nl-BE"/>
              </w:rPr>
            </w:pPr>
          </w:p>
        </w:tc>
        <w:tc>
          <w:tcPr>
            <w:tcW w:w="281" w:type="pct"/>
            <w:tcBorders>
              <w:top w:val="nil"/>
              <w:left w:val="nil"/>
              <w:bottom w:val="nil"/>
              <w:right w:val="nil"/>
            </w:tcBorders>
            <w:shd w:val="clear" w:color="auto" w:fill="auto"/>
            <w:noWrap/>
            <w:vAlign w:val="center"/>
            <w:hideMark/>
          </w:tcPr>
          <w:p w14:paraId="3A52AE1A" w14:textId="77777777" w:rsidR="00F440F5" w:rsidRPr="00F440F5" w:rsidRDefault="00F440F5" w:rsidP="00F440F5">
            <w:pPr>
              <w:rPr>
                <w:rFonts w:eastAsia="Times New Roman" w:cstheme="minorHAnsi"/>
                <w:sz w:val="20"/>
                <w:szCs w:val="20"/>
                <w:lang w:eastAsia="nl-BE"/>
              </w:rPr>
            </w:pPr>
          </w:p>
        </w:tc>
        <w:tc>
          <w:tcPr>
            <w:tcW w:w="281" w:type="pct"/>
            <w:tcBorders>
              <w:top w:val="nil"/>
              <w:left w:val="nil"/>
              <w:bottom w:val="nil"/>
              <w:right w:val="nil"/>
            </w:tcBorders>
            <w:shd w:val="clear" w:color="auto" w:fill="auto"/>
            <w:noWrap/>
            <w:vAlign w:val="center"/>
            <w:hideMark/>
          </w:tcPr>
          <w:p w14:paraId="10EDDEBC" w14:textId="77777777" w:rsidR="00F440F5" w:rsidRPr="00F440F5" w:rsidRDefault="00F440F5" w:rsidP="00F440F5">
            <w:pPr>
              <w:jc w:val="center"/>
              <w:rPr>
                <w:rFonts w:eastAsia="Times New Roman" w:cstheme="minorHAnsi"/>
                <w:sz w:val="20"/>
                <w:szCs w:val="20"/>
                <w:lang w:eastAsia="nl-BE"/>
              </w:rPr>
            </w:pPr>
          </w:p>
        </w:tc>
        <w:tc>
          <w:tcPr>
            <w:tcW w:w="626" w:type="pct"/>
            <w:tcBorders>
              <w:top w:val="nil"/>
              <w:left w:val="nil"/>
              <w:bottom w:val="nil"/>
              <w:right w:val="nil"/>
            </w:tcBorders>
            <w:shd w:val="clear" w:color="auto" w:fill="auto"/>
            <w:noWrap/>
            <w:vAlign w:val="center"/>
            <w:hideMark/>
          </w:tcPr>
          <w:p w14:paraId="10868A1F" w14:textId="77777777" w:rsidR="00F440F5" w:rsidRPr="00F440F5" w:rsidRDefault="00F440F5" w:rsidP="00F440F5">
            <w:pPr>
              <w:jc w:val="center"/>
              <w:rPr>
                <w:rFonts w:eastAsia="Times New Roman" w:cstheme="minorHAnsi"/>
                <w:sz w:val="20"/>
                <w:szCs w:val="20"/>
                <w:lang w:eastAsia="nl-BE"/>
              </w:rPr>
            </w:pPr>
          </w:p>
        </w:tc>
        <w:tc>
          <w:tcPr>
            <w:tcW w:w="626" w:type="pct"/>
            <w:tcBorders>
              <w:top w:val="nil"/>
              <w:left w:val="nil"/>
              <w:bottom w:val="nil"/>
              <w:right w:val="nil"/>
            </w:tcBorders>
            <w:shd w:val="clear" w:color="auto" w:fill="auto"/>
            <w:noWrap/>
            <w:vAlign w:val="center"/>
            <w:hideMark/>
          </w:tcPr>
          <w:p w14:paraId="146D871B" w14:textId="77777777" w:rsidR="00F440F5" w:rsidRPr="00F440F5" w:rsidRDefault="00F440F5" w:rsidP="00F440F5">
            <w:pPr>
              <w:jc w:val="center"/>
              <w:rPr>
                <w:rFonts w:eastAsia="Times New Roman" w:cstheme="minorHAnsi"/>
                <w:sz w:val="20"/>
                <w:szCs w:val="20"/>
                <w:lang w:eastAsia="nl-BE"/>
              </w:rPr>
            </w:pPr>
          </w:p>
        </w:tc>
        <w:tc>
          <w:tcPr>
            <w:tcW w:w="626" w:type="pct"/>
            <w:tcBorders>
              <w:top w:val="nil"/>
              <w:left w:val="nil"/>
              <w:bottom w:val="nil"/>
              <w:right w:val="nil"/>
            </w:tcBorders>
            <w:shd w:val="clear" w:color="auto" w:fill="auto"/>
            <w:noWrap/>
            <w:vAlign w:val="center"/>
            <w:hideMark/>
          </w:tcPr>
          <w:p w14:paraId="48E4C0FE" w14:textId="77777777" w:rsidR="00F440F5" w:rsidRPr="00F440F5" w:rsidRDefault="00F440F5" w:rsidP="00F440F5">
            <w:pPr>
              <w:jc w:val="center"/>
              <w:rPr>
                <w:rFonts w:eastAsia="Times New Roman" w:cstheme="minorHAnsi"/>
                <w:sz w:val="20"/>
                <w:szCs w:val="20"/>
                <w:lang w:eastAsia="nl-BE"/>
              </w:rPr>
            </w:pPr>
          </w:p>
        </w:tc>
        <w:tc>
          <w:tcPr>
            <w:tcW w:w="626" w:type="pct"/>
            <w:tcBorders>
              <w:top w:val="nil"/>
              <w:left w:val="nil"/>
              <w:bottom w:val="nil"/>
              <w:right w:val="nil"/>
            </w:tcBorders>
            <w:shd w:val="clear" w:color="auto" w:fill="auto"/>
            <w:noWrap/>
            <w:vAlign w:val="center"/>
            <w:hideMark/>
          </w:tcPr>
          <w:p w14:paraId="0ACCB43B" w14:textId="77777777" w:rsidR="00F440F5" w:rsidRPr="00F440F5" w:rsidRDefault="00F440F5" w:rsidP="00F440F5">
            <w:pPr>
              <w:jc w:val="center"/>
              <w:rPr>
                <w:rFonts w:eastAsia="Times New Roman" w:cstheme="minorHAnsi"/>
                <w:sz w:val="20"/>
                <w:szCs w:val="20"/>
                <w:lang w:eastAsia="nl-BE"/>
              </w:rPr>
            </w:pPr>
          </w:p>
        </w:tc>
        <w:tc>
          <w:tcPr>
            <w:tcW w:w="626" w:type="pct"/>
            <w:tcBorders>
              <w:top w:val="nil"/>
              <w:left w:val="nil"/>
              <w:bottom w:val="nil"/>
              <w:right w:val="nil"/>
            </w:tcBorders>
            <w:shd w:val="clear" w:color="auto" w:fill="auto"/>
            <w:noWrap/>
            <w:vAlign w:val="center"/>
            <w:hideMark/>
          </w:tcPr>
          <w:p w14:paraId="6A2AFABF" w14:textId="77777777" w:rsidR="00F440F5" w:rsidRPr="00F440F5" w:rsidRDefault="00F440F5" w:rsidP="00F440F5">
            <w:pPr>
              <w:jc w:val="center"/>
              <w:rPr>
                <w:rFonts w:eastAsia="Times New Roman" w:cstheme="minorHAnsi"/>
                <w:sz w:val="20"/>
                <w:szCs w:val="20"/>
                <w:lang w:eastAsia="nl-BE"/>
              </w:rPr>
            </w:pPr>
          </w:p>
        </w:tc>
        <w:tc>
          <w:tcPr>
            <w:tcW w:w="626" w:type="pct"/>
            <w:tcBorders>
              <w:top w:val="nil"/>
              <w:left w:val="nil"/>
              <w:bottom w:val="nil"/>
              <w:right w:val="nil"/>
            </w:tcBorders>
            <w:shd w:val="clear" w:color="auto" w:fill="auto"/>
            <w:noWrap/>
            <w:vAlign w:val="center"/>
            <w:hideMark/>
          </w:tcPr>
          <w:p w14:paraId="0DE25DE3" w14:textId="77777777" w:rsidR="00F440F5" w:rsidRPr="00F440F5" w:rsidRDefault="00F440F5" w:rsidP="00F440F5">
            <w:pPr>
              <w:jc w:val="center"/>
              <w:rPr>
                <w:rFonts w:eastAsia="Times New Roman" w:cstheme="minorHAnsi"/>
                <w:sz w:val="20"/>
                <w:szCs w:val="20"/>
                <w:lang w:eastAsia="nl-BE"/>
              </w:rPr>
            </w:pPr>
          </w:p>
        </w:tc>
      </w:tr>
      <w:tr w:rsidR="00F440F5" w:rsidRPr="00F440F5" w14:paraId="65EA989A" w14:textId="77777777" w:rsidTr="0054699F">
        <w:trPr>
          <w:trHeight w:val="300"/>
        </w:trPr>
        <w:tc>
          <w:tcPr>
            <w:tcW w:w="684" w:type="pct"/>
            <w:tcBorders>
              <w:top w:val="nil"/>
              <w:left w:val="nil"/>
              <w:bottom w:val="nil"/>
              <w:right w:val="nil"/>
            </w:tcBorders>
            <w:shd w:val="clear" w:color="auto" w:fill="auto"/>
            <w:noWrap/>
            <w:vAlign w:val="center"/>
            <w:hideMark/>
          </w:tcPr>
          <w:p w14:paraId="52CE6E30" w14:textId="77777777" w:rsidR="00F440F5" w:rsidRPr="00F440F5" w:rsidRDefault="00F440F5" w:rsidP="00F440F5">
            <w:pPr>
              <w:jc w:val="center"/>
              <w:rPr>
                <w:rFonts w:eastAsia="Times New Roman" w:cstheme="minorHAnsi"/>
                <w:sz w:val="20"/>
                <w:szCs w:val="20"/>
                <w:lang w:eastAsia="nl-BE"/>
              </w:rPr>
            </w:pPr>
          </w:p>
        </w:tc>
        <w:tc>
          <w:tcPr>
            <w:tcW w:w="281" w:type="pct"/>
            <w:tcBorders>
              <w:top w:val="nil"/>
              <w:left w:val="nil"/>
              <w:bottom w:val="nil"/>
              <w:right w:val="nil"/>
            </w:tcBorders>
            <w:shd w:val="clear" w:color="auto" w:fill="auto"/>
            <w:noWrap/>
            <w:vAlign w:val="center"/>
            <w:hideMark/>
          </w:tcPr>
          <w:p w14:paraId="54660639" w14:textId="77777777" w:rsidR="00F440F5" w:rsidRPr="00F440F5" w:rsidRDefault="00F440F5" w:rsidP="00F440F5">
            <w:pPr>
              <w:rPr>
                <w:rFonts w:eastAsia="Times New Roman" w:cstheme="minorHAnsi"/>
                <w:sz w:val="20"/>
                <w:szCs w:val="20"/>
                <w:lang w:eastAsia="nl-BE"/>
              </w:rPr>
            </w:pPr>
          </w:p>
        </w:tc>
        <w:tc>
          <w:tcPr>
            <w:tcW w:w="281" w:type="pct"/>
            <w:tcBorders>
              <w:top w:val="nil"/>
              <w:left w:val="nil"/>
              <w:bottom w:val="nil"/>
              <w:right w:val="nil"/>
            </w:tcBorders>
            <w:shd w:val="clear" w:color="auto" w:fill="auto"/>
            <w:noWrap/>
            <w:vAlign w:val="center"/>
            <w:hideMark/>
          </w:tcPr>
          <w:p w14:paraId="690989ED" w14:textId="77777777" w:rsidR="00F440F5" w:rsidRPr="00F440F5" w:rsidRDefault="00F440F5" w:rsidP="00F440F5">
            <w:pPr>
              <w:jc w:val="center"/>
              <w:rPr>
                <w:rFonts w:eastAsia="Times New Roman" w:cstheme="minorHAnsi"/>
                <w:sz w:val="20"/>
                <w:szCs w:val="20"/>
                <w:lang w:eastAsia="nl-BE"/>
              </w:rPr>
            </w:pPr>
          </w:p>
        </w:tc>
        <w:tc>
          <w:tcPr>
            <w:tcW w:w="626" w:type="pct"/>
            <w:tcBorders>
              <w:top w:val="nil"/>
              <w:left w:val="nil"/>
              <w:bottom w:val="nil"/>
              <w:right w:val="nil"/>
            </w:tcBorders>
            <w:shd w:val="clear" w:color="auto" w:fill="auto"/>
            <w:noWrap/>
            <w:vAlign w:val="center"/>
            <w:hideMark/>
          </w:tcPr>
          <w:p w14:paraId="2DFD4568" w14:textId="77777777" w:rsidR="00F440F5" w:rsidRPr="00F440F5" w:rsidRDefault="00F440F5" w:rsidP="00F440F5">
            <w:pPr>
              <w:jc w:val="center"/>
              <w:rPr>
                <w:rFonts w:eastAsia="Times New Roman" w:cstheme="minorHAnsi"/>
                <w:sz w:val="20"/>
                <w:szCs w:val="20"/>
                <w:lang w:eastAsia="nl-BE"/>
              </w:rPr>
            </w:pPr>
          </w:p>
        </w:tc>
        <w:tc>
          <w:tcPr>
            <w:tcW w:w="626" w:type="pct"/>
            <w:tcBorders>
              <w:top w:val="nil"/>
              <w:left w:val="nil"/>
              <w:bottom w:val="nil"/>
              <w:right w:val="nil"/>
            </w:tcBorders>
            <w:shd w:val="clear" w:color="auto" w:fill="auto"/>
            <w:noWrap/>
            <w:vAlign w:val="center"/>
            <w:hideMark/>
          </w:tcPr>
          <w:p w14:paraId="685C675E" w14:textId="77777777" w:rsidR="00F440F5" w:rsidRPr="00F440F5" w:rsidRDefault="00F440F5" w:rsidP="00F440F5">
            <w:pPr>
              <w:jc w:val="center"/>
              <w:rPr>
                <w:rFonts w:eastAsia="Times New Roman" w:cstheme="minorHAnsi"/>
                <w:sz w:val="20"/>
                <w:szCs w:val="20"/>
                <w:lang w:eastAsia="nl-BE"/>
              </w:rPr>
            </w:pPr>
          </w:p>
        </w:tc>
        <w:tc>
          <w:tcPr>
            <w:tcW w:w="626" w:type="pct"/>
            <w:tcBorders>
              <w:top w:val="nil"/>
              <w:left w:val="nil"/>
              <w:bottom w:val="nil"/>
              <w:right w:val="nil"/>
            </w:tcBorders>
            <w:shd w:val="clear" w:color="auto" w:fill="auto"/>
            <w:noWrap/>
            <w:vAlign w:val="center"/>
            <w:hideMark/>
          </w:tcPr>
          <w:p w14:paraId="3BF67104" w14:textId="77777777" w:rsidR="00F440F5" w:rsidRPr="00F440F5" w:rsidRDefault="00F440F5" w:rsidP="00F440F5">
            <w:pPr>
              <w:jc w:val="center"/>
              <w:rPr>
                <w:rFonts w:eastAsia="Times New Roman" w:cstheme="minorHAnsi"/>
                <w:sz w:val="20"/>
                <w:szCs w:val="20"/>
                <w:lang w:eastAsia="nl-BE"/>
              </w:rPr>
            </w:pPr>
          </w:p>
        </w:tc>
        <w:tc>
          <w:tcPr>
            <w:tcW w:w="626" w:type="pct"/>
            <w:tcBorders>
              <w:top w:val="nil"/>
              <w:left w:val="nil"/>
              <w:bottom w:val="nil"/>
              <w:right w:val="nil"/>
            </w:tcBorders>
            <w:shd w:val="clear" w:color="auto" w:fill="auto"/>
            <w:noWrap/>
            <w:vAlign w:val="center"/>
            <w:hideMark/>
          </w:tcPr>
          <w:p w14:paraId="785A878F" w14:textId="77777777" w:rsidR="00F440F5" w:rsidRPr="00F440F5" w:rsidRDefault="00F440F5" w:rsidP="00F440F5">
            <w:pPr>
              <w:jc w:val="center"/>
              <w:rPr>
                <w:rFonts w:eastAsia="Times New Roman" w:cstheme="minorHAnsi"/>
                <w:sz w:val="20"/>
                <w:szCs w:val="20"/>
                <w:lang w:eastAsia="nl-BE"/>
              </w:rPr>
            </w:pPr>
          </w:p>
        </w:tc>
        <w:tc>
          <w:tcPr>
            <w:tcW w:w="626" w:type="pct"/>
            <w:tcBorders>
              <w:top w:val="nil"/>
              <w:left w:val="nil"/>
              <w:bottom w:val="nil"/>
              <w:right w:val="nil"/>
            </w:tcBorders>
            <w:shd w:val="clear" w:color="auto" w:fill="auto"/>
            <w:noWrap/>
            <w:vAlign w:val="center"/>
            <w:hideMark/>
          </w:tcPr>
          <w:p w14:paraId="440F6260" w14:textId="77777777" w:rsidR="00F440F5" w:rsidRPr="00F440F5" w:rsidRDefault="00F440F5" w:rsidP="00F440F5">
            <w:pPr>
              <w:jc w:val="center"/>
              <w:rPr>
                <w:rFonts w:eastAsia="Times New Roman" w:cstheme="minorHAnsi"/>
                <w:sz w:val="20"/>
                <w:szCs w:val="20"/>
                <w:lang w:eastAsia="nl-BE"/>
              </w:rPr>
            </w:pPr>
          </w:p>
        </w:tc>
        <w:tc>
          <w:tcPr>
            <w:tcW w:w="626" w:type="pct"/>
            <w:tcBorders>
              <w:top w:val="nil"/>
              <w:left w:val="nil"/>
              <w:bottom w:val="nil"/>
              <w:right w:val="nil"/>
            </w:tcBorders>
            <w:shd w:val="clear" w:color="auto" w:fill="auto"/>
            <w:noWrap/>
            <w:vAlign w:val="center"/>
            <w:hideMark/>
          </w:tcPr>
          <w:p w14:paraId="1D3DC63B" w14:textId="77777777" w:rsidR="00F440F5" w:rsidRPr="00F440F5" w:rsidRDefault="00F440F5" w:rsidP="00F440F5">
            <w:pPr>
              <w:jc w:val="center"/>
              <w:rPr>
                <w:rFonts w:eastAsia="Times New Roman" w:cstheme="minorHAnsi"/>
                <w:sz w:val="20"/>
                <w:szCs w:val="20"/>
                <w:lang w:eastAsia="nl-BE"/>
              </w:rPr>
            </w:pPr>
          </w:p>
        </w:tc>
      </w:tr>
      <w:tr w:rsidR="00F440F5" w:rsidRPr="00F440F5" w14:paraId="54D8DF28" w14:textId="77777777" w:rsidTr="0054699F">
        <w:trPr>
          <w:trHeight w:val="300"/>
        </w:trPr>
        <w:tc>
          <w:tcPr>
            <w:tcW w:w="6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ED3D9C" w14:textId="77777777" w:rsidR="00F440F5" w:rsidRPr="00F440F5" w:rsidRDefault="00F440F5" w:rsidP="00F440F5">
            <w:pPr>
              <w:rPr>
                <w:rFonts w:eastAsia="Times New Roman" w:cstheme="minorHAnsi"/>
                <w:b/>
                <w:bCs/>
                <w:color w:val="000000"/>
                <w:sz w:val="20"/>
                <w:szCs w:val="20"/>
                <w:lang w:eastAsia="nl-BE"/>
              </w:rPr>
            </w:pPr>
            <w:r w:rsidRPr="00F440F5">
              <w:rPr>
                <w:rFonts w:eastAsia="Times New Roman" w:cstheme="minorHAnsi"/>
                <w:b/>
                <w:bCs/>
                <w:color w:val="000000"/>
                <w:sz w:val="20"/>
                <w:szCs w:val="20"/>
                <w:lang w:eastAsia="nl-BE"/>
              </w:rPr>
              <w:t>Fiscale uitgaven</w:t>
            </w:r>
          </w:p>
        </w:tc>
        <w:tc>
          <w:tcPr>
            <w:tcW w:w="281" w:type="pct"/>
            <w:tcBorders>
              <w:top w:val="single" w:sz="4" w:space="0" w:color="auto"/>
              <w:left w:val="nil"/>
              <w:bottom w:val="single" w:sz="4" w:space="0" w:color="auto"/>
              <w:right w:val="single" w:sz="4" w:space="0" w:color="auto"/>
            </w:tcBorders>
            <w:shd w:val="clear" w:color="auto" w:fill="auto"/>
            <w:noWrap/>
            <w:vAlign w:val="center"/>
            <w:hideMark/>
          </w:tcPr>
          <w:p w14:paraId="6F617890" w14:textId="77777777" w:rsidR="00F440F5" w:rsidRPr="00F440F5" w:rsidRDefault="00F440F5" w:rsidP="00F440F5">
            <w:pPr>
              <w:jc w:val="center"/>
              <w:rPr>
                <w:rFonts w:eastAsia="Times New Roman" w:cstheme="minorHAnsi"/>
                <w:b/>
                <w:bCs/>
                <w:color w:val="000000"/>
                <w:sz w:val="20"/>
                <w:szCs w:val="20"/>
                <w:lang w:eastAsia="nl-BE"/>
              </w:rPr>
            </w:pPr>
            <w:r w:rsidRPr="00F440F5">
              <w:rPr>
                <w:rFonts w:eastAsia="Times New Roman" w:cstheme="minorHAnsi"/>
                <w:b/>
                <w:bCs/>
                <w:color w:val="000000"/>
                <w:sz w:val="20"/>
                <w:szCs w:val="20"/>
                <w:lang w:eastAsia="nl-BE"/>
              </w:rPr>
              <w:t>1.777.748</w:t>
            </w:r>
          </w:p>
        </w:tc>
        <w:tc>
          <w:tcPr>
            <w:tcW w:w="281" w:type="pct"/>
            <w:tcBorders>
              <w:top w:val="single" w:sz="4" w:space="0" w:color="auto"/>
              <w:left w:val="nil"/>
              <w:bottom w:val="single" w:sz="4" w:space="0" w:color="auto"/>
              <w:right w:val="single" w:sz="4" w:space="0" w:color="auto"/>
            </w:tcBorders>
            <w:shd w:val="clear" w:color="auto" w:fill="auto"/>
            <w:noWrap/>
            <w:vAlign w:val="center"/>
            <w:hideMark/>
          </w:tcPr>
          <w:p w14:paraId="095B25ED" w14:textId="77777777" w:rsidR="00F440F5" w:rsidRPr="00F440F5" w:rsidRDefault="00F440F5" w:rsidP="00F440F5">
            <w:pPr>
              <w:jc w:val="center"/>
              <w:rPr>
                <w:rFonts w:eastAsia="Times New Roman" w:cstheme="minorHAnsi"/>
                <w:b/>
                <w:bCs/>
                <w:color w:val="000000"/>
                <w:sz w:val="20"/>
                <w:szCs w:val="20"/>
                <w:lang w:eastAsia="nl-BE"/>
              </w:rPr>
            </w:pPr>
            <w:r w:rsidRPr="00F440F5">
              <w:rPr>
                <w:rFonts w:eastAsia="Times New Roman" w:cstheme="minorHAnsi"/>
                <w:b/>
                <w:bCs/>
                <w:color w:val="000000"/>
                <w:sz w:val="20"/>
                <w:szCs w:val="20"/>
                <w:lang w:eastAsia="nl-BE"/>
              </w:rPr>
              <w:t>1.752.381</w:t>
            </w:r>
          </w:p>
        </w:tc>
        <w:tc>
          <w:tcPr>
            <w:tcW w:w="626" w:type="pct"/>
            <w:tcBorders>
              <w:top w:val="single" w:sz="4" w:space="0" w:color="auto"/>
              <w:left w:val="nil"/>
              <w:bottom w:val="single" w:sz="4" w:space="0" w:color="auto"/>
              <w:right w:val="single" w:sz="4" w:space="0" w:color="auto"/>
            </w:tcBorders>
            <w:shd w:val="clear" w:color="auto" w:fill="auto"/>
            <w:noWrap/>
            <w:vAlign w:val="center"/>
            <w:hideMark/>
          </w:tcPr>
          <w:p w14:paraId="08CAA116" w14:textId="77777777" w:rsidR="00F440F5" w:rsidRPr="00F440F5" w:rsidRDefault="00F440F5" w:rsidP="00F440F5">
            <w:pPr>
              <w:jc w:val="center"/>
              <w:rPr>
                <w:rFonts w:eastAsia="Times New Roman" w:cstheme="minorHAnsi"/>
                <w:b/>
                <w:bCs/>
                <w:color w:val="000000"/>
                <w:sz w:val="20"/>
                <w:szCs w:val="20"/>
                <w:lang w:eastAsia="nl-BE"/>
              </w:rPr>
            </w:pPr>
            <w:r w:rsidRPr="00F440F5">
              <w:rPr>
                <w:rFonts w:eastAsia="Times New Roman" w:cstheme="minorHAnsi"/>
                <w:b/>
                <w:bCs/>
                <w:color w:val="000000"/>
                <w:sz w:val="20"/>
                <w:szCs w:val="20"/>
                <w:lang w:eastAsia="nl-BE"/>
              </w:rPr>
              <w:t>1.777.748</w:t>
            </w:r>
          </w:p>
        </w:tc>
        <w:tc>
          <w:tcPr>
            <w:tcW w:w="626" w:type="pct"/>
            <w:tcBorders>
              <w:top w:val="single" w:sz="4" w:space="0" w:color="auto"/>
              <w:left w:val="nil"/>
              <w:bottom w:val="single" w:sz="4" w:space="0" w:color="auto"/>
              <w:right w:val="single" w:sz="4" w:space="0" w:color="auto"/>
            </w:tcBorders>
            <w:shd w:val="clear" w:color="auto" w:fill="auto"/>
            <w:noWrap/>
            <w:vAlign w:val="center"/>
            <w:hideMark/>
          </w:tcPr>
          <w:p w14:paraId="60926E01" w14:textId="77777777" w:rsidR="00F440F5" w:rsidRPr="00F440F5" w:rsidRDefault="00F440F5" w:rsidP="00F440F5">
            <w:pPr>
              <w:jc w:val="center"/>
              <w:rPr>
                <w:rFonts w:eastAsia="Times New Roman" w:cstheme="minorHAnsi"/>
                <w:b/>
                <w:bCs/>
                <w:color w:val="000000"/>
                <w:sz w:val="20"/>
                <w:szCs w:val="20"/>
                <w:lang w:eastAsia="nl-BE"/>
              </w:rPr>
            </w:pPr>
            <w:r w:rsidRPr="00F440F5">
              <w:rPr>
                <w:rFonts w:eastAsia="Times New Roman" w:cstheme="minorHAnsi"/>
                <w:b/>
                <w:bCs/>
                <w:color w:val="000000"/>
                <w:sz w:val="20"/>
                <w:szCs w:val="20"/>
                <w:lang w:eastAsia="nl-BE"/>
              </w:rPr>
              <w:t>1.752.381</w:t>
            </w:r>
          </w:p>
        </w:tc>
        <w:tc>
          <w:tcPr>
            <w:tcW w:w="626" w:type="pct"/>
            <w:tcBorders>
              <w:top w:val="single" w:sz="4" w:space="0" w:color="auto"/>
              <w:left w:val="nil"/>
              <w:bottom w:val="single" w:sz="4" w:space="0" w:color="auto"/>
              <w:right w:val="single" w:sz="4" w:space="0" w:color="auto"/>
            </w:tcBorders>
            <w:shd w:val="clear" w:color="auto" w:fill="auto"/>
            <w:noWrap/>
            <w:vAlign w:val="center"/>
            <w:hideMark/>
          </w:tcPr>
          <w:p w14:paraId="6C931239" w14:textId="77777777" w:rsidR="00F440F5" w:rsidRPr="00F440F5" w:rsidRDefault="00F440F5" w:rsidP="00F440F5">
            <w:pPr>
              <w:jc w:val="center"/>
              <w:rPr>
                <w:rFonts w:eastAsia="Times New Roman" w:cstheme="minorHAnsi"/>
                <w:b/>
                <w:bCs/>
                <w:color w:val="000000"/>
                <w:sz w:val="20"/>
                <w:szCs w:val="20"/>
                <w:lang w:eastAsia="nl-BE"/>
              </w:rPr>
            </w:pPr>
            <w:r w:rsidRPr="00F440F5">
              <w:rPr>
                <w:rFonts w:eastAsia="Times New Roman" w:cstheme="minorHAnsi"/>
                <w:b/>
                <w:bCs/>
                <w:color w:val="000000"/>
                <w:sz w:val="20"/>
                <w:szCs w:val="20"/>
                <w:lang w:eastAsia="nl-BE"/>
              </w:rPr>
              <w:t>1.752.381</w:t>
            </w:r>
          </w:p>
        </w:tc>
        <w:tc>
          <w:tcPr>
            <w:tcW w:w="626" w:type="pct"/>
            <w:tcBorders>
              <w:top w:val="single" w:sz="4" w:space="0" w:color="auto"/>
              <w:left w:val="nil"/>
              <w:bottom w:val="single" w:sz="4" w:space="0" w:color="auto"/>
              <w:right w:val="single" w:sz="4" w:space="0" w:color="auto"/>
            </w:tcBorders>
            <w:shd w:val="clear" w:color="auto" w:fill="auto"/>
            <w:noWrap/>
            <w:vAlign w:val="center"/>
            <w:hideMark/>
          </w:tcPr>
          <w:p w14:paraId="612F0A31" w14:textId="77777777" w:rsidR="00F440F5" w:rsidRPr="00F440F5" w:rsidRDefault="00F440F5" w:rsidP="00F440F5">
            <w:pPr>
              <w:jc w:val="center"/>
              <w:rPr>
                <w:rFonts w:eastAsia="Times New Roman" w:cstheme="minorHAnsi"/>
                <w:b/>
                <w:bCs/>
                <w:color w:val="000000"/>
                <w:sz w:val="20"/>
                <w:szCs w:val="20"/>
                <w:lang w:eastAsia="nl-BE"/>
              </w:rPr>
            </w:pPr>
            <w:r w:rsidRPr="00F440F5">
              <w:rPr>
                <w:rFonts w:eastAsia="Times New Roman" w:cstheme="minorHAnsi"/>
                <w:b/>
                <w:bCs/>
                <w:color w:val="000000"/>
                <w:sz w:val="20"/>
                <w:szCs w:val="20"/>
                <w:lang w:eastAsia="nl-BE"/>
              </w:rPr>
              <w:t>1.752.381</w:t>
            </w:r>
          </w:p>
        </w:tc>
        <w:tc>
          <w:tcPr>
            <w:tcW w:w="626" w:type="pct"/>
            <w:tcBorders>
              <w:top w:val="single" w:sz="4" w:space="0" w:color="auto"/>
              <w:left w:val="nil"/>
              <w:bottom w:val="single" w:sz="4" w:space="0" w:color="auto"/>
              <w:right w:val="single" w:sz="4" w:space="0" w:color="auto"/>
            </w:tcBorders>
            <w:shd w:val="clear" w:color="auto" w:fill="auto"/>
            <w:noWrap/>
            <w:vAlign w:val="center"/>
            <w:hideMark/>
          </w:tcPr>
          <w:p w14:paraId="64A6F2CF" w14:textId="77777777" w:rsidR="00F440F5" w:rsidRPr="00F440F5" w:rsidRDefault="00F440F5" w:rsidP="00F440F5">
            <w:pPr>
              <w:jc w:val="center"/>
              <w:rPr>
                <w:rFonts w:eastAsia="Times New Roman" w:cstheme="minorHAnsi"/>
                <w:b/>
                <w:bCs/>
                <w:color w:val="000000"/>
                <w:sz w:val="20"/>
                <w:szCs w:val="20"/>
                <w:lang w:eastAsia="nl-BE"/>
              </w:rPr>
            </w:pPr>
            <w:r w:rsidRPr="00F440F5">
              <w:rPr>
                <w:rFonts w:eastAsia="Times New Roman" w:cstheme="minorHAnsi"/>
                <w:b/>
                <w:bCs/>
                <w:color w:val="000000"/>
                <w:sz w:val="20"/>
                <w:szCs w:val="20"/>
                <w:lang w:eastAsia="nl-BE"/>
              </w:rPr>
              <w:t>1.752.381</w:t>
            </w:r>
          </w:p>
        </w:tc>
        <w:tc>
          <w:tcPr>
            <w:tcW w:w="626" w:type="pct"/>
            <w:tcBorders>
              <w:top w:val="single" w:sz="4" w:space="0" w:color="auto"/>
              <w:left w:val="nil"/>
              <w:bottom w:val="single" w:sz="4" w:space="0" w:color="auto"/>
              <w:right w:val="single" w:sz="4" w:space="0" w:color="auto"/>
            </w:tcBorders>
            <w:shd w:val="clear" w:color="auto" w:fill="auto"/>
            <w:noWrap/>
            <w:vAlign w:val="center"/>
            <w:hideMark/>
          </w:tcPr>
          <w:p w14:paraId="73BDD673" w14:textId="77777777" w:rsidR="00F440F5" w:rsidRPr="00F440F5" w:rsidRDefault="00F440F5" w:rsidP="00F440F5">
            <w:pPr>
              <w:jc w:val="center"/>
              <w:rPr>
                <w:rFonts w:eastAsia="Times New Roman" w:cstheme="minorHAnsi"/>
                <w:b/>
                <w:bCs/>
                <w:color w:val="000000"/>
                <w:sz w:val="20"/>
                <w:szCs w:val="20"/>
                <w:lang w:eastAsia="nl-BE"/>
              </w:rPr>
            </w:pPr>
            <w:r w:rsidRPr="00F440F5">
              <w:rPr>
                <w:rFonts w:eastAsia="Times New Roman" w:cstheme="minorHAnsi"/>
                <w:b/>
                <w:bCs/>
                <w:color w:val="000000"/>
                <w:sz w:val="20"/>
                <w:szCs w:val="20"/>
                <w:lang w:eastAsia="nl-BE"/>
              </w:rPr>
              <w:t>1.752.381</w:t>
            </w:r>
          </w:p>
        </w:tc>
      </w:tr>
      <w:tr w:rsidR="00F440F5" w:rsidRPr="00F440F5" w14:paraId="4B0627CE" w14:textId="77777777" w:rsidTr="0054699F">
        <w:trPr>
          <w:trHeight w:val="300"/>
        </w:trPr>
        <w:tc>
          <w:tcPr>
            <w:tcW w:w="684" w:type="pct"/>
            <w:tcBorders>
              <w:top w:val="nil"/>
              <w:left w:val="nil"/>
              <w:bottom w:val="nil"/>
              <w:right w:val="nil"/>
            </w:tcBorders>
            <w:shd w:val="clear" w:color="auto" w:fill="auto"/>
            <w:noWrap/>
            <w:vAlign w:val="center"/>
            <w:hideMark/>
          </w:tcPr>
          <w:p w14:paraId="1EF5D23B" w14:textId="77777777" w:rsidR="00F440F5" w:rsidRPr="00F440F5" w:rsidRDefault="00F440F5" w:rsidP="00F440F5">
            <w:pPr>
              <w:jc w:val="center"/>
              <w:rPr>
                <w:rFonts w:eastAsia="Times New Roman" w:cstheme="minorHAnsi"/>
                <w:b/>
                <w:bCs/>
                <w:color w:val="000000"/>
                <w:sz w:val="20"/>
                <w:szCs w:val="20"/>
                <w:lang w:eastAsia="nl-BE"/>
              </w:rPr>
            </w:pPr>
          </w:p>
        </w:tc>
        <w:tc>
          <w:tcPr>
            <w:tcW w:w="281" w:type="pct"/>
            <w:tcBorders>
              <w:top w:val="nil"/>
              <w:left w:val="nil"/>
              <w:bottom w:val="nil"/>
              <w:right w:val="nil"/>
            </w:tcBorders>
            <w:shd w:val="clear" w:color="auto" w:fill="auto"/>
            <w:noWrap/>
            <w:vAlign w:val="center"/>
            <w:hideMark/>
          </w:tcPr>
          <w:p w14:paraId="578EECF6" w14:textId="77777777" w:rsidR="00F440F5" w:rsidRPr="00F440F5" w:rsidRDefault="00F440F5" w:rsidP="00F440F5">
            <w:pPr>
              <w:rPr>
                <w:rFonts w:eastAsia="Times New Roman" w:cstheme="minorHAnsi"/>
                <w:sz w:val="20"/>
                <w:szCs w:val="20"/>
                <w:lang w:eastAsia="nl-BE"/>
              </w:rPr>
            </w:pPr>
          </w:p>
        </w:tc>
        <w:tc>
          <w:tcPr>
            <w:tcW w:w="281" w:type="pct"/>
            <w:tcBorders>
              <w:top w:val="nil"/>
              <w:left w:val="nil"/>
              <w:bottom w:val="nil"/>
              <w:right w:val="nil"/>
            </w:tcBorders>
            <w:shd w:val="clear" w:color="auto" w:fill="auto"/>
            <w:noWrap/>
            <w:vAlign w:val="center"/>
            <w:hideMark/>
          </w:tcPr>
          <w:p w14:paraId="212576CE" w14:textId="77777777" w:rsidR="00F440F5" w:rsidRPr="00F440F5" w:rsidRDefault="00F440F5" w:rsidP="00F440F5">
            <w:pPr>
              <w:jc w:val="center"/>
              <w:rPr>
                <w:rFonts w:eastAsia="Times New Roman" w:cstheme="minorHAnsi"/>
                <w:sz w:val="20"/>
                <w:szCs w:val="20"/>
                <w:lang w:eastAsia="nl-BE"/>
              </w:rPr>
            </w:pPr>
          </w:p>
        </w:tc>
        <w:tc>
          <w:tcPr>
            <w:tcW w:w="626" w:type="pct"/>
            <w:tcBorders>
              <w:top w:val="nil"/>
              <w:left w:val="nil"/>
              <w:bottom w:val="nil"/>
              <w:right w:val="nil"/>
            </w:tcBorders>
            <w:shd w:val="clear" w:color="auto" w:fill="auto"/>
            <w:noWrap/>
            <w:vAlign w:val="center"/>
            <w:hideMark/>
          </w:tcPr>
          <w:p w14:paraId="354B83B8" w14:textId="77777777" w:rsidR="00F440F5" w:rsidRPr="00F440F5" w:rsidRDefault="00F440F5" w:rsidP="00F440F5">
            <w:pPr>
              <w:jc w:val="center"/>
              <w:rPr>
                <w:rFonts w:eastAsia="Times New Roman" w:cstheme="minorHAnsi"/>
                <w:sz w:val="20"/>
                <w:szCs w:val="20"/>
                <w:lang w:eastAsia="nl-BE"/>
              </w:rPr>
            </w:pPr>
          </w:p>
        </w:tc>
        <w:tc>
          <w:tcPr>
            <w:tcW w:w="626" w:type="pct"/>
            <w:tcBorders>
              <w:top w:val="nil"/>
              <w:left w:val="nil"/>
              <w:bottom w:val="nil"/>
              <w:right w:val="nil"/>
            </w:tcBorders>
            <w:shd w:val="clear" w:color="auto" w:fill="auto"/>
            <w:noWrap/>
            <w:vAlign w:val="center"/>
            <w:hideMark/>
          </w:tcPr>
          <w:p w14:paraId="2D08FD3E" w14:textId="77777777" w:rsidR="00F440F5" w:rsidRPr="00F440F5" w:rsidRDefault="00F440F5" w:rsidP="00F440F5">
            <w:pPr>
              <w:jc w:val="center"/>
              <w:rPr>
                <w:rFonts w:eastAsia="Times New Roman" w:cstheme="minorHAnsi"/>
                <w:sz w:val="20"/>
                <w:szCs w:val="20"/>
                <w:lang w:eastAsia="nl-BE"/>
              </w:rPr>
            </w:pPr>
          </w:p>
        </w:tc>
        <w:tc>
          <w:tcPr>
            <w:tcW w:w="626" w:type="pct"/>
            <w:tcBorders>
              <w:top w:val="nil"/>
              <w:left w:val="nil"/>
              <w:bottom w:val="nil"/>
              <w:right w:val="nil"/>
            </w:tcBorders>
            <w:shd w:val="clear" w:color="auto" w:fill="auto"/>
            <w:noWrap/>
            <w:vAlign w:val="center"/>
            <w:hideMark/>
          </w:tcPr>
          <w:p w14:paraId="4CE7ED5E" w14:textId="77777777" w:rsidR="00F440F5" w:rsidRPr="00F440F5" w:rsidRDefault="00F440F5" w:rsidP="00F440F5">
            <w:pPr>
              <w:jc w:val="center"/>
              <w:rPr>
                <w:rFonts w:eastAsia="Times New Roman" w:cstheme="minorHAnsi"/>
                <w:sz w:val="20"/>
                <w:szCs w:val="20"/>
                <w:lang w:eastAsia="nl-BE"/>
              </w:rPr>
            </w:pPr>
          </w:p>
        </w:tc>
        <w:tc>
          <w:tcPr>
            <w:tcW w:w="626" w:type="pct"/>
            <w:tcBorders>
              <w:top w:val="nil"/>
              <w:left w:val="nil"/>
              <w:bottom w:val="nil"/>
              <w:right w:val="nil"/>
            </w:tcBorders>
            <w:shd w:val="clear" w:color="auto" w:fill="auto"/>
            <w:noWrap/>
            <w:vAlign w:val="center"/>
            <w:hideMark/>
          </w:tcPr>
          <w:p w14:paraId="788A11AD" w14:textId="77777777" w:rsidR="00F440F5" w:rsidRPr="00F440F5" w:rsidRDefault="00F440F5" w:rsidP="00F440F5">
            <w:pPr>
              <w:jc w:val="center"/>
              <w:rPr>
                <w:rFonts w:eastAsia="Times New Roman" w:cstheme="minorHAnsi"/>
                <w:sz w:val="20"/>
                <w:szCs w:val="20"/>
                <w:lang w:eastAsia="nl-BE"/>
              </w:rPr>
            </w:pPr>
          </w:p>
        </w:tc>
        <w:tc>
          <w:tcPr>
            <w:tcW w:w="626" w:type="pct"/>
            <w:tcBorders>
              <w:top w:val="nil"/>
              <w:left w:val="nil"/>
              <w:bottom w:val="nil"/>
              <w:right w:val="nil"/>
            </w:tcBorders>
            <w:shd w:val="clear" w:color="auto" w:fill="auto"/>
            <w:noWrap/>
            <w:vAlign w:val="center"/>
            <w:hideMark/>
          </w:tcPr>
          <w:p w14:paraId="63D51494" w14:textId="77777777" w:rsidR="00F440F5" w:rsidRPr="00F440F5" w:rsidRDefault="00F440F5" w:rsidP="00F440F5">
            <w:pPr>
              <w:jc w:val="center"/>
              <w:rPr>
                <w:rFonts w:eastAsia="Times New Roman" w:cstheme="minorHAnsi"/>
                <w:sz w:val="20"/>
                <w:szCs w:val="20"/>
                <w:lang w:eastAsia="nl-BE"/>
              </w:rPr>
            </w:pPr>
          </w:p>
        </w:tc>
        <w:tc>
          <w:tcPr>
            <w:tcW w:w="626" w:type="pct"/>
            <w:tcBorders>
              <w:top w:val="nil"/>
              <w:left w:val="nil"/>
              <w:bottom w:val="nil"/>
              <w:right w:val="nil"/>
            </w:tcBorders>
            <w:shd w:val="clear" w:color="auto" w:fill="auto"/>
            <w:noWrap/>
            <w:vAlign w:val="center"/>
            <w:hideMark/>
          </w:tcPr>
          <w:p w14:paraId="00835FFD" w14:textId="77777777" w:rsidR="00F440F5" w:rsidRPr="00F440F5" w:rsidRDefault="00F440F5" w:rsidP="00F440F5">
            <w:pPr>
              <w:jc w:val="center"/>
              <w:rPr>
                <w:rFonts w:eastAsia="Times New Roman" w:cstheme="minorHAnsi"/>
                <w:sz w:val="20"/>
                <w:szCs w:val="20"/>
                <w:lang w:eastAsia="nl-BE"/>
              </w:rPr>
            </w:pPr>
          </w:p>
        </w:tc>
      </w:tr>
      <w:tr w:rsidR="0054699F" w:rsidRPr="0054699F" w14:paraId="110E0193" w14:textId="77777777" w:rsidTr="0054699F">
        <w:trPr>
          <w:trHeight w:val="300"/>
        </w:trPr>
        <w:tc>
          <w:tcPr>
            <w:tcW w:w="684"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4631DAD6" w14:textId="77777777" w:rsidR="00F440F5" w:rsidRPr="00F440F5" w:rsidRDefault="00F440F5" w:rsidP="00F440F5">
            <w:pPr>
              <w:rPr>
                <w:rFonts w:eastAsia="Times New Roman" w:cstheme="minorHAnsi"/>
                <w:b/>
                <w:bCs/>
                <w:color w:val="000000"/>
                <w:sz w:val="20"/>
                <w:szCs w:val="20"/>
                <w:lang w:eastAsia="nl-BE"/>
              </w:rPr>
            </w:pPr>
            <w:r w:rsidRPr="00F440F5">
              <w:rPr>
                <w:rFonts w:eastAsia="Times New Roman" w:cstheme="minorHAnsi"/>
                <w:b/>
                <w:bCs/>
                <w:color w:val="000000"/>
                <w:sz w:val="20"/>
                <w:szCs w:val="20"/>
                <w:lang w:eastAsia="nl-BE"/>
              </w:rPr>
              <w:t>Bruto-opcentiemen</w:t>
            </w:r>
          </w:p>
        </w:tc>
        <w:tc>
          <w:tcPr>
            <w:tcW w:w="281" w:type="pct"/>
            <w:tcBorders>
              <w:top w:val="single" w:sz="4" w:space="0" w:color="auto"/>
              <w:left w:val="nil"/>
              <w:bottom w:val="single" w:sz="4" w:space="0" w:color="auto"/>
              <w:right w:val="single" w:sz="4" w:space="0" w:color="auto"/>
            </w:tcBorders>
            <w:shd w:val="clear" w:color="000000" w:fill="FFFF00"/>
            <w:noWrap/>
            <w:vAlign w:val="center"/>
            <w:hideMark/>
          </w:tcPr>
          <w:p w14:paraId="01A51040" w14:textId="77777777" w:rsidR="00F440F5" w:rsidRPr="00F440F5" w:rsidRDefault="00F440F5" w:rsidP="00F440F5">
            <w:pPr>
              <w:jc w:val="center"/>
              <w:rPr>
                <w:rFonts w:eastAsia="Times New Roman" w:cstheme="minorHAnsi"/>
                <w:b/>
                <w:bCs/>
                <w:color w:val="000000"/>
                <w:sz w:val="20"/>
                <w:szCs w:val="20"/>
                <w:lang w:eastAsia="nl-BE"/>
              </w:rPr>
            </w:pPr>
            <w:r w:rsidRPr="00F440F5">
              <w:rPr>
                <w:rFonts w:eastAsia="Times New Roman" w:cstheme="minorHAnsi"/>
                <w:b/>
                <w:bCs/>
                <w:color w:val="000000"/>
                <w:sz w:val="20"/>
                <w:szCs w:val="20"/>
                <w:lang w:eastAsia="nl-BE"/>
              </w:rPr>
              <w:t>7.871.740</w:t>
            </w:r>
          </w:p>
        </w:tc>
        <w:tc>
          <w:tcPr>
            <w:tcW w:w="281" w:type="pct"/>
            <w:tcBorders>
              <w:top w:val="single" w:sz="4" w:space="0" w:color="auto"/>
              <w:left w:val="nil"/>
              <w:bottom w:val="single" w:sz="4" w:space="0" w:color="auto"/>
              <w:right w:val="single" w:sz="4" w:space="0" w:color="auto"/>
            </w:tcBorders>
            <w:shd w:val="clear" w:color="000000" w:fill="FFFF00"/>
            <w:noWrap/>
            <w:vAlign w:val="center"/>
            <w:hideMark/>
          </w:tcPr>
          <w:p w14:paraId="346D05D2" w14:textId="77777777" w:rsidR="00F440F5" w:rsidRPr="00F440F5" w:rsidRDefault="00F440F5" w:rsidP="00F440F5">
            <w:pPr>
              <w:jc w:val="center"/>
              <w:rPr>
                <w:rFonts w:eastAsia="Times New Roman" w:cstheme="minorHAnsi"/>
                <w:b/>
                <w:bCs/>
                <w:color w:val="000000"/>
                <w:sz w:val="20"/>
                <w:szCs w:val="20"/>
                <w:lang w:eastAsia="nl-BE"/>
              </w:rPr>
            </w:pPr>
            <w:r w:rsidRPr="00F440F5">
              <w:rPr>
                <w:rFonts w:eastAsia="Times New Roman" w:cstheme="minorHAnsi"/>
                <w:b/>
                <w:bCs/>
                <w:color w:val="000000"/>
                <w:sz w:val="20"/>
                <w:szCs w:val="20"/>
                <w:lang w:eastAsia="nl-BE"/>
              </w:rPr>
              <w:t>7.920.717</w:t>
            </w:r>
          </w:p>
        </w:tc>
        <w:tc>
          <w:tcPr>
            <w:tcW w:w="626" w:type="pct"/>
            <w:tcBorders>
              <w:top w:val="single" w:sz="4" w:space="0" w:color="auto"/>
              <w:left w:val="nil"/>
              <w:bottom w:val="single" w:sz="4" w:space="0" w:color="auto"/>
              <w:right w:val="single" w:sz="4" w:space="0" w:color="auto"/>
            </w:tcBorders>
            <w:shd w:val="clear" w:color="000000" w:fill="FFFF00"/>
            <w:noWrap/>
            <w:vAlign w:val="center"/>
            <w:hideMark/>
          </w:tcPr>
          <w:p w14:paraId="55852753" w14:textId="77777777" w:rsidR="00F440F5" w:rsidRPr="00F440F5" w:rsidRDefault="00F440F5" w:rsidP="00F440F5">
            <w:pPr>
              <w:jc w:val="center"/>
              <w:rPr>
                <w:rFonts w:eastAsia="Times New Roman" w:cstheme="minorHAnsi"/>
                <w:b/>
                <w:bCs/>
                <w:color w:val="000000"/>
                <w:sz w:val="20"/>
                <w:szCs w:val="20"/>
                <w:lang w:eastAsia="nl-BE"/>
              </w:rPr>
            </w:pPr>
            <w:r w:rsidRPr="00F440F5">
              <w:rPr>
                <w:rFonts w:eastAsia="Times New Roman" w:cstheme="minorHAnsi"/>
                <w:b/>
                <w:bCs/>
                <w:color w:val="000000"/>
                <w:sz w:val="20"/>
                <w:szCs w:val="20"/>
                <w:lang w:eastAsia="nl-BE"/>
              </w:rPr>
              <w:t>7.915.652</w:t>
            </w:r>
          </w:p>
        </w:tc>
        <w:tc>
          <w:tcPr>
            <w:tcW w:w="626" w:type="pct"/>
            <w:tcBorders>
              <w:top w:val="single" w:sz="4" w:space="0" w:color="auto"/>
              <w:left w:val="nil"/>
              <w:bottom w:val="single" w:sz="4" w:space="0" w:color="auto"/>
              <w:right w:val="single" w:sz="4" w:space="0" w:color="auto"/>
            </w:tcBorders>
            <w:shd w:val="clear" w:color="000000" w:fill="FFFF00"/>
            <w:noWrap/>
            <w:vAlign w:val="center"/>
            <w:hideMark/>
          </w:tcPr>
          <w:p w14:paraId="70427EEB" w14:textId="77777777" w:rsidR="00F440F5" w:rsidRPr="00F440F5" w:rsidRDefault="00F440F5" w:rsidP="00F440F5">
            <w:pPr>
              <w:jc w:val="center"/>
              <w:rPr>
                <w:rFonts w:eastAsia="Times New Roman" w:cstheme="minorHAnsi"/>
                <w:b/>
                <w:bCs/>
                <w:color w:val="000000"/>
                <w:sz w:val="20"/>
                <w:szCs w:val="20"/>
                <w:lang w:eastAsia="nl-BE"/>
              </w:rPr>
            </w:pPr>
            <w:r w:rsidRPr="00F440F5">
              <w:rPr>
                <w:rFonts w:eastAsia="Times New Roman" w:cstheme="minorHAnsi"/>
                <w:b/>
                <w:bCs/>
                <w:color w:val="000000"/>
                <w:sz w:val="20"/>
                <w:szCs w:val="20"/>
                <w:lang w:eastAsia="nl-BE"/>
              </w:rPr>
              <w:t>7.920.717</w:t>
            </w:r>
          </w:p>
        </w:tc>
        <w:tc>
          <w:tcPr>
            <w:tcW w:w="626" w:type="pct"/>
            <w:tcBorders>
              <w:top w:val="single" w:sz="4" w:space="0" w:color="auto"/>
              <w:left w:val="nil"/>
              <w:bottom w:val="single" w:sz="4" w:space="0" w:color="auto"/>
              <w:right w:val="single" w:sz="4" w:space="0" w:color="auto"/>
            </w:tcBorders>
            <w:shd w:val="clear" w:color="000000" w:fill="FFFF00"/>
            <w:noWrap/>
            <w:vAlign w:val="center"/>
            <w:hideMark/>
          </w:tcPr>
          <w:p w14:paraId="420BE4C6" w14:textId="77777777" w:rsidR="00F440F5" w:rsidRPr="00F440F5" w:rsidRDefault="00F440F5" w:rsidP="00F440F5">
            <w:pPr>
              <w:jc w:val="center"/>
              <w:rPr>
                <w:rFonts w:eastAsia="Times New Roman" w:cstheme="minorHAnsi"/>
                <w:b/>
                <w:bCs/>
                <w:color w:val="000000"/>
                <w:sz w:val="20"/>
                <w:szCs w:val="20"/>
                <w:lang w:eastAsia="nl-BE"/>
              </w:rPr>
            </w:pPr>
            <w:r w:rsidRPr="00F440F5">
              <w:rPr>
                <w:rFonts w:eastAsia="Times New Roman" w:cstheme="minorHAnsi"/>
                <w:b/>
                <w:bCs/>
                <w:color w:val="000000"/>
                <w:sz w:val="20"/>
                <w:szCs w:val="20"/>
                <w:lang w:eastAsia="nl-BE"/>
              </w:rPr>
              <w:t>7.922.169</w:t>
            </w:r>
          </w:p>
        </w:tc>
        <w:tc>
          <w:tcPr>
            <w:tcW w:w="626" w:type="pct"/>
            <w:tcBorders>
              <w:top w:val="single" w:sz="4" w:space="0" w:color="auto"/>
              <w:left w:val="nil"/>
              <w:bottom w:val="single" w:sz="4" w:space="0" w:color="auto"/>
              <w:right w:val="single" w:sz="4" w:space="0" w:color="auto"/>
            </w:tcBorders>
            <w:shd w:val="clear" w:color="000000" w:fill="FFFF00"/>
            <w:noWrap/>
            <w:vAlign w:val="center"/>
            <w:hideMark/>
          </w:tcPr>
          <w:p w14:paraId="5D544CE1" w14:textId="77777777" w:rsidR="00F440F5" w:rsidRPr="00F440F5" w:rsidRDefault="00F440F5" w:rsidP="00F440F5">
            <w:pPr>
              <w:jc w:val="center"/>
              <w:rPr>
                <w:rFonts w:eastAsia="Times New Roman" w:cstheme="minorHAnsi"/>
                <w:b/>
                <w:bCs/>
                <w:color w:val="000000"/>
                <w:sz w:val="20"/>
                <w:szCs w:val="20"/>
                <w:lang w:eastAsia="nl-BE"/>
              </w:rPr>
            </w:pPr>
            <w:r w:rsidRPr="00F440F5">
              <w:rPr>
                <w:rFonts w:eastAsia="Times New Roman" w:cstheme="minorHAnsi"/>
                <w:b/>
                <w:bCs/>
                <w:color w:val="000000"/>
                <w:sz w:val="20"/>
                <w:szCs w:val="20"/>
                <w:lang w:eastAsia="nl-BE"/>
              </w:rPr>
              <w:t>7.923.492</w:t>
            </w:r>
          </w:p>
        </w:tc>
        <w:tc>
          <w:tcPr>
            <w:tcW w:w="626" w:type="pct"/>
            <w:tcBorders>
              <w:top w:val="single" w:sz="4" w:space="0" w:color="auto"/>
              <w:left w:val="nil"/>
              <w:bottom w:val="single" w:sz="4" w:space="0" w:color="auto"/>
              <w:right w:val="single" w:sz="4" w:space="0" w:color="auto"/>
            </w:tcBorders>
            <w:shd w:val="clear" w:color="000000" w:fill="FFFF00"/>
            <w:noWrap/>
            <w:vAlign w:val="center"/>
            <w:hideMark/>
          </w:tcPr>
          <w:p w14:paraId="0616427C" w14:textId="77777777" w:rsidR="00F440F5" w:rsidRPr="00F440F5" w:rsidRDefault="00F440F5" w:rsidP="00F440F5">
            <w:pPr>
              <w:jc w:val="center"/>
              <w:rPr>
                <w:rFonts w:eastAsia="Times New Roman" w:cstheme="minorHAnsi"/>
                <w:b/>
                <w:bCs/>
                <w:color w:val="000000"/>
                <w:sz w:val="20"/>
                <w:szCs w:val="20"/>
                <w:lang w:eastAsia="nl-BE"/>
              </w:rPr>
            </w:pPr>
            <w:r w:rsidRPr="00F440F5">
              <w:rPr>
                <w:rFonts w:eastAsia="Times New Roman" w:cstheme="minorHAnsi"/>
                <w:b/>
                <w:bCs/>
                <w:color w:val="000000"/>
                <w:sz w:val="20"/>
                <w:szCs w:val="20"/>
                <w:lang w:eastAsia="nl-BE"/>
              </w:rPr>
              <w:t>7.917.279</w:t>
            </w:r>
          </w:p>
        </w:tc>
        <w:tc>
          <w:tcPr>
            <w:tcW w:w="626" w:type="pct"/>
            <w:tcBorders>
              <w:top w:val="single" w:sz="4" w:space="0" w:color="auto"/>
              <w:left w:val="nil"/>
              <w:bottom w:val="single" w:sz="4" w:space="0" w:color="auto"/>
              <w:right w:val="single" w:sz="4" w:space="0" w:color="auto"/>
            </w:tcBorders>
            <w:shd w:val="clear" w:color="000000" w:fill="FFFF00"/>
            <w:noWrap/>
            <w:vAlign w:val="center"/>
            <w:hideMark/>
          </w:tcPr>
          <w:p w14:paraId="1F01545C" w14:textId="77777777" w:rsidR="00F440F5" w:rsidRPr="00F440F5" w:rsidRDefault="00F440F5" w:rsidP="00F440F5">
            <w:pPr>
              <w:jc w:val="center"/>
              <w:rPr>
                <w:rFonts w:eastAsia="Times New Roman" w:cstheme="minorHAnsi"/>
                <w:b/>
                <w:bCs/>
                <w:color w:val="000000"/>
                <w:sz w:val="20"/>
                <w:szCs w:val="20"/>
                <w:lang w:eastAsia="nl-BE"/>
              </w:rPr>
            </w:pPr>
            <w:r w:rsidRPr="00F440F5">
              <w:rPr>
                <w:rFonts w:eastAsia="Times New Roman" w:cstheme="minorHAnsi"/>
                <w:b/>
                <w:bCs/>
                <w:color w:val="000000"/>
                <w:sz w:val="20"/>
                <w:szCs w:val="20"/>
                <w:lang w:eastAsia="nl-BE"/>
              </w:rPr>
              <w:t>7.922.303</w:t>
            </w:r>
          </w:p>
        </w:tc>
      </w:tr>
    </w:tbl>
    <w:p w14:paraId="0143203E" w14:textId="070F9440" w:rsidR="00F440F5" w:rsidRDefault="00F440F5" w:rsidP="00F617F9">
      <w:pPr>
        <w:rPr>
          <w:rFonts w:asciiTheme="majorHAnsi" w:eastAsiaTheme="majorEastAsia" w:hAnsiTheme="majorHAnsi" w:cstheme="majorBidi"/>
          <w:b/>
          <w:bCs/>
          <w:color w:val="4F81BD" w:themeColor="accent1"/>
        </w:rPr>
      </w:pPr>
    </w:p>
    <w:p w14:paraId="7BB71996" w14:textId="3A5D947E" w:rsidR="00F440F5" w:rsidRDefault="00F440F5" w:rsidP="00F617F9">
      <w:pPr>
        <w:rPr>
          <w:rFonts w:asciiTheme="majorHAnsi" w:eastAsiaTheme="majorEastAsia" w:hAnsiTheme="majorHAnsi" w:cstheme="majorBidi"/>
          <w:b/>
          <w:bCs/>
          <w:color w:val="4F81BD" w:themeColor="accent1"/>
        </w:rPr>
      </w:pPr>
    </w:p>
    <w:p w14:paraId="33166923" w14:textId="7DCC2280" w:rsidR="00F440F5" w:rsidRDefault="00F440F5" w:rsidP="00F617F9">
      <w:pPr>
        <w:rPr>
          <w:rFonts w:asciiTheme="majorHAnsi" w:eastAsiaTheme="majorEastAsia" w:hAnsiTheme="majorHAnsi" w:cstheme="majorBidi"/>
          <w:b/>
          <w:bCs/>
          <w:color w:val="4F81BD" w:themeColor="accent1"/>
        </w:rPr>
      </w:pPr>
    </w:p>
    <w:p w14:paraId="1B5490F2" w14:textId="77777777" w:rsidR="00F440F5" w:rsidRDefault="00F440F5" w:rsidP="00F617F9">
      <w:pPr>
        <w:rPr>
          <w:rFonts w:asciiTheme="majorHAnsi" w:eastAsiaTheme="majorEastAsia" w:hAnsiTheme="majorHAnsi" w:cstheme="majorBidi"/>
          <w:b/>
          <w:bCs/>
          <w:color w:val="4F81BD" w:themeColor="accent1"/>
        </w:rPr>
      </w:pPr>
    </w:p>
    <w:p w14:paraId="2A8D3AA5" w14:textId="77777777" w:rsidR="00F440F5" w:rsidRDefault="00F440F5" w:rsidP="00F617F9">
      <w:pPr>
        <w:rPr>
          <w:rFonts w:asciiTheme="majorHAnsi" w:eastAsiaTheme="majorEastAsia" w:hAnsiTheme="majorHAnsi" w:cstheme="majorBidi"/>
          <w:b/>
          <w:bCs/>
          <w:color w:val="4F81BD" w:themeColor="accent1"/>
        </w:rPr>
        <w:sectPr w:rsidR="00F440F5" w:rsidSect="00F440F5">
          <w:pgSz w:w="16838" w:h="11906" w:orient="landscape"/>
          <w:pgMar w:top="1418" w:right="1418" w:bottom="1418" w:left="1418" w:header="709" w:footer="709" w:gutter="0"/>
          <w:cols w:space="708"/>
          <w:docGrid w:linePitch="360"/>
        </w:sectPr>
      </w:pPr>
    </w:p>
    <w:p w14:paraId="2382271F" w14:textId="5D01D675" w:rsidR="00F440F5" w:rsidRPr="00F617F9" w:rsidRDefault="00F440F5" w:rsidP="00F617F9">
      <w:pPr>
        <w:rPr>
          <w:rFonts w:asciiTheme="majorHAnsi" w:eastAsiaTheme="majorEastAsia" w:hAnsiTheme="majorHAnsi" w:cstheme="majorBidi"/>
          <w:b/>
          <w:bCs/>
          <w:color w:val="4F81BD" w:themeColor="accent1"/>
        </w:rPr>
      </w:pPr>
    </w:p>
    <w:sectPr w:rsidR="00F440F5" w:rsidRPr="00F617F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EFC2F" w14:textId="77777777" w:rsidR="00BD71A1" w:rsidRDefault="00BD71A1" w:rsidP="00353CA4">
      <w:r>
        <w:separator/>
      </w:r>
    </w:p>
  </w:endnote>
  <w:endnote w:type="continuationSeparator" w:id="0">
    <w:p w14:paraId="6639B5E9" w14:textId="77777777" w:rsidR="00BD71A1" w:rsidRDefault="00BD71A1" w:rsidP="00353CA4">
      <w:r>
        <w:continuationSeparator/>
      </w:r>
    </w:p>
  </w:endnote>
  <w:endnote w:type="continuationNotice" w:id="1">
    <w:p w14:paraId="7F616B19" w14:textId="77777777" w:rsidR="00BD71A1" w:rsidRDefault="00BD71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4968465"/>
      <w:docPartObj>
        <w:docPartGallery w:val="Page Numbers (Bottom of Page)"/>
        <w:docPartUnique/>
      </w:docPartObj>
    </w:sdtPr>
    <w:sdtEndPr/>
    <w:sdtContent>
      <w:p w14:paraId="2DD6B33E" w14:textId="4F551A1C" w:rsidR="00DA260E" w:rsidRDefault="00DA260E">
        <w:pPr>
          <w:pStyle w:val="Voettekst"/>
          <w:jc w:val="center"/>
        </w:pPr>
        <w:r>
          <w:fldChar w:fldCharType="begin"/>
        </w:r>
        <w:r>
          <w:instrText>PAGE   \* MERGEFORMAT</w:instrText>
        </w:r>
        <w:r>
          <w:fldChar w:fldCharType="separate"/>
        </w:r>
        <w:r w:rsidRPr="00454CBF">
          <w:rPr>
            <w:noProof/>
            <w:lang w:val="nl-NL"/>
          </w:rPr>
          <w:t>5</w:t>
        </w:r>
        <w:r>
          <w:fldChar w:fldCharType="end"/>
        </w:r>
      </w:p>
    </w:sdtContent>
  </w:sdt>
  <w:p w14:paraId="20A72F7C" w14:textId="77777777" w:rsidR="00DA260E" w:rsidRDefault="00DA260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96918" w14:textId="77777777" w:rsidR="00BD71A1" w:rsidRDefault="00BD71A1" w:rsidP="00353CA4">
      <w:r>
        <w:separator/>
      </w:r>
    </w:p>
  </w:footnote>
  <w:footnote w:type="continuationSeparator" w:id="0">
    <w:p w14:paraId="13547A1C" w14:textId="77777777" w:rsidR="00BD71A1" w:rsidRDefault="00BD71A1" w:rsidP="00353CA4">
      <w:r>
        <w:continuationSeparator/>
      </w:r>
    </w:p>
  </w:footnote>
  <w:footnote w:type="continuationNotice" w:id="1">
    <w:p w14:paraId="043F4663" w14:textId="77777777" w:rsidR="00BD71A1" w:rsidRDefault="00BD71A1"/>
  </w:footnote>
  <w:footnote w:id="2">
    <w:p w14:paraId="7B851E06" w14:textId="77777777" w:rsidR="00DA260E" w:rsidRDefault="00DA260E" w:rsidP="003B2F51">
      <w:pPr>
        <w:pStyle w:val="Voetnoottekst"/>
      </w:pPr>
      <w:r>
        <w:rPr>
          <w:rStyle w:val="Voetnootmarkering"/>
        </w:rPr>
        <w:footnoteRef/>
      </w:r>
      <w:r>
        <w:t xml:space="preserve"> Dit om rekening te houden met de betaaltermijn van 2 maanden.</w:t>
      </w:r>
    </w:p>
  </w:footnote>
  <w:footnote w:id="3">
    <w:p w14:paraId="436E6C91" w14:textId="052C583B" w:rsidR="00DA260E" w:rsidRDefault="00DA260E">
      <w:pPr>
        <w:pStyle w:val="Voetnoottekst"/>
      </w:pPr>
      <w:r>
        <w:rPr>
          <w:rStyle w:val="Voetnootmarkering"/>
        </w:rPr>
        <w:footnoteRef/>
      </w:r>
      <w:r>
        <w:t xml:space="preserve"> In de periode 2012-2018 is er in totaal 423,4 miljoen euro opgestroomd vanuit Ethias NV naar Vitrufin die tot S 13.12 behoort.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0126E"/>
    <w:multiLevelType w:val="multilevel"/>
    <w:tmpl w:val="BE96F2BC"/>
    <w:lvl w:ilvl="0">
      <w:start w:val="1"/>
      <w:numFmt w:val="decimal"/>
      <w:lvlText w:val="%1."/>
      <w:lvlJc w:val="left"/>
      <w:pPr>
        <w:ind w:left="396" w:hanging="396"/>
      </w:pPr>
      <w:rPr>
        <w:rFonts w:hint="default"/>
      </w:rPr>
    </w:lvl>
    <w:lvl w:ilvl="1">
      <w:start w:val="1"/>
      <w:numFmt w:val="decimal"/>
      <w:lvlText w:val="%1.%2)"/>
      <w:lvlJc w:val="left"/>
      <w:pPr>
        <w:ind w:left="2136" w:hanging="72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128" w:hanging="1800"/>
      </w:pPr>
      <w:rPr>
        <w:rFonts w:hint="default"/>
      </w:rPr>
    </w:lvl>
  </w:abstractNum>
  <w:abstractNum w:abstractNumId="1" w15:restartNumberingAfterBreak="0">
    <w:nsid w:val="06DB31D7"/>
    <w:multiLevelType w:val="hybridMultilevel"/>
    <w:tmpl w:val="B8DC773E"/>
    <w:lvl w:ilvl="0" w:tplc="51E2DD0C">
      <w:numFmt w:val="bullet"/>
      <w:lvlText w:val="-"/>
      <w:lvlJc w:val="left"/>
      <w:pPr>
        <w:ind w:left="1065" w:hanging="360"/>
      </w:pPr>
      <w:rPr>
        <w:rFonts w:ascii="Calibri" w:eastAsiaTheme="minorHAnsi" w:hAnsi="Calibri" w:cstheme="minorBidi" w:hint="default"/>
      </w:rPr>
    </w:lvl>
    <w:lvl w:ilvl="1" w:tplc="08130003">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abstractNum w:abstractNumId="2" w15:restartNumberingAfterBreak="0">
    <w:nsid w:val="0E144C64"/>
    <w:multiLevelType w:val="hybridMultilevel"/>
    <w:tmpl w:val="A4E223D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15:restartNumberingAfterBreak="0">
    <w:nsid w:val="126F5F6D"/>
    <w:multiLevelType w:val="hybridMultilevel"/>
    <w:tmpl w:val="5C523804"/>
    <w:lvl w:ilvl="0" w:tplc="B058D066">
      <w:start w:val="2"/>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3886ACD"/>
    <w:multiLevelType w:val="hybridMultilevel"/>
    <w:tmpl w:val="4E440C54"/>
    <w:lvl w:ilvl="0" w:tplc="08130011">
      <w:start w:val="1"/>
      <w:numFmt w:val="decimal"/>
      <w:lvlText w:val="%1)"/>
      <w:lvlJc w:val="left"/>
      <w:pPr>
        <w:ind w:left="720" w:hanging="360"/>
      </w:pPr>
      <w:rPr>
        <w:rFonts w:hint="default"/>
      </w:rPr>
    </w:lvl>
    <w:lvl w:ilvl="1" w:tplc="4C1663CC">
      <w:start w:val="1"/>
      <w:numFmt w:val="decimal"/>
      <w:lvlText w:val="%2."/>
      <w:lvlJc w:val="left"/>
      <w:pPr>
        <w:ind w:left="1776" w:hanging="696"/>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7A95A34"/>
    <w:multiLevelType w:val="hybridMultilevel"/>
    <w:tmpl w:val="27AAEF08"/>
    <w:lvl w:ilvl="0" w:tplc="0813001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A573B58"/>
    <w:multiLevelType w:val="multilevel"/>
    <w:tmpl w:val="BE96F2BC"/>
    <w:lvl w:ilvl="0">
      <w:start w:val="1"/>
      <w:numFmt w:val="decimal"/>
      <w:lvlText w:val="%1."/>
      <w:lvlJc w:val="left"/>
      <w:pPr>
        <w:ind w:left="396" w:hanging="396"/>
      </w:pPr>
      <w:rPr>
        <w:rFonts w:hint="default"/>
      </w:rPr>
    </w:lvl>
    <w:lvl w:ilvl="1">
      <w:start w:val="1"/>
      <w:numFmt w:val="decimal"/>
      <w:lvlText w:val="%1.%2)"/>
      <w:lvlJc w:val="left"/>
      <w:pPr>
        <w:ind w:left="2136" w:hanging="72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128" w:hanging="1800"/>
      </w:pPr>
      <w:rPr>
        <w:rFonts w:hint="default"/>
      </w:rPr>
    </w:lvl>
  </w:abstractNum>
  <w:abstractNum w:abstractNumId="7" w15:restartNumberingAfterBreak="0">
    <w:nsid w:val="25903EE4"/>
    <w:multiLevelType w:val="hybridMultilevel"/>
    <w:tmpl w:val="769E0EF2"/>
    <w:lvl w:ilvl="0" w:tplc="1EDC2BF4">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B4D775C"/>
    <w:multiLevelType w:val="hybridMultilevel"/>
    <w:tmpl w:val="11A2DE5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B947797"/>
    <w:multiLevelType w:val="multilevel"/>
    <w:tmpl w:val="1E8E96A6"/>
    <w:lvl w:ilvl="0">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D2D43C4"/>
    <w:multiLevelType w:val="multilevel"/>
    <w:tmpl w:val="0D12E9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DD448C3"/>
    <w:multiLevelType w:val="hybridMultilevel"/>
    <w:tmpl w:val="0428EDE0"/>
    <w:lvl w:ilvl="0" w:tplc="74B831DA">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1193B34"/>
    <w:multiLevelType w:val="hybridMultilevel"/>
    <w:tmpl w:val="06D46A3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31CC2491"/>
    <w:multiLevelType w:val="hybridMultilevel"/>
    <w:tmpl w:val="E79862B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33DF3084"/>
    <w:multiLevelType w:val="hybridMultilevel"/>
    <w:tmpl w:val="F572B57A"/>
    <w:lvl w:ilvl="0" w:tplc="C6C27968">
      <w:start w:val="1"/>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7237FAD"/>
    <w:multiLevelType w:val="hybridMultilevel"/>
    <w:tmpl w:val="0624F450"/>
    <w:lvl w:ilvl="0" w:tplc="6CE05D9E">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6" w15:restartNumberingAfterBreak="0">
    <w:nsid w:val="3A95259C"/>
    <w:multiLevelType w:val="multilevel"/>
    <w:tmpl w:val="1C0663B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15:restartNumberingAfterBreak="0">
    <w:nsid w:val="432F13AA"/>
    <w:multiLevelType w:val="hybridMultilevel"/>
    <w:tmpl w:val="05328A34"/>
    <w:lvl w:ilvl="0" w:tplc="219A7A94">
      <w:start w:val="1"/>
      <w:numFmt w:val="decimal"/>
      <w:lvlText w:val="%1.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4430232A"/>
    <w:multiLevelType w:val="hybridMultilevel"/>
    <w:tmpl w:val="23BE8102"/>
    <w:lvl w:ilvl="0" w:tplc="29A8901C">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9" w15:restartNumberingAfterBreak="0">
    <w:nsid w:val="45786283"/>
    <w:multiLevelType w:val="hybridMultilevel"/>
    <w:tmpl w:val="ACC69D0E"/>
    <w:lvl w:ilvl="0" w:tplc="4D0411A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46795040"/>
    <w:multiLevelType w:val="hybridMultilevel"/>
    <w:tmpl w:val="804AF542"/>
    <w:lvl w:ilvl="0" w:tplc="51128562">
      <w:start w:val="3"/>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1754626"/>
    <w:multiLevelType w:val="hybridMultilevel"/>
    <w:tmpl w:val="4B185C26"/>
    <w:lvl w:ilvl="0" w:tplc="9D3C854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2084BD9"/>
    <w:multiLevelType w:val="multilevel"/>
    <w:tmpl w:val="BE96F2BC"/>
    <w:lvl w:ilvl="0">
      <w:start w:val="1"/>
      <w:numFmt w:val="decimal"/>
      <w:lvlText w:val="%1."/>
      <w:lvlJc w:val="left"/>
      <w:pPr>
        <w:ind w:left="396" w:hanging="396"/>
      </w:pPr>
      <w:rPr>
        <w:rFonts w:hint="default"/>
      </w:rPr>
    </w:lvl>
    <w:lvl w:ilvl="1">
      <w:start w:val="1"/>
      <w:numFmt w:val="decimal"/>
      <w:lvlText w:val="%1.%2)"/>
      <w:lvlJc w:val="left"/>
      <w:pPr>
        <w:ind w:left="2136" w:hanging="72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128" w:hanging="1800"/>
      </w:pPr>
      <w:rPr>
        <w:rFonts w:hint="default"/>
      </w:rPr>
    </w:lvl>
  </w:abstractNum>
  <w:abstractNum w:abstractNumId="23" w15:restartNumberingAfterBreak="0">
    <w:nsid w:val="59F020DA"/>
    <w:multiLevelType w:val="hybridMultilevel"/>
    <w:tmpl w:val="81900FFA"/>
    <w:lvl w:ilvl="0" w:tplc="14822BD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5C9A5395"/>
    <w:multiLevelType w:val="multilevel"/>
    <w:tmpl w:val="1E8E96A6"/>
    <w:lvl w:ilvl="0">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CEB6F1C"/>
    <w:multiLevelType w:val="multilevel"/>
    <w:tmpl w:val="8910A7C4"/>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6" w15:restartNumberingAfterBreak="0">
    <w:nsid w:val="5E593BE4"/>
    <w:multiLevelType w:val="hybridMultilevel"/>
    <w:tmpl w:val="BDC82F8A"/>
    <w:lvl w:ilvl="0" w:tplc="BED227D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72E28F1"/>
    <w:multiLevelType w:val="hybridMultilevel"/>
    <w:tmpl w:val="7B02961E"/>
    <w:lvl w:ilvl="0" w:tplc="D426519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CCD34CA"/>
    <w:multiLevelType w:val="multilevel"/>
    <w:tmpl w:val="BE96F2BC"/>
    <w:lvl w:ilvl="0">
      <w:start w:val="1"/>
      <w:numFmt w:val="decimal"/>
      <w:lvlText w:val="%1."/>
      <w:lvlJc w:val="left"/>
      <w:pPr>
        <w:ind w:left="396" w:hanging="396"/>
      </w:pPr>
      <w:rPr>
        <w:rFonts w:hint="default"/>
      </w:rPr>
    </w:lvl>
    <w:lvl w:ilvl="1">
      <w:start w:val="1"/>
      <w:numFmt w:val="decimal"/>
      <w:lvlText w:val="%1.%2)"/>
      <w:lvlJc w:val="left"/>
      <w:pPr>
        <w:ind w:left="2136" w:hanging="72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128" w:hanging="1800"/>
      </w:pPr>
      <w:rPr>
        <w:rFonts w:hint="default"/>
      </w:rPr>
    </w:lvl>
  </w:abstractNum>
  <w:abstractNum w:abstractNumId="29" w15:restartNumberingAfterBreak="0">
    <w:nsid w:val="79AD3FAD"/>
    <w:multiLevelType w:val="hybridMultilevel"/>
    <w:tmpl w:val="064CD1D8"/>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0" w15:restartNumberingAfterBreak="0">
    <w:nsid w:val="7C552327"/>
    <w:multiLevelType w:val="multilevel"/>
    <w:tmpl w:val="0D12E9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EF83D77"/>
    <w:multiLevelType w:val="hybridMultilevel"/>
    <w:tmpl w:val="83388D42"/>
    <w:lvl w:ilvl="0" w:tplc="0813000F">
      <w:start w:val="1"/>
      <w:numFmt w:val="decimal"/>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num w:numId="1">
    <w:abstractNumId w:val="8"/>
  </w:num>
  <w:num w:numId="2">
    <w:abstractNumId w:val="14"/>
  </w:num>
  <w:num w:numId="3">
    <w:abstractNumId w:val="4"/>
  </w:num>
  <w:num w:numId="4">
    <w:abstractNumId w:val="20"/>
  </w:num>
  <w:num w:numId="5">
    <w:abstractNumId w:val="27"/>
  </w:num>
  <w:num w:numId="6">
    <w:abstractNumId w:val="12"/>
  </w:num>
  <w:num w:numId="7">
    <w:abstractNumId w:val="5"/>
  </w:num>
  <w:num w:numId="8">
    <w:abstractNumId w:val="2"/>
  </w:num>
  <w:num w:numId="9">
    <w:abstractNumId w:val="29"/>
  </w:num>
  <w:num w:numId="10">
    <w:abstractNumId w:val="31"/>
  </w:num>
  <w:num w:numId="11">
    <w:abstractNumId w:val="3"/>
  </w:num>
  <w:num w:numId="12">
    <w:abstractNumId w:val="1"/>
  </w:num>
  <w:num w:numId="13">
    <w:abstractNumId w:val="19"/>
  </w:num>
  <w:num w:numId="14">
    <w:abstractNumId w:val="26"/>
  </w:num>
  <w:num w:numId="15">
    <w:abstractNumId w:val="10"/>
  </w:num>
  <w:num w:numId="16">
    <w:abstractNumId w:val="16"/>
  </w:num>
  <w:num w:numId="17">
    <w:abstractNumId w:val="30"/>
  </w:num>
  <w:num w:numId="18">
    <w:abstractNumId w:val="25"/>
  </w:num>
  <w:num w:numId="19">
    <w:abstractNumId w:val="28"/>
  </w:num>
  <w:num w:numId="20">
    <w:abstractNumId w:val="0"/>
  </w:num>
  <w:num w:numId="21">
    <w:abstractNumId w:val="22"/>
  </w:num>
  <w:num w:numId="22">
    <w:abstractNumId w:val="6"/>
  </w:num>
  <w:num w:numId="23">
    <w:abstractNumId w:val="17"/>
  </w:num>
  <w:num w:numId="24">
    <w:abstractNumId w:val="9"/>
  </w:num>
  <w:num w:numId="25">
    <w:abstractNumId w:val="24"/>
  </w:num>
  <w:num w:numId="26">
    <w:abstractNumId w:val="13"/>
  </w:num>
  <w:num w:numId="27">
    <w:abstractNumId w:val="23"/>
  </w:num>
  <w:num w:numId="28">
    <w:abstractNumId w:val="11"/>
  </w:num>
  <w:num w:numId="29">
    <w:abstractNumId w:val="7"/>
  </w:num>
  <w:num w:numId="30">
    <w:abstractNumId w:val="14"/>
  </w:num>
  <w:num w:numId="31">
    <w:abstractNumId w:val="18"/>
  </w:num>
  <w:num w:numId="32">
    <w:abstractNumId w:val="15"/>
  </w:num>
  <w:num w:numId="33">
    <w:abstractNumId w:val="21"/>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106"/>
    <w:rsid w:val="000005DD"/>
    <w:rsid w:val="00000D76"/>
    <w:rsid w:val="00001C49"/>
    <w:rsid w:val="00006055"/>
    <w:rsid w:val="00011146"/>
    <w:rsid w:val="000120C8"/>
    <w:rsid w:val="0001406D"/>
    <w:rsid w:val="000150CF"/>
    <w:rsid w:val="00015B28"/>
    <w:rsid w:val="00016916"/>
    <w:rsid w:val="00017FDC"/>
    <w:rsid w:val="00020B53"/>
    <w:rsid w:val="00020E9C"/>
    <w:rsid w:val="0002358F"/>
    <w:rsid w:val="00023D40"/>
    <w:rsid w:val="00025C59"/>
    <w:rsid w:val="00033AFF"/>
    <w:rsid w:val="00036FDF"/>
    <w:rsid w:val="00044D73"/>
    <w:rsid w:val="0004646C"/>
    <w:rsid w:val="0004661C"/>
    <w:rsid w:val="00046F5E"/>
    <w:rsid w:val="000474E1"/>
    <w:rsid w:val="00047FD6"/>
    <w:rsid w:val="00053962"/>
    <w:rsid w:val="0005668F"/>
    <w:rsid w:val="000575B5"/>
    <w:rsid w:val="00063D57"/>
    <w:rsid w:val="00063F7B"/>
    <w:rsid w:val="00064CC9"/>
    <w:rsid w:val="00065E45"/>
    <w:rsid w:val="00070CFD"/>
    <w:rsid w:val="000716BB"/>
    <w:rsid w:val="00071B97"/>
    <w:rsid w:val="00074706"/>
    <w:rsid w:val="00074ACA"/>
    <w:rsid w:val="000762D0"/>
    <w:rsid w:val="00076C51"/>
    <w:rsid w:val="000772EC"/>
    <w:rsid w:val="00077361"/>
    <w:rsid w:val="00081137"/>
    <w:rsid w:val="00082F56"/>
    <w:rsid w:val="00083111"/>
    <w:rsid w:val="00083291"/>
    <w:rsid w:val="000837CC"/>
    <w:rsid w:val="00084D71"/>
    <w:rsid w:val="00085FAD"/>
    <w:rsid w:val="00090687"/>
    <w:rsid w:val="000911BC"/>
    <w:rsid w:val="0009217D"/>
    <w:rsid w:val="0009392E"/>
    <w:rsid w:val="00095625"/>
    <w:rsid w:val="000964D4"/>
    <w:rsid w:val="000A2999"/>
    <w:rsid w:val="000A3C71"/>
    <w:rsid w:val="000A4A3D"/>
    <w:rsid w:val="000A61D8"/>
    <w:rsid w:val="000A73C3"/>
    <w:rsid w:val="000B3594"/>
    <w:rsid w:val="000B3E6D"/>
    <w:rsid w:val="000B7D3F"/>
    <w:rsid w:val="000C062A"/>
    <w:rsid w:val="000C0A25"/>
    <w:rsid w:val="000C29B4"/>
    <w:rsid w:val="000C3203"/>
    <w:rsid w:val="000C4394"/>
    <w:rsid w:val="000C4C8D"/>
    <w:rsid w:val="000C4EC8"/>
    <w:rsid w:val="000C563B"/>
    <w:rsid w:val="000C6025"/>
    <w:rsid w:val="000C6CC6"/>
    <w:rsid w:val="000C6FCD"/>
    <w:rsid w:val="000D14BF"/>
    <w:rsid w:val="000D253C"/>
    <w:rsid w:val="000D365B"/>
    <w:rsid w:val="000D369B"/>
    <w:rsid w:val="000D526B"/>
    <w:rsid w:val="000D5470"/>
    <w:rsid w:val="000D6CA7"/>
    <w:rsid w:val="000D7C8C"/>
    <w:rsid w:val="000E1274"/>
    <w:rsid w:val="000E22DB"/>
    <w:rsid w:val="000E321E"/>
    <w:rsid w:val="000E4348"/>
    <w:rsid w:val="000E4F2D"/>
    <w:rsid w:val="000E524E"/>
    <w:rsid w:val="000E5C00"/>
    <w:rsid w:val="000E6323"/>
    <w:rsid w:val="000E7097"/>
    <w:rsid w:val="000E72FF"/>
    <w:rsid w:val="000E7781"/>
    <w:rsid w:val="000E7D82"/>
    <w:rsid w:val="000F0D31"/>
    <w:rsid w:val="000F1268"/>
    <w:rsid w:val="000F220D"/>
    <w:rsid w:val="000F227D"/>
    <w:rsid w:val="000F266A"/>
    <w:rsid w:val="000F283E"/>
    <w:rsid w:val="000F2967"/>
    <w:rsid w:val="000F3CCF"/>
    <w:rsid w:val="000F4DD8"/>
    <w:rsid w:val="000F55E2"/>
    <w:rsid w:val="000F5D60"/>
    <w:rsid w:val="000F7078"/>
    <w:rsid w:val="000F792E"/>
    <w:rsid w:val="000F7E79"/>
    <w:rsid w:val="000F7F9B"/>
    <w:rsid w:val="00100F72"/>
    <w:rsid w:val="001020A5"/>
    <w:rsid w:val="001021ED"/>
    <w:rsid w:val="00102965"/>
    <w:rsid w:val="0010329F"/>
    <w:rsid w:val="00103E2C"/>
    <w:rsid w:val="0010429F"/>
    <w:rsid w:val="001045A6"/>
    <w:rsid w:val="00104A52"/>
    <w:rsid w:val="00105EDA"/>
    <w:rsid w:val="001076E8"/>
    <w:rsid w:val="001111CA"/>
    <w:rsid w:val="00112E68"/>
    <w:rsid w:val="001150E8"/>
    <w:rsid w:val="0011566A"/>
    <w:rsid w:val="0011700B"/>
    <w:rsid w:val="001173A0"/>
    <w:rsid w:val="001217BB"/>
    <w:rsid w:val="00123D00"/>
    <w:rsid w:val="00124AD0"/>
    <w:rsid w:val="00126C7B"/>
    <w:rsid w:val="00126E54"/>
    <w:rsid w:val="00127191"/>
    <w:rsid w:val="001272E2"/>
    <w:rsid w:val="0013012D"/>
    <w:rsid w:val="0013180C"/>
    <w:rsid w:val="00132DA5"/>
    <w:rsid w:val="00133574"/>
    <w:rsid w:val="00140B24"/>
    <w:rsid w:val="001417D6"/>
    <w:rsid w:val="001428A3"/>
    <w:rsid w:val="001430EE"/>
    <w:rsid w:val="001436C2"/>
    <w:rsid w:val="001442C3"/>
    <w:rsid w:val="001464D0"/>
    <w:rsid w:val="00146C95"/>
    <w:rsid w:val="0015101B"/>
    <w:rsid w:val="00151597"/>
    <w:rsid w:val="00152659"/>
    <w:rsid w:val="001526AA"/>
    <w:rsid w:val="00152BD4"/>
    <w:rsid w:val="00153826"/>
    <w:rsid w:val="00154E7E"/>
    <w:rsid w:val="00154E92"/>
    <w:rsid w:val="00157251"/>
    <w:rsid w:val="001573DE"/>
    <w:rsid w:val="001575A8"/>
    <w:rsid w:val="00161183"/>
    <w:rsid w:val="00162FCE"/>
    <w:rsid w:val="00163E81"/>
    <w:rsid w:val="00163F46"/>
    <w:rsid w:val="00163F62"/>
    <w:rsid w:val="00165BB3"/>
    <w:rsid w:val="001667B4"/>
    <w:rsid w:val="001704AF"/>
    <w:rsid w:val="001704EB"/>
    <w:rsid w:val="00170531"/>
    <w:rsid w:val="00170957"/>
    <w:rsid w:val="00171534"/>
    <w:rsid w:val="001715C3"/>
    <w:rsid w:val="001720B4"/>
    <w:rsid w:val="0017350B"/>
    <w:rsid w:val="001743A2"/>
    <w:rsid w:val="00174833"/>
    <w:rsid w:val="00174947"/>
    <w:rsid w:val="0017599D"/>
    <w:rsid w:val="00181D62"/>
    <w:rsid w:val="00181FDB"/>
    <w:rsid w:val="0018409D"/>
    <w:rsid w:val="001843B0"/>
    <w:rsid w:val="00186D83"/>
    <w:rsid w:val="00190012"/>
    <w:rsid w:val="00190213"/>
    <w:rsid w:val="001910ED"/>
    <w:rsid w:val="00191C91"/>
    <w:rsid w:val="00192016"/>
    <w:rsid w:val="00192F22"/>
    <w:rsid w:val="001962D0"/>
    <w:rsid w:val="001A0077"/>
    <w:rsid w:val="001A06B4"/>
    <w:rsid w:val="001A25B3"/>
    <w:rsid w:val="001A4211"/>
    <w:rsid w:val="001A472D"/>
    <w:rsid w:val="001A55D3"/>
    <w:rsid w:val="001A77CC"/>
    <w:rsid w:val="001B00D4"/>
    <w:rsid w:val="001B0381"/>
    <w:rsid w:val="001B1F32"/>
    <w:rsid w:val="001B3100"/>
    <w:rsid w:val="001B3E15"/>
    <w:rsid w:val="001B408F"/>
    <w:rsid w:val="001B4129"/>
    <w:rsid w:val="001B55EE"/>
    <w:rsid w:val="001B783B"/>
    <w:rsid w:val="001C0C27"/>
    <w:rsid w:val="001C0FD8"/>
    <w:rsid w:val="001C2E65"/>
    <w:rsid w:val="001C4BD0"/>
    <w:rsid w:val="001C54B5"/>
    <w:rsid w:val="001C5B09"/>
    <w:rsid w:val="001D0B87"/>
    <w:rsid w:val="001D0D6D"/>
    <w:rsid w:val="001D1124"/>
    <w:rsid w:val="001D17EB"/>
    <w:rsid w:val="001D1CDF"/>
    <w:rsid w:val="001D2383"/>
    <w:rsid w:val="001D3AC0"/>
    <w:rsid w:val="001D3BFB"/>
    <w:rsid w:val="001D7FF2"/>
    <w:rsid w:val="001E3E59"/>
    <w:rsid w:val="001E4126"/>
    <w:rsid w:val="001E547D"/>
    <w:rsid w:val="001E6C97"/>
    <w:rsid w:val="001E7BFE"/>
    <w:rsid w:val="001F277B"/>
    <w:rsid w:val="001F3AB2"/>
    <w:rsid w:val="001F43F0"/>
    <w:rsid w:val="001F60B7"/>
    <w:rsid w:val="001F7B5A"/>
    <w:rsid w:val="0020260B"/>
    <w:rsid w:val="002053FC"/>
    <w:rsid w:val="00205F1A"/>
    <w:rsid w:val="00211107"/>
    <w:rsid w:val="0021126E"/>
    <w:rsid w:val="0021142D"/>
    <w:rsid w:val="002116A5"/>
    <w:rsid w:val="00212ECF"/>
    <w:rsid w:val="00215708"/>
    <w:rsid w:val="0021620B"/>
    <w:rsid w:val="00216A6E"/>
    <w:rsid w:val="00216F82"/>
    <w:rsid w:val="00217175"/>
    <w:rsid w:val="002171D5"/>
    <w:rsid w:val="00221231"/>
    <w:rsid w:val="00223143"/>
    <w:rsid w:val="00224A89"/>
    <w:rsid w:val="00224F31"/>
    <w:rsid w:val="002252B9"/>
    <w:rsid w:val="002301FB"/>
    <w:rsid w:val="00230E7B"/>
    <w:rsid w:val="00231765"/>
    <w:rsid w:val="00233DE6"/>
    <w:rsid w:val="00233F42"/>
    <w:rsid w:val="002342BB"/>
    <w:rsid w:val="00234851"/>
    <w:rsid w:val="00235D85"/>
    <w:rsid w:val="0023627A"/>
    <w:rsid w:val="00237DE7"/>
    <w:rsid w:val="002402AA"/>
    <w:rsid w:val="00240472"/>
    <w:rsid w:val="00241013"/>
    <w:rsid w:val="00241870"/>
    <w:rsid w:val="00243E15"/>
    <w:rsid w:val="00244A86"/>
    <w:rsid w:val="00244ABC"/>
    <w:rsid w:val="0024549C"/>
    <w:rsid w:val="00246BDB"/>
    <w:rsid w:val="002478C2"/>
    <w:rsid w:val="00250240"/>
    <w:rsid w:val="00253110"/>
    <w:rsid w:val="0025377B"/>
    <w:rsid w:val="00253918"/>
    <w:rsid w:val="002539DB"/>
    <w:rsid w:val="002544F0"/>
    <w:rsid w:val="002545C6"/>
    <w:rsid w:val="002546A2"/>
    <w:rsid w:val="00255964"/>
    <w:rsid w:val="002562AB"/>
    <w:rsid w:val="002563F7"/>
    <w:rsid w:val="00256788"/>
    <w:rsid w:val="002600B9"/>
    <w:rsid w:val="00260439"/>
    <w:rsid w:val="002639C1"/>
    <w:rsid w:val="00263FF7"/>
    <w:rsid w:val="00264A10"/>
    <w:rsid w:val="00264C20"/>
    <w:rsid w:val="00265241"/>
    <w:rsid w:val="002652F4"/>
    <w:rsid w:val="00266296"/>
    <w:rsid w:val="00266D90"/>
    <w:rsid w:val="0026759F"/>
    <w:rsid w:val="00270258"/>
    <w:rsid w:val="00270590"/>
    <w:rsid w:val="00271258"/>
    <w:rsid w:val="00271647"/>
    <w:rsid w:val="00273E04"/>
    <w:rsid w:val="0027607F"/>
    <w:rsid w:val="002772A3"/>
    <w:rsid w:val="0028088E"/>
    <w:rsid w:val="002810CC"/>
    <w:rsid w:val="00283815"/>
    <w:rsid w:val="00284D34"/>
    <w:rsid w:val="00284DEA"/>
    <w:rsid w:val="00286C11"/>
    <w:rsid w:val="00287FE2"/>
    <w:rsid w:val="00290937"/>
    <w:rsid w:val="00292F06"/>
    <w:rsid w:val="00294635"/>
    <w:rsid w:val="002961F0"/>
    <w:rsid w:val="00296575"/>
    <w:rsid w:val="002975D7"/>
    <w:rsid w:val="002A0FC4"/>
    <w:rsid w:val="002A1B07"/>
    <w:rsid w:val="002A4516"/>
    <w:rsid w:val="002A5643"/>
    <w:rsid w:val="002A6604"/>
    <w:rsid w:val="002A732C"/>
    <w:rsid w:val="002B21B1"/>
    <w:rsid w:val="002B3A85"/>
    <w:rsid w:val="002B4137"/>
    <w:rsid w:val="002B53A6"/>
    <w:rsid w:val="002B6962"/>
    <w:rsid w:val="002B6978"/>
    <w:rsid w:val="002C084A"/>
    <w:rsid w:val="002C0987"/>
    <w:rsid w:val="002C1BE2"/>
    <w:rsid w:val="002C1C59"/>
    <w:rsid w:val="002C1D9D"/>
    <w:rsid w:val="002C28E0"/>
    <w:rsid w:val="002C39E2"/>
    <w:rsid w:val="002C3EFE"/>
    <w:rsid w:val="002C4E69"/>
    <w:rsid w:val="002C6BCB"/>
    <w:rsid w:val="002D0CFD"/>
    <w:rsid w:val="002D1EE7"/>
    <w:rsid w:val="002D2B9B"/>
    <w:rsid w:val="002D50D7"/>
    <w:rsid w:val="002D5B6E"/>
    <w:rsid w:val="002E01A4"/>
    <w:rsid w:val="002E0754"/>
    <w:rsid w:val="002E0EBA"/>
    <w:rsid w:val="002E16F0"/>
    <w:rsid w:val="002E37AA"/>
    <w:rsid w:val="002E3E91"/>
    <w:rsid w:val="002E41ED"/>
    <w:rsid w:val="002E5D0C"/>
    <w:rsid w:val="002E6A69"/>
    <w:rsid w:val="002F10BF"/>
    <w:rsid w:val="002F199A"/>
    <w:rsid w:val="002F4A2E"/>
    <w:rsid w:val="002F76C8"/>
    <w:rsid w:val="002F7AD1"/>
    <w:rsid w:val="002F7C90"/>
    <w:rsid w:val="003036CF"/>
    <w:rsid w:val="00304AAF"/>
    <w:rsid w:val="003050A0"/>
    <w:rsid w:val="003053F2"/>
    <w:rsid w:val="00305E9B"/>
    <w:rsid w:val="003061BD"/>
    <w:rsid w:val="00307F30"/>
    <w:rsid w:val="00312708"/>
    <w:rsid w:val="003128FE"/>
    <w:rsid w:val="00313D15"/>
    <w:rsid w:val="00313D66"/>
    <w:rsid w:val="003152D3"/>
    <w:rsid w:val="00315E43"/>
    <w:rsid w:val="00317852"/>
    <w:rsid w:val="00317F92"/>
    <w:rsid w:val="003215E1"/>
    <w:rsid w:val="0032168B"/>
    <w:rsid w:val="0032188D"/>
    <w:rsid w:val="0032396D"/>
    <w:rsid w:val="00325C97"/>
    <w:rsid w:val="00326A7A"/>
    <w:rsid w:val="00326E0C"/>
    <w:rsid w:val="00331DD4"/>
    <w:rsid w:val="00332EFC"/>
    <w:rsid w:val="0033424C"/>
    <w:rsid w:val="003365BD"/>
    <w:rsid w:val="0033697C"/>
    <w:rsid w:val="00340459"/>
    <w:rsid w:val="003409DA"/>
    <w:rsid w:val="003420EC"/>
    <w:rsid w:val="00342F82"/>
    <w:rsid w:val="0034655D"/>
    <w:rsid w:val="00347E36"/>
    <w:rsid w:val="00352C33"/>
    <w:rsid w:val="0035336F"/>
    <w:rsid w:val="00353CA4"/>
    <w:rsid w:val="00355C7F"/>
    <w:rsid w:val="0035638C"/>
    <w:rsid w:val="00360678"/>
    <w:rsid w:val="003616AF"/>
    <w:rsid w:val="0036271C"/>
    <w:rsid w:val="00363654"/>
    <w:rsid w:val="00364A10"/>
    <w:rsid w:val="00365606"/>
    <w:rsid w:val="00370E43"/>
    <w:rsid w:val="003710C5"/>
    <w:rsid w:val="00371551"/>
    <w:rsid w:val="00371D42"/>
    <w:rsid w:val="0037413C"/>
    <w:rsid w:val="00374D90"/>
    <w:rsid w:val="00376000"/>
    <w:rsid w:val="003768F6"/>
    <w:rsid w:val="00377ACC"/>
    <w:rsid w:val="003801BF"/>
    <w:rsid w:val="00380564"/>
    <w:rsid w:val="0038089F"/>
    <w:rsid w:val="00380CFF"/>
    <w:rsid w:val="00383960"/>
    <w:rsid w:val="00383EF9"/>
    <w:rsid w:val="00384775"/>
    <w:rsid w:val="00385AF4"/>
    <w:rsid w:val="00385CED"/>
    <w:rsid w:val="003866AE"/>
    <w:rsid w:val="0038764C"/>
    <w:rsid w:val="003A279E"/>
    <w:rsid w:val="003A41AC"/>
    <w:rsid w:val="003A4DE4"/>
    <w:rsid w:val="003A5CED"/>
    <w:rsid w:val="003A5FC2"/>
    <w:rsid w:val="003B1C15"/>
    <w:rsid w:val="003B250E"/>
    <w:rsid w:val="003B2F51"/>
    <w:rsid w:val="003B3329"/>
    <w:rsid w:val="003B3549"/>
    <w:rsid w:val="003B7DF2"/>
    <w:rsid w:val="003C209E"/>
    <w:rsid w:val="003C627F"/>
    <w:rsid w:val="003C699A"/>
    <w:rsid w:val="003C6CDF"/>
    <w:rsid w:val="003C744A"/>
    <w:rsid w:val="003C7C16"/>
    <w:rsid w:val="003D0F53"/>
    <w:rsid w:val="003D212C"/>
    <w:rsid w:val="003D21C7"/>
    <w:rsid w:val="003D21D3"/>
    <w:rsid w:val="003D483B"/>
    <w:rsid w:val="003E10BC"/>
    <w:rsid w:val="003E21F5"/>
    <w:rsid w:val="003E27A1"/>
    <w:rsid w:val="003E2EC9"/>
    <w:rsid w:val="003F00FE"/>
    <w:rsid w:val="003F10D8"/>
    <w:rsid w:val="003F26E5"/>
    <w:rsid w:val="003F2CD6"/>
    <w:rsid w:val="003F31BE"/>
    <w:rsid w:val="003F32B8"/>
    <w:rsid w:val="003F36BE"/>
    <w:rsid w:val="003F36E6"/>
    <w:rsid w:val="003F58BD"/>
    <w:rsid w:val="004013B6"/>
    <w:rsid w:val="0040191A"/>
    <w:rsid w:val="004025AB"/>
    <w:rsid w:val="00402B04"/>
    <w:rsid w:val="004038AC"/>
    <w:rsid w:val="004046BC"/>
    <w:rsid w:val="00404FE5"/>
    <w:rsid w:val="00405496"/>
    <w:rsid w:val="00407006"/>
    <w:rsid w:val="00407293"/>
    <w:rsid w:val="004076BB"/>
    <w:rsid w:val="00407A46"/>
    <w:rsid w:val="00410755"/>
    <w:rsid w:val="00410A60"/>
    <w:rsid w:val="00410BA5"/>
    <w:rsid w:val="004110F0"/>
    <w:rsid w:val="00412A2C"/>
    <w:rsid w:val="004135AF"/>
    <w:rsid w:val="004135DB"/>
    <w:rsid w:val="004136DC"/>
    <w:rsid w:val="0041427E"/>
    <w:rsid w:val="004149F9"/>
    <w:rsid w:val="00414A65"/>
    <w:rsid w:val="00414F7F"/>
    <w:rsid w:val="00417069"/>
    <w:rsid w:val="0042066E"/>
    <w:rsid w:val="00420AC3"/>
    <w:rsid w:val="00424E2A"/>
    <w:rsid w:val="00425962"/>
    <w:rsid w:val="00425B9B"/>
    <w:rsid w:val="004261BA"/>
    <w:rsid w:val="00426DD0"/>
    <w:rsid w:val="00427363"/>
    <w:rsid w:val="00430235"/>
    <w:rsid w:val="004305C9"/>
    <w:rsid w:val="00434DA7"/>
    <w:rsid w:val="00434F05"/>
    <w:rsid w:val="004379CD"/>
    <w:rsid w:val="00437A32"/>
    <w:rsid w:val="004401AE"/>
    <w:rsid w:val="00440579"/>
    <w:rsid w:val="004424AD"/>
    <w:rsid w:val="00442F0E"/>
    <w:rsid w:val="0044436E"/>
    <w:rsid w:val="00445096"/>
    <w:rsid w:val="0045153A"/>
    <w:rsid w:val="00454CBF"/>
    <w:rsid w:val="004553B0"/>
    <w:rsid w:val="0045709D"/>
    <w:rsid w:val="004571DC"/>
    <w:rsid w:val="00457359"/>
    <w:rsid w:val="004617B5"/>
    <w:rsid w:val="0046184C"/>
    <w:rsid w:val="004632E3"/>
    <w:rsid w:val="004635B4"/>
    <w:rsid w:val="00463935"/>
    <w:rsid w:val="00466D97"/>
    <w:rsid w:val="00471D81"/>
    <w:rsid w:val="00473B04"/>
    <w:rsid w:val="004742F7"/>
    <w:rsid w:val="00475252"/>
    <w:rsid w:val="0047617E"/>
    <w:rsid w:val="004764F6"/>
    <w:rsid w:val="00476E24"/>
    <w:rsid w:val="004775E1"/>
    <w:rsid w:val="004779B3"/>
    <w:rsid w:val="00477F53"/>
    <w:rsid w:val="00481098"/>
    <w:rsid w:val="00481410"/>
    <w:rsid w:val="00482223"/>
    <w:rsid w:val="00482B80"/>
    <w:rsid w:val="00482DA9"/>
    <w:rsid w:val="004846B5"/>
    <w:rsid w:val="004852BF"/>
    <w:rsid w:val="004872E1"/>
    <w:rsid w:val="0049100D"/>
    <w:rsid w:val="0049226F"/>
    <w:rsid w:val="0049252B"/>
    <w:rsid w:val="0049307F"/>
    <w:rsid w:val="00495508"/>
    <w:rsid w:val="004955C1"/>
    <w:rsid w:val="00496001"/>
    <w:rsid w:val="00497978"/>
    <w:rsid w:val="004A036C"/>
    <w:rsid w:val="004A288D"/>
    <w:rsid w:val="004A296A"/>
    <w:rsid w:val="004A36F5"/>
    <w:rsid w:val="004A4037"/>
    <w:rsid w:val="004A4B1D"/>
    <w:rsid w:val="004A5436"/>
    <w:rsid w:val="004A7B4F"/>
    <w:rsid w:val="004B2CF6"/>
    <w:rsid w:val="004B2D64"/>
    <w:rsid w:val="004B3B83"/>
    <w:rsid w:val="004B3F9D"/>
    <w:rsid w:val="004B44B0"/>
    <w:rsid w:val="004B47B6"/>
    <w:rsid w:val="004B4BE6"/>
    <w:rsid w:val="004B5AB9"/>
    <w:rsid w:val="004B5B1C"/>
    <w:rsid w:val="004B5E6B"/>
    <w:rsid w:val="004B642D"/>
    <w:rsid w:val="004B66F3"/>
    <w:rsid w:val="004C0809"/>
    <w:rsid w:val="004C0CAA"/>
    <w:rsid w:val="004C1FF2"/>
    <w:rsid w:val="004C23D9"/>
    <w:rsid w:val="004C5031"/>
    <w:rsid w:val="004C50D4"/>
    <w:rsid w:val="004C557C"/>
    <w:rsid w:val="004C5B21"/>
    <w:rsid w:val="004C75A7"/>
    <w:rsid w:val="004D2B72"/>
    <w:rsid w:val="004D5AAD"/>
    <w:rsid w:val="004E150B"/>
    <w:rsid w:val="004E1A7A"/>
    <w:rsid w:val="004E2A42"/>
    <w:rsid w:val="004E37AF"/>
    <w:rsid w:val="004E4EA4"/>
    <w:rsid w:val="004E73F8"/>
    <w:rsid w:val="004F342D"/>
    <w:rsid w:val="004F53FB"/>
    <w:rsid w:val="004F571C"/>
    <w:rsid w:val="004F7150"/>
    <w:rsid w:val="004F7371"/>
    <w:rsid w:val="00500809"/>
    <w:rsid w:val="00504211"/>
    <w:rsid w:val="00506686"/>
    <w:rsid w:val="0050751A"/>
    <w:rsid w:val="0051208C"/>
    <w:rsid w:val="00512E2F"/>
    <w:rsid w:val="00513116"/>
    <w:rsid w:val="005138C0"/>
    <w:rsid w:val="00513FA3"/>
    <w:rsid w:val="00514746"/>
    <w:rsid w:val="00516D0B"/>
    <w:rsid w:val="005170C2"/>
    <w:rsid w:val="005175D5"/>
    <w:rsid w:val="00517E10"/>
    <w:rsid w:val="005213FE"/>
    <w:rsid w:val="00522469"/>
    <w:rsid w:val="00522EEB"/>
    <w:rsid w:val="00524C4D"/>
    <w:rsid w:val="00525095"/>
    <w:rsid w:val="005251AD"/>
    <w:rsid w:val="00526328"/>
    <w:rsid w:val="00526B96"/>
    <w:rsid w:val="00526BF0"/>
    <w:rsid w:val="0052723E"/>
    <w:rsid w:val="005277DB"/>
    <w:rsid w:val="00530E6F"/>
    <w:rsid w:val="005314DD"/>
    <w:rsid w:val="00532308"/>
    <w:rsid w:val="00532D99"/>
    <w:rsid w:val="0053686A"/>
    <w:rsid w:val="00541473"/>
    <w:rsid w:val="00544E9E"/>
    <w:rsid w:val="0054699F"/>
    <w:rsid w:val="00551093"/>
    <w:rsid w:val="00553432"/>
    <w:rsid w:val="00554D43"/>
    <w:rsid w:val="005568A6"/>
    <w:rsid w:val="005568AE"/>
    <w:rsid w:val="0055725D"/>
    <w:rsid w:val="00557B05"/>
    <w:rsid w:val="005633C4"/>
    <w:rsid w:val="00563472"/>
    <w:rsid w:val="0056365C"/>
    <w:rsid w:val="00564BD1"/>
    <w:rsid w:val="005657EC"/>
    <w:rsid w:val="005669CF"/>
    <w:rsid w:val="00566D57"/>
    <w:rsid w:val="0057000B"/>
    <w:rsid w:val="00575CFC"/>
    <w:rsid w:val="00577B3E"/>
    <w:rsid w:val="005801B3"/>
    <w:rsid w:val="00582442"/>
    <w:rsid w:val="00583D3B"/>
    <w:rsid w:val="00583FFD"/>
    <w:rsid w:val="00584D16"/>
    <w:rsid w:val="00585ACC"/>
    <w:rsid w:val="005903AE"/>
    <w:rsid w:val="00592FAC"/>
    <w:rsid w:val="00593A59"/>
    <w:rsid w:val="00594DC0"/>
    <w:rsid w:val="0059528D"/>
    <w:rsid w:val="00595BCC"/>
    <w:rsid w:val="005A3393"/>
    <w:rsid w:val="005A39E5"/>
    <w:rsid w:val="005A771D"/>
    <w:rsid w:val="005B311F"/>
    <w:rsid w:val="005B4AEB"/>
    <w:rsid w:val="005B4DE7"/>
    <w:rsid w:val="005B5E81"/>
    <w:rsid w:val="005C21DF"/>
    <w:rsid w:val="005C274F"/>
    <w:rsid w:val="005C28E3"/>
    <w:rsid w:val="005C6050"/>
    <w:rsid w:val="005C6CB4"/>
    <w:rsid w:val="005C789A"/>
    <w:rsid w:val="005D0D93"/>
    <w:rsid w:val="005D3471"/>
    <w:rsid w:val="005D3E04"/>
    <w:rsid w:val="005D50BE"/>
    <w:rsid w:val="005D712B"/>
    <w:rsid w:val="005D75F2"/>
    <w:rsid w:val="005E064D"/>
    <w:rsid w:val="005E0D4D"/>
    <w:rsid w:val="005E1C1C"/>
    <w:rsid w:val="005E289F"/>
    <w:rsid w:val="005E789A"/>
    <w:rsid w:val="005F0951"/>
    <w:rsid w:val="005F2717"/>
    <w:rsid w:val="005F28F6"/>
    <w:rsid w:val="005F35C4"/>
    <w:rsid w:val="005F5007"/>
    <w:rsid w:val="005F5360"/>
    <w:rsid w:val="005F6062"/>
    <w:rsid w:val="005F6377"/>
    <w:rsid w:val="00601175"/>
    <w:rsid w:val="006017B1"/>
    <w:rsid w:val="00601DD5"/>
    <w:rsid w:val="00603F66"/>
    <w:rsid w:val="006055CD"/>
    <w:rsid w:val="00605739"/>
    <w:rsid w:val="00610242"/>
    <w:rsid w:val="00610806"/>
    <w:rsid w:val="00610F80"/>
    <w:rsid w:val="006115D6"/>
    <w:rsid w:val="00612487"/>
    <w:rsid w:val="006127B9"/>
    <w:rsid w:val="00612F3B"/>
    <w:rsid w:val="006134AD"/>
    <w:rsid w:val="00614937"/>
    <w:rsid w:val="00614AD4"/>
    <w:rsid w:val="00614D03"/>
    <w:rsid w:val="0061520D"/>
    <w:rsid w:val="006164A3"/>
    <w:rsid w:val="00616B7C"/>
    <w:rsid w:val="00620825"/>
    <w:rsid w:val="0062274D"/>
    <w:rsid w:val="00624551"/>
    <w:rsid w:val="006245D5"/>
    <w:rsid w:val="0062766C"/>
    <w:rsid w:val="006316A7"/>
    <w:rsid w:val="006321D4"/>
    <w:rsid w:val="006324E3"/>
    <w:rsid w:val="006327BA"/>
    <w:rsid w:val="0063394D"/>
    <w:rsid w:val="00633A03"/>
    <w:rsid w:val="006367DC"/>
    <w:rsid w:val="00640054"/>
    <w:rsid w:val="00642850"/>
    <w:rsid w:val="00642DAB"/>
    <w:rsid w:val="006449C3"/>
    <w:rsid w:val="00645133"/>
    <w:rsid w:val="0064538F"/>
    <w:rsid w:val="00646B15"/>
    <w:rsid w:val="0064705E"/>
    <w:rsid w:val="0064774F"/>
    <w:rsid w:val="00647B50"/>
    <w:rsid w:val="00650794"/>
    <w:rsid w:val="00650DE4"/>
    <w:rsid w:val="00655858"/>
    <w:rsid w:val="00656953"/>
    <w:rsid w:val="00656D14"/>
    <w:rsid w:val="00657898"/>
    <w:rsid w:val="0066005A"/>
    <w:rsid w:val="00661838"/>
    <w:rsid w:val="006634C5"/>
    <w:rsid w:val="00664C73"/>
    <w:rsid w:val="00665264"/>
    <w:rsid w:val="006669F7"/>
    <w:rsid w:val="00666A50"/>
    <w:rsid w:val="0066726A"/>
    <w:rsid w:val="00670083"/>
    <w:rsid w:val="006716F6"/>
    <w:rsid w:val="006742AA"/>
    <w:rsid w:val="00675819"/>
    <w:rsid w:val="00675897"/>
    <w:rsid w:val="00677226"/>
    <w:rsid w:val="00677806"/>
    <w:rsid w:val="00677F17"/>
    <w:rsid w:val="00680AED"/>
    <w:rsid w:val="00685523"/>
    <w:rsid w:val="006861AC"/>
    <w:rsid w:val="006865AC"/>
    <w:rsid w:val="00686D63"/>
    <w:rsid w:val="00687650"/>
    <w:rsid w:val="00687A80"/>
    <w:rsid w:val="00690CEA"/>
    <w:rsid w:val="006937AD"/>
    <w:rsid w:val="00693AF2"/>
    <w:rsid w:val="00695B5B"/>
    <w:rsid w:val="006973DF"/>
    <w:rsid w:val="006A091B"/>
    <w:rsid w:val="006A0C31"/>
    <w:rsid w:val="006A1F6D"/>
    <w:rsid w:val="006A2856"/>
    <w:rsid w:val="006A3281"/>
    <w:rsid w:val="006A38DC"/>
    <w:rsid w:val="006A3D0C"/>
    <w:rsid w:val="006B000C"/>
    <w:rsid w:val="006B0925"/>
    <w:rsid w:val="006B12B5"/>
    <w:rsid w:val="006B2A86"/>
    <w:rsid w:val="006B3BB0"/>
    <w:rsid w:val="006B5931"/>
    <w:rsid w:val="006B652A"/>
    <w:rsid w:val="006C04F7"/>
    <w:rsid w:val="006C06D0"/>
    <w:rsid w:val="006C0E9E"/>
    <w:rsid w:val="006C1578"/>
    <w:rsid w:val="006C1F7B"/>
    <w:rsid w:val="006C3B66"/>
    <w:rsid w:val="006C4BEF"/>
    <w:rsid w:val="006C4EA5"/>
    <w:rsid w:val="006C77F7"/>
    <w:rsid w:val="006D0370"/>
    <w:rsid w:val="006D067E"/>
    <w:rsid w:val="006D1241"/>
    <w:rsid w:val="006D377E"/>
    <w:rsid w:val="006D65C2"/>
    <w:rsid w:val="006E0538"/>
    <w:rsid w:val="006E1A1D"/>
    <w:rsid w:val="006E2235"/>
    <w:rsid w:val="006E2C30"/>
    <w:rsid w:val="006E4A36"/>
    <w:rsid w:val="006E647E"/>
    <w:rsid w:val="006E74D6"/>
    <w:rsid w:val="006E75BB"/>
    <w:rsid w:val="006E7789"/>
    <w:rsid w:val="006F010A"/>
    <w:rsid w:val="006F0E01"/>
    <w:rsid w:val="006F0EAB"/>
    <w:rsid w:val="006F2027"/>
    <w:rsid w:val="006F294C"/>
    <w:rsid w:val="006F580D"/>
    <w:rsid w:val="006F6B93"/>
    <w:rsid w:val="00700608"/>
    <w:rsid w:val="00701510"/>
    <w:rsid w:val="007022B1"/>
    <w:rsid w:val="007026F8"/>
    <w:rsid w:val="00705055"/>
    <w:rsid w:val="007103F4"/>
    <w:rsid w:val="00711C65"/>
    <w:rsid w:val="0071286B"/>
    <w:rsid w:val="00712D34"/>
    <w:rsid w:val="007134C4"/>
    <w:rsid w:val="00717FC0"/>
    <w:rsid w:val="00720B07"/>
    <w:rsid w:val="00721CEC"/>
    <w:rsid w:val="00722472"/>
    <w:rsid w:val="00722B29"/>
    <w:rsid w:val="00722B66"/>
    <w:rsid w:val="00723942"/>
    <w:rsid w:val="00723E28"/>
    <w:rsid w:val="0072513D"/>
    <w:rsid w:val="007255A3"/>
    <w:rsid w:val="007260EA"/>
    <w:rsid w:val="00726365"/>
    <w:rsid w:val="00726B8E"/>
    <w:rsid w:val="007317B3"/>
    <w:rsid w:val="00732523"/>
    <w:rsid w:val="00732C42"/>
    <w:rsid w:val="00733B98"/>
    <w:rsid w:val="00735DA9"/>
    <w:rsid w:val="0073648A"/>
    <w:rsid w:val="00737485"/>
    <w:rsid w:val="00737B8C"/>
    <w:rsid w:val="00737D83"/>
    <w:rsid w:val="0074096D"/>
    <w:rsid w:val="00740ECE"/>
    <w:rsid w:val="00741325"/>
    <w:rsid w:val="00743E7D"/>
    <w:rsid w:val="00743FB0"/>
    <w:rsid w:val="0074482F"/>
    <w:rsid w:val="00750215"/>
    <w:rsid w:val="00750439"/>
    <w:rsid w:val="00750D7E"/>
    <w:rsid w:val="00753939"/>
    <w:rsid w:val="00753DA0"/>
    <w:rsid w:val="00755076"/>
    <w:rsid w:val="00755798"/>
    <w:rsid w:val="0075622A"/>
    <w:rsid w:val="00756FCC"/>
    <w:rsid w:val="007600BF"/>
    <w:rsid w:val="00760A9F"/>
    <w:rsid w:val="00763AF1"/>
    <w:rsid w:val="00764A84"/>
    <w:rsid w:val="00764D1F"/>
    <w:rsid w:val="007662AC"/>
    <w:rsid w:val="00766537"/>
    <w:rsid w:val="00771175"/>
    <w:rsid w:val="00771B64"/>
    <w:rsid w:val="007726D1"/>
    <w:rsid w:val="00773543"/>
    <w:rsid w:val="00774E2B"/>
    <w:rsid w:val="0078327E"/>
    <w:rsid w:val="00785C7D"/>
    <w:rsid w:val="007872F9"/>
    <w:rsid w:val="0079039D"/>
    <w:rsid w:val="007918BC"/>
    <w:rsid w:val="00792136"/>
    <w:rsid w:val="00793E8B"/>
    <w:rsid w:val="00795944"/>
    <w:rsid w:val="00795EF9"/>
    <w:rsid w:val="0079648A"/>
    <w:rsid w:val="00796894"/>
    <w:rsid w:val="00796AC5"/>
    <w:rsid w:val="00797CAB"/>
    <w:rsid w:val="007A18A7"/>
    <w:rsid w:val="007A2A5D"/>
    <w:rsid w:val="007A300B"/>
    <w:rsid w:val="007A4A8C"/>
    <w:rsid w:val="007A7199"/>
    <w:rsid w:val="007B1666"/>
    <w:rsid w:val="007B3519"/>
    <w:rsid w:val="007B50D0"/>
    <w:rsid w:val="007B6681"/>
    <w:rsid w:val="007B717A"/>
    <w:rsid w:val="007B721D"/>
    <w:rsid w:val="007B7B98"/>
    <w:rsid w:val="007C04B7"/>
    <w:rsid w:val="007C3ED3"/>
    <w:rsid w:val="007C48AD"/>
    <w:rsid w:val="007C5A3C"/>
    <w:rsid w:val="007D00B4"/>
    <w:rsid w:val="007D1353"/>
    <w:rsid w:val="007D2E57"/>
    <w:rsid w:val="007D4215"/>
    <w:rsid w:val="007D5393"/>
    <w:rsid w:val="007D73A3"/>
    <w:rsid w:val="007E0EE2"/>
    <w:rsid w:val="007E0F85"/>
    <w:rsid w:val="007E253E"/>
    <w:rsid w:val="007E54DF"/>
    <w:rsid w:val="007E7C90"/>
    <w:rsid w:val="007F0849"/>
    <w:rsid w:val="007F0DD9"/>
    <w:rsid w:val="007F1EFD"/>
    <w:rsid w:val="007F2624"/>
    <w:rsid w:val="007F2ECB"/>
    <w:rsid w:val="007F364A"/>
    <w:rsid w:val="007F425F"/>
    <w:rsid w:val="007F44BC"/>
    <w:rsid w:val="007F44E7"/>
    <w:rsid w:val="007F5BBB"/>
    <w:rsid w:val="007F5C33"/>
    <w:rsid w:val="007F646D"/>
    <w:rsid w:val="007F6478"/>
    <w:rsid w:val="007F6F49"/>
    <w:rsid w:val="008011BE"/>
    <w:rsid w:val="008022F2"/>
    <w:rsid w:val="00803E8A"/>
    <w:rsid w:val="00804CA3"/>
    <w:rsid w:val="00804EB6"/>
    <w:rsid w:val="008053DF"/>
    <w:rsid w:val="008055A2"/>
    <w:rsid w:val="0080741C"/>
    <w:rsid w:val="00810889"/>
    <w:rsid w:val="00811429"/>
    <w:rsid w:val="0081181C"/>
    <w:rsid w:val="00813F8D"/>
    <w:rsid w:val="008141C1"/>
    <w:rsid w:val="00816BDA"/>
    <w:rsid w:val="00816F69"/>
    <w:rsid w:val="00817128"/>
    <w:rsid w:val="00820647"/>
    <w:rsid w:val="00822D26"/>
    <w:rsid w:val="00823804"/>
    <w:rsid w:val="008248FE"/>
    <w:rsid w:val="00824B0F"/>
    <w:rsid w:val="00825751"/>
    <w:rsid w:val="008341BE"/>
    <w:rsid w:val="00834439"/>
    <w:rsid w:val="00834D41"/>
    <w:rsid w:val="00834F1E"/>
    <w:rsid w:val="00834FD1"/>
    <w:rsid w:val="00836BE7"/>
    <w:rsid w:val="008413B9"/>
    <w:rsid w:val="0084143C"/>
    <w:rsid w:val="00843008"/>
    <w:rsid w:val="0084456D"/>
    <w:rsid w:val="00845341"/>
    <w:rsid w:val="008453EF"/>
    <w:rsid w:val="008454C4"/>
    <w:rsid w:val="00845FA4"/>
    <w:rsid w:val="0084703B"/>
    <w:rsid w:val="00851EB7"/>
    <w:rsid w:val="008601CF"/>
    <w:rsid w:val="00860905"/>
    <w:rsid w:val="00861C4E"/>
    <w:rsid w:val="008641F9"/>
    <w:rsid w:val="00864619"/>
    <w:rsid w:val="00865F74"/>
    <w:rsid w:val="00866464"/>
    <w:rsid w:val="0087248A"/>
    <w:rsid w:val="00872629"/>
    <w:rsid w:val="00872691"/>
    <w:rsid w:val="008736C1"/>
    <w:rsid w:val="00874523"/>
    <w:rsid w:val="00874537"/>
    <w:rsid w:val="00874BB2"/>
    <w:rsid w:val="008753F0"/>
    <w:rsid w:val="008810C8"/>
    <w:rsid w:val="00881988"/>
    <w:rsid w:val="0088237B"/>
    <w:rsid w:val="00882F35"/>
    <w:rsid w:val="00883C03"/>
    <w:rsid w:val="00884359"/>
    <w:rsid w:val="00884D57"/>
    <w:rsid w:val="00885947"/>
    <w:rsid w:val="00886077"/>
    <w:rsid w:val="008873A9"/>
    <w:rsid w:val="008904B5"/>
    <w:rsid w:val="008A086C"/>
    <w:rsid w:val="008A09A3"/>
    <w:rsid w:val="008A1949"/>
    <w:rsid w:val="008A1AEA"/>
    <w:rsid w:val="008A3D22"/>
    <w:rsid w:val="008A4C74"/>
    <w:rsid w:val="008A4F51"/>
    <w:rsid w:val="008A5B70"/>
    <w:rsid w:val="008A5C9B"/>
    <w:rsid w:val="008B06E0"/>
    <w:rsid w:val="008B0C17"/>
    <w:rsid w:val="008B4172"/>
    <w:rsid w:val="008B5C10"/>
    <w:rsid w:val="008B6A6B"/>
    <w:rsid w:val="008B7316"/>
    <w:rsid w:val="008B796C"/>
    <w:rsid w:val="008C1618"/>
    <w:rsid w:val="008C16AD"/>
    <w:rsid w:val="008C2C2E"/>
    <w:rsid w:val="008C308E"/>
    <w:rsid w:val="008C3CC7"/>
    <w:rsid w:val="008C547D"/>
    <w:rsid w:val="008C5D66"/>
    <w:rsid w:val="008C6134"/>
    <w:rsid w:val="008D00DA"/>
    <w:rsid w:val="008D0688"/>
    <w:rsid w:val="008D4BBA"/>
    <w:rsid w:val="008D530E"/>
    <w:rsid w:val="008D6231"/>
    <w:rsid w:val="008D6D8C"/>
    <w:rsid w:val="008D74B7"/>
    <w:rsid w:val="008E0D3B"/>
    <w:rsid w:val="008E39D5"/>
    <w:rsid w:val="008E428D"/>
    <w:rsid w:val="008E6319"/>
    <w:rsid w:val="008E7432"/>
    <w:rsid w:val="008F42D0"/>
    <w:rsid w:val="008F748A"/>
    <w:rsid w:val="008F762A"/>
    <w:rsid w:val="00900BD4"/>
    <w:rsid w:val="009019BC"/>
    <w:rsid w:val="00901EAB"/>
    <w:rsid w:val="00902CCF"/>
    <w:rsid w:val="009045F1"/>
    <w:rsid w:val="00904BE3"/>
    <w:rsid w:val="009054F9"/>
    <w:rsid w:val="00907A5A"/>
    <w:rsid w:val="009107DB"/>
    <w:rsid w:val="0091257D"/>
    <w:rsid w:val="009127ED"/>
    <w:rsid w:val="00912A95"/>
    <w:rsid w:val="00913E6E"/>
    <w:rsid w:val="009144C8"/>
    <w:rsid w:val="00914DDE"/>
    <w:rsid w:val="009166F5"/>
    <w:rsid w:val="009217BF"/>
    <w:rsid w:val="0092183C"/>
    <w:rsid w:val="00921B44"/>
    <w:rsid w:val="00923FB1"/>
    <w:rsid w:val="00925359"/>
    <w:rsid w:val="00925B8F"/>
    <w:rsid w:val="00926284"/>
    <w:rsid w:val="009262AE"/>
    <w:rsid w:val="009267FA"/>
    <w:rsid w:val="00930034"/>
    <w:rsid w:val="0093137F"/>
    <w:rsid w:val="00932E31"/>
    <w:rsid w:val="00933071"/>
    <w:rsid w:val="00933669"/>
    <w:rsid w:val="00934089"/>
    <w:rsid w:val="00934597"/>
    <w:rsid w:val="00936359"/>
    <w:rsid w:val="0093647D"/>
    <w:rsid w:val="00940B3A"/>
    <w:rsid w:val="0094184F"/>
    <w:rsid w:val="009513AA"/>
    <w:rsid w:val="00951B33"/>
    <w:rsid w:val="00953F4A"/>
    <w:rsid w:val="00954128"/>
    <w:rsid w:val="009546F4"/>
    <w:rsid w:val="00955500"/>
    <w:rsid w:val="009555F8"/>
    <w:rsid w:val="009605B8"/>
    <w:rsid w:val="00962603"/>
    <w:rsid w:val="00963113"/>
    <w:rsid w:val="00963A20"/>
    <w:rsid w:val="00965AC6"/>
    <w:rsid w:val="0096756B"/>
    <w:rsid w:val="009701CF"/>
    <w:rsid w:val="00970C49"/>
    <w:rsid w:val="009711EA"/>
    <w:rsid w:val="00971784"/>
    <w:rsid w:val="00973551"/>
    <w:rsid w:val="00974BB7"/>
    <w:rsid w:val="00974BFF"/>
    <w:rsid w:val="0097580B"/>
    <w:rsid w:val="00975AFD"/>
    <w:rsid w:val="00975D28"/>
    <w:rsid w:val="0097618C"/>
    <w:rsid w:val="00976DC7"/>
    <w:rsid w:val="00982B08"/>
    <w:rsid w:val="00982E89"/>
    <w:rsid w:val="00984492"/>
    <w:rsid w:val="00986562"/>
    <w:rsid w:val="009867E3"/>
    <w:rsid w:val="00986882"/>
    <w:rsid w:val="00990A34"/>
    <w:rsid w:val="009916D3"/>
    <w:rsid w:val="00991F7D"/>
    <w:rsid w:val="009931E7"/>
    <w:rsid w:val="0099354C"/>
    <w:rsid w:val="0099378D"/>
    <w:rsid w:val="00993DC2"/>
    <w:rsid w:val="009948A1"/>
    <w:rsid w:val="0099609B"/>
    <w:rsid w:val="009960CB"/>
    <w:rsid w:val="00996E5B"/>
    <w:rsid w:val="009A0139"/>
    <w:rsid w:val="009A0DAB"/>
    <w:rsid w:val="009A14FD"/>
    <w:rsid w:val="009A1767"/>
    <w:rsid w:val="009A6300"/>
    <w:rsid w:val="009A6ACD"/>
    <w:rsid w:val="009B0642"/>
    <w:rsid w:val="009B204D"/>
    <w:rsid w:val="009B2A5F"/>
    <w:rsid w:val="009B321F"/>
    <w:rsid w:val="009B66C1"/>
    <w:rsid w:val="009B6EB3"/>
    <w:rsid w:val="009B71D2"/>
    <w:rsid w:val="009B739D"/>
    <w:rsid w:val="009C0728"/>
    <w:rsid w:val="009C0DFD"/>
    <w:rsid w:val="009C2B1C"/>
    <w:rsid w:val="009C319B"/>
    <w:rsid w:val="009C3350"/>
    <w:rsid w:val="009C44FD"/>
    <w:rsid w:val="009C7FF4"/>
    <w:rsid w:val="009D0F06"/>
    <w:rsid w:val="009D2ED0"/>
    <w:rsid w:val="009D377C"/>
    <w:rsid w:val="009D3B75"/>
    <w:rsid w:val="009D45B1"/>
    <w:rsid w:val="009D4A4D"/>
    <w:rsid w:val="009D6C9F"/>
    <w:rsid w:val="009D729E"/>
    <w:rsid w:val="009D7FF0"/>
    <w:rsid w:val="009E0C94"/>
    <w:rsid w:val="009E10FC"/>
    <w:rsid w:val="009E6A04"/>
    <w:rsid w:val="009E7447"/>
    <w:rsid w:val="009E7F71"/>
    <w:rsid w:val="009F2402"/>
    <w:rsid w:val="009F2744"/>
    <w:rsid w:val="009F3A2D"/>
    <w:rsid w:val="009F4892"/>
    <w:rsid w:val="009F5B08"/>
    <w:rsid w:val="009F5EB8"/>
    <w:rsid w:val="009F6EF8"/>
    <w:rsid w:val="00A00B37"/>
    <w:rsid w:val="00A01C4C"/>
    <w:rsid w:val="00A022DA"/>
    <w:rsid w:val="00A044C2"/>
    <w:rsid w:val="00A048D8"/>
    <w:rsid w:val="00A04F78"/>
    <w:rsid w:val="00A05640"/>
    <w:rsid w:val="00A06D29"/>
    <w:rsid w:val="00A107C6"/>
    <w:rsid w:val="00A10ED6"/>
    <w:rsid w:val="00A11AB4"/>
    <w:rsid w:val="00A12599"/>
    <w:rsid w:val="00A13881"/>
    <w:rsid w:val="00A14EC3"/>
    <w:rsid w:val="00A16FE9"/>
    <w:rsid w:val="00A17D46"/>
    <w:rsid w:val="00A20528"/>
    <w:rsid w:val="00A25194"/>
    <w:rsid w:val="00A25661"/>
    <w:rsid w:val="00A269EF"/>
    <w:rsid w:val="00A270D5"/>
    <w:rsid w:val="00A31A4C"/>
    <w:rsid w:val="00A31CAB"/>
    <w:rsid w:val="00A33760"/>
    <w:rsid w:val="00A362F4"/>
    <w:rsid w:val="00A37976"/>
    <w:rsid w:val="00A429A8"/>
    <w:rsid w:val="00A44A83"/>
    <w:rsid w:val="00A458CD"/>
    <w:rsid w:val="00A47835"/>
    <w:rsid w:val="00A5096B"/>
    <w:rsid w:val="00A526D1"/>
    <w:rsid w:val="00A53B7F"/>
    <w:rsid w:val="00A5596B"/>
    <w:rsid w:val="00A61E8D"/>
    <w:rsid w:val="00A6303A"/>
    <w:rsid w:val="00A63904"/>
    <w:rsid w:val="00A64C29"/>
    <w:rsid w:val="00A65B83"/>
    <w:rsid w:val="00A66468"/>
    <w:rsid w:val="00A66532"/>
    <w:rsid w:val="00A6687C"/>
    <w:rsid w:val="00A66A20"/>
    <w:rsid w:val="00A70366"/>
    <w:rsid w:val="00A75851"/>
    <w:rsid w:val="00A75E68"/>
    <w:rsid w:val="00A76C06"/>
    <w:rsid w:val="00A77E9B"/>
    <w:rsid w:val="00A77E9E"/>
    <w:rsid w:val="00A80634"/>
    <w:rsid w:val="00A808FE"/>
    <w:rsid w:val="00A819E1"/>
    <w:rsid w:val="00A82005"/>
    <w:rsid w:val="00A82B24"/>
    <w:rsid w:val="00A84DAB"/>
    <w:rsid w:val="00A85B86"/>
    <w:rsid w:val="00A863B2"/>
    <w:rsid w:val="00A87822"/>
    <w:rsid w:val="00A91EE1"/>
    <w:rsid w:val="00A92248"/>
    <w:rsid w:val="00A93BF5"/>
    <w:rsid w:val="00A951D8"/>
    <w:rsid w:val="00A955DA"/>
    <w:rsid w:val="00A96E7A"/>
    <w:rsid w:val="00A97681"/>
    <w:rsid w:val="00A978A1"/>
    <w:rsid w:val="00AA11D5"/>
    <w:rsid w:val="00AA1BE3"/>
    <w:rsid w:val="00AA207A"/>
    <w:rsid w:val="00AA4912"/>
    <w:rsid w:val="00AA744F"/>
    <w:rsid w:val="00AA788B"/>
    <w:rsid w:val="00AA79CD"/>
    <w:rsid w:val="00AB1AF5"/>
    <w:rsid w:val="00AB2167"/>
    <w:rsid w:val="00AB2495"/>
    <w:rsid w:val="00AB4ECB"/>
    <w:rsid w:val="00AB7409"/>
    <w:rsid w:val="00AB74E6"/>
    <w:rsid w:val="00AB7C13"/>
    <w:rsid w:val="00AC1F79"/>
    <w:rsid w:val="00AC5D77"/>
    <w:rsid w:val="00AC6763"/>
    <w:rsid w:val="00AD0509"/>
    <w:rsid w:val="00AD12BC"/>
    <w:rsid w:val="00AD3526"/>
    <w:rsid w:val="00AD4769"/>
    <w:rsid w:val="00AD57F8"/>
    <w:rsid w:val="00AD60D6"/>
    <w:rsid w:val="00AD777B"/>
    <w:rsid w:val="00AE00C6"/>
    <w:rsid w:val="00AE0725"/>
    <w:rsid w:val="00AE0ADC"/>
    <w:rsid w:val="00AE29DC"/>
    <w:rsid w:val="00AE4C9F"/>
    <w:rsid w:val="00AE5106"/>
    <w:rsid w:val="00AE51D7"/>
    <w:rsid w:val="00AE6131"/>
    <w:rsid w:val="00AE78A9"/>
    <w:rsid w:val="00AE797B"/>
    <w:rsid w:val="00AE7D8B"/>
    <w:rsid w:val="00AF1DE4"/>
    <w:rsid w:val="00AF595B"/>
    <w:rsid w:val="00AF5D1F"/>
    <w:rsid w:val="00AF76C5"/>
    <w:rsid w:val="00AF772F"/>
    <w:rsid w:val="00AF7BAE"/>
    <w:rsid w:val="00B01483"/>
    <w:rsid w:val="00B01A62"/>
    <w:rsid w:val="00B02BC7"/>
    <w:rsid w:val="00B032E7"/>
    <w:rsid w:val="00B03B96"/>
    <w:rsid w:val="00B04F0D"/>
    <w:rsid w:val="00B0635E"/>
    <w:rsid w:val="00B07953"/>
    <w:rsid w:val="00B1086D"/>
    <w:rsid w:val="00B11AEC"/>
    <w:rsid w:val="00B15272"/>
    <w:rsid w:val="00B15D2E"/>
    <w:rsid w:val="00B17647"/>
    <w:rsid w:val="00B22F6A"/>
    <w:rsid w:val="00B24450"/>
    <w:rsid w:val="00B245DA"/>
    <w:rsid w:val="00B24701"/>
    <w:rsid w:val="00B267FF"/>
    <w:rsid w:val="00B2721E"/>
    <w:rsid w:val="00B300BD"/>
    <w:rsid w:val="00B30551"/>
    <w:rsid w:val="00B31DE0"/>
    <w:rsid w:val="00B34291"/>
    <w:rsid w:val="00B3465B"/>
    <w:rsid w:val="00B3501D"/>
    <w:rsid w:val="00B36408"/>
    <w:rsid w:val="00B36465"/>
    <w:rsid w:val="00B370FB"/>
    <w:rsid w:val="00B37C3B"/>
    <w:rsid w:val="00B45F43"/>
    <w:rsid w:val="00B469AB"/>
    <w:rsid w:val="00B47770"/>
    <w:rsid w:val="00B503A2"/>
    <w:rsid w:val="00B524D6"/>
    <w:rsid w:val="00B54336"/>
    <w:rsid w:val="00B5487A"/>
    <w:rsid w:val="00B56052"/>
    <w:rsid w:val="00B56D91"/>
    <w:rsid w:val="00B56E9A"/>
    <w:rsid w:val="00B60534"/>
    <w:rsid w:val="00B60DF7"/>
    <w:rsid w:val="00B6176C"/>
    <w:rsid w:val="00B6285C"/>
    <w:rsid w:val="00B63313"/>
    <w:rsid w:val="00B636DA"/>
    <w:rsid w:val="00B64533"/>
    <w:rsid w:val="00B64DDA"/>
    <w:rsid w:val="00B659E3"/>
    <w:rsid w:val="00B6770C"/>
    <w:rsid w:val="00B67B0E"/>
    <w:rsid w:val="00B711A0"/>
    <w:rsid w:val="00B72E5B"/>
    <w:rsid w:val="00B72F37"/>
    <w:rsid w:val="00B74242"/>
    <w:rsid w:val="00B753B5"/>
    <w:rsid w:val="00B75BC0"/>
    <w:rsid w:val="00B75C83"/>
    <w:rsid w:val="00B7687B"/>
    <w:rsid w:val="00B76C11"/>
    <w:rsid w:val="00B76D60"/>
    <w:rsid w:val="00B7751B"/>
    <w:rsid w:val="00B81F33"/>
    <w:rsid w:val="00B822D4"/>
    <w:rsid w:val="00B837DF"/>
    <w:rsid w:val="00B845B5"/>
    <w:rsid w:val="00B85512"/>
    <w:rsid w:val="00B86239"/>
    <w:rsid w:val="00B8632F"/>
    <w:rsid w:val="00B9113F"/>
    <w:rsid w:val="00B9491C"/>
    <w:rsid w:val="00B95D0C"/>
    <w:rsid w:val="00B96B48"/>
    <w:rsid w:val="00B97E83"/>
    <w:rsid w:val="00BA152B"/>
    <w:rsid w:val="00BA1A38"/>
    <w:rsid w:val="00BA3922"/>
    <w:rsid w:val="00BA4519"/>
    <w:rsid w:val="00BA53FC"/>
    <w:rsid w:val="00BB09C7"/>
    <w:rsid w:val="00BB20D8"/>
    <w:rsid w:val="00BB2882"/>
    <w:rsid w:val="00BB3991"/>
    <w:rsid w:val="00BB3DDF"/>
    <w:rsid w:val="00BB495B"/>
    <w:rsid w:val="00BB5D23"/>
    <w:rsid w:val="00BB7BFA"/>
    <w:rsid w:val="00BB7EC9"/>
    <w:rsid w:val="00BC1479"/>
    <w:rsid w:val="00BC1BD5"/>
    <w:rsid w:val="00BC2249"/>
    <w:rsid w:val="00BC2EE2"/>
    <w:rsid w:val="00BC3EB5"/>
    <w:rsid w:val="00BC5117"/>
    <w:rsid w:val="00BC57AC"/>
    <w:rsid w:val="00BC5A66"/>
    <w:rsid w:val="00BD0543"/>
    <w:rsid w:val="00BD281A"/>
    <w:rsid w:val="00BD5BE5"/>
    <w:rsid w:val="00BD5F49"/>
    <w:rsid w:val="00BD71A1"/>
    <w:rsid w:val="00BD7F23"/>
    <w:rsid w:val="00BD7F4E"/>
    <w:rsid w:val="00BE07C6"/>
    <w:rsid w:val="00BE0EFE"/>
    <w:rsid w:val="00BE1F90"/>
    <w:rsid w:val="00BE3220"/>
    <w:rsid w:val="00BE4F23"/>
    <w:rsid w:val="00BE5FBC"/>
    <w:rsid w:val="00BF0918"/>
    <w:rsid w:val="00BF15D4"/>
    <w:rsid w:val="00BF3349"/>
    <w:rsid w:val="00BF3470"/>
    <w:rsid w:val="00BF7A45"/>
    <w:rsid w:val="00BF7BB8"/>
    <w:rsid w:val="00BF7E0A"/>
    <w:rsid w:val="00C006EE"/>
    <w:rsid w:val="00C0233E"/>
    <w:rsid w:val="00C068EF"/>
    <w:rsid w:val="00C10A14"/>
    <w:rsid w:val="00C16F1E"/>
    <w:rsid w:val="00C17237"/>
    <w:rsid w:val="00C221C9"/>
    <w:rsid w:val="00C276F5"/>
    <w:rsid w:val="00C30441"/>
    <w:rsid w:val="00C30D52"/>
    <w:rsid w:val="00C341DF"/>
    <w:rsid w:val="00C35145"/>
    <w:rsid w:val="00C40C68"/>
    <w:rsid w:val="00C414E1"/>
    <w:rsid w:val="00C41BB9"/>
    <w:rsid w:val="00C433F1"/>
    <w:rsid w:val="00C45C72"/>
    <w:rsid w:val="00C45ECE"/>
    <w:rsid w:val="00C46F16"/>
    <w:rsid w:val="00C47019"/>
    <w:rsid w:val="00C471BB"/>
    <w:rsid w:val="00C475AD"/>
    <w:rsid w:val="00C50B71"/>
    <w:rsid w:val="00C53D9D"/>
    <w:rsid w:val="00C558CA"/>
    <w:rsid w:val="00C608C7"/>
    <w:rsid w:val="00C61D8B"/>
    <w:rsid w:val="00C61DC9"/>
    <w:rsid w:val="00C620F4"/>
    <w:rsid w:val="00C6720A"/>
    <w:rsid w:val="00C70ED5"/>
    <w:rsid w:val="00C72AE3"/>
    <w:rsid w:val="00C7440E"/>
    <w:rsid w:val="00C74966"/>
    <w:rsid w:val="00C750FC"/>
    <w:rsid w:val="00C75696"/>
    <w:rsid w:val="00C758F4"/>
    <w:rsid w:val="00C76037"/>
    <w:rsid w:val="00C7691B"/>
    <w:rsid w:val="00C80F5E"/>
    <w:rsid w:val="00C8280C"/>
    <w:rsid w:val="00C8761D"/>
    <w:rsid w:val="00C8786C"/>
    <w:rsid w:val="00C90336"/>
    <w:rsid w:val="00C90C58"/>
    <w:rsid w:val="00C90E9F"/>
    <w:rsid w:val="00C93651"/>
    <w:rsid w:val="00C95B68"/>
    <w:rsid w:val="00CA6633"/>
    <w:rsid w:val="00CB095F"/>
    <w:rsid w:val="00CB3007"/>
    <w:rsid w:val="00CB71B8"/>
    <w:rsid w:val="00CC1196"/>
    <w:rsid w:val="00CC205B"/>
    <w:rsid w:val="00CC2C70"/>
    <w:rsid w:val="00CC3A4E"/>
    <w:rsid w:val="00CC6465"/>
    <w:rsid w:val="00CC6EA2"/>
    <w:rsid w:val="00CC77CB"/>
    <w:rsid w:val="00CC7810"/>
    <w:rsid w:val="00CD4375"/>
    <w:rsid w:val="00CD5BC0"/>
    <w:rsid w:val="00CD66A2"/>
    <w:rsid w:val="00CE0352"/>
    <w:rsid w:val="00CE054A"/>
    <w:rsid w:val="00CE08E6"/>
    <w:rsid w:val="00CE26A4"/>
    <w:rsid w:val="00CE400A"/>
    <w:rsid w:val="00CE4454"/>
    <w:rsid w:val="00CE4C7F"/>
    <w:rsid w:val="00CE6A2C"/>
    <w:rsid w:val="00CF0978"/>
    <w:rsid w:val="00CF1FD5"/>
    <w:rsid w:val="00CF5334"/>
    <w:rsid w:val="00CF69D0"/>
    <w:rsid w:val="00D010FE"/>
    <w:rsid w:val="00D01A93"/>
    <w:rsid w:val="00D029A7"/>
    <w:rsid w:val="00D03D6F"/>
    <w:rsid w:val="00D061EB"/>
    <w:rsid w:val="00D062DD"/>
    <w:rsid w:val="00D07BCB"/>
    <w:rsid w:val="00D104CC"/>
    <w:rsid w:val="00D11AD9"/>
    <w:rsid w:val="00D14EB0"/>
    <w:rsid w:val="00D1501C"/>
    <w:rsid w:val="00D1603A"/>
    <w:rsid w:val="00D16D04"/>
    <w:rsid w:val="00D171DD"/>
    <w:rsid w:val="00D21797"/>
    <w:rsid w:val="00D220CA"/>
    <w:rsid w:val="00D221A3"/>
    <w:rsid w:val="00D24E83"/>
    <w:rsid w:val="00D255D9"/>
    <w:rsid w:val="00D25AB7"/>
    <w:rsid w:val="00D26BAB"/>
    <w:rsid w:val="00D27229"/>
    <w:rsid w:val="00D30DEB"/>
    <w:rsid w:val="00D3131D"/>
    <w:rsid w:val="00D31E39"/>
    <w:rsid w:val="00D3298D"/>
    <w:rsid w:val="00D34B22"/>
    <w:rsid w:val="00D35091"/>
    <w:rsid w:val="00D360DD"/>
    <w:rsid w:val="00D36B3F"/>
    <w:rsid w:val="00D41DB5"/>
    <w:rsid w:val="00D41FFF"/>
    <w:rsid w:val="00D4336C"/>
    <w:rsid w:val="00D44592"/>
    <w:rsid w:val="00D446ED"/>
    <w:rsid w:val="00D455AA"/>
    <w:rsid w:val="00D457A4"/>
    <w:rsid w:val="00D4675C"/>
    <w:rsid w:val="00D470CB"/>
    <w:rsid w:val="00D473E6"/>
    <w:rsid w:val="00D5104C"/>
    <w:rsid w:val="00D51155"/>
    <w:rsid w:val="00D5116C"/>
    <w:rsid w:val="00D51F65"/>
    <w:rsid w:val="00D540B9"/>
    <w:rsid w:val="00D545CD"/>
    <w:rsid w:val="00D55D8C"/>
    <w:rsid w:val="00D567CD"/>
    <w:rsid w:val="00D56E82"/>
    <w:rsid w:val="00D6232E"/>
    <w:rsid w:val="00D630A5"/>
    <w:rsid w:val="00D65508"/>
    <w:rsid w:val="00D667AB"/>
    <w:rsid w:val="00D67E21"/>
    <w:rsid w:val="00D707E7"/>
    <w:rsid w:val="00D71086"/>
    <w:rsid w:val="00D73873"/>
    <w:rsid w:val="00D74DC9"/>
    <w:rsid w:val="00D76937"/>
    <w:rsid w:val="00D8088D"/>
    <w:rsid w:val="00D809CD"/>
    <w:rsid w:val="00D8101C"/>
    <w:rsid w:val="00D82180"/>
    <w:rsid w:val="00D8681D"/>
    <w:rsid w:val="00D87701"/>
    <w:rsid w:val="00D90BBB"/>
    <w:rsid w:val="00D915C8"/>
    <w:rsid w:val="00D91C2F"/>
    <w:rsid w:val="00D94EC5"/>
    <w:rsid w:val="00D96A21"/>
    <w:rsid w:val="00D96C24"/>
    <w:rsid w:val="00D96DC7"/>
    <w:rsid w:val="00D9796E"/>
    <w:rsid w:val="00DA047A"/>
    <w:rsid w:val="00DA16D7"/>
    <w:rsid w:val="00DA260E"/>
    <w:rsid w:val="00DA297B"/>
    <w:rsid w:val="00DA57C0"/>
    <w:rsid w:val="00DB0815"/>
    <w:rsid w:val="00DB2574"/>
    <w:rsid w:val="00DB55EB"/>
    <w:rsid w:val="00DB682C"/>
    <w:rsid w:val="00DB6A28"/>
    <w:rsid w:val="00DB6DD0"/>
    <w:rsid w:val="00DB7574"/>
    <w:rsid w:val="00DC0431"/>
    <w:rsid w:val="00DC09CA"/>
    <w:rsid w:val="00DC0B22"/>
    <w:rsid w:val="00DC3586"/>
    <w:rsid w:val="00DC3C2C"/>
    <w:rsid w:val="00DC3F54"/>
    <w:rsid w:val="00DC53AE"/>
    <w:rsid w:val="00DC5E86"/>
    <w:rsid w:val="00DC750E"/>
    <w:rsid w:val="00DD0AA3"/>
    <w:rsid w:val="00DD141A"/>
    <w:rsid w:val="00DD19F4"/>
    <w:rsid w:val="00DD2186"/>
    <w:rsid w:val="00DD3196"/>
    <w:rsid w:val="00DD5353"/>
    <w:rsid w:val="00DD632F"/>
    <w:rsid w:val="00DD6B18"/>
    <w:rsid w:val="00DD6E01"/>
    <w:rsid w:val="00DD7B95"/>
    <w:rsid w:val="00DE2D31"/>
    <w:rsid w:val="00DE3E4B"/>
    <w:rsid w:val="00DE783B"/>
    <w:rsid w:val="00DF068C"/>
    <w:rsid w:val="00DF06D1"/>
    <w:rsid w:val="00DF1554"/>
    <w:rsid w:val="00DF2DF4"/>
    <w:rsid w:val="00DF2EC2"/>
    <w:rsid w:val="00DF5579"/>
    <w:rsid w:val="00DF6600"/>
    <w:rsid w:val="00E007F7"/>
    <w:rsid w:val="00E01400"/>
    <w:rsid w:val="00E014D5"/>
    <w:rsid w:val="00E0181B"/>
    <w:rsid w:val="00E02ABE"/>
    <w:rsid w:val="00E036DE"/>
    <w:rsid w:val="00E07EAB"/>
    <w:rsid w:val="00E115CE"/>
    <w:rsid w:val="00E118FF"/>
    <w:rsid w:val="00E14260"/>
    <w:rsid w:val="00E17955"/>
    <w:rsid w:val="00E2113F"/>
    <w:rsid w:val="00E24228"/>
    <w:rsid w:val="00E2429D"/>
    <w:rsid w:val="00E25B8B"/>
    <w:rsid w:val="00E317DF"/>
    <w:rsid w:val="00E31CBA"/>
    <w:rsid w:val="00E31CD0"/>
    <w:rsid w:val="00E32262"/>
    <w:rsid w:val="00E32A27"/>
    <w:rsid w:val="00E3457F"/>
    <w:rsid w:val="00E36050"/>
    <w:rsid w:val="00E36FB1"/>
    <w:rsid w:val="00E3712A"/>
    <w:rsid w:val="00E3792A"/>
    <w:rsid w:val="00E37EFD"/>
    <w:rsid w:val="00E41673"/>
    <w:rsid w:val="00E439E5"/>
    <w:rsid w:val="00E442B6"/>
    <w:rsid w:val="00E45982"/>
    <w:rsid w:val="00E5037A"/>
    <w:rsid w:val="00E5235E"/>
    <w:rsid w:val="00E537C5"/>
    <w:rsid w:val="00E55C28"/>
    <w:rsid w:val="00E6003C"/>
    <w:rsid w:val="00E620F7"/>
    <w:rsid w:val="00E62E84"/>
    <w:rsid w:val="00E633AB"/>
    <w:rsid w:val="00E63950"/>
    <w:rsid w:val="00E67583"/>
    <w:rsid w:val="00E71244"/>
    <w:rsid w:val="00E71EA7"/>
    <w:rsid w:val="00E72441"/>
    <w:rsid w:val="00E731C3"/>
    <w:rsid w:val="00E737BD"/>
    <w:rsid w:val="00E75C98"/>
    <w:rsid w:val="00E82057"/>
    <w:rsid w:val="00E82FD7"/>
    <w:rsid w:val="00E84B47"/>
    <w:rsid w:val="00E85713"/>
    <w:rsid w:val="00E85969"/>
    <w:rsid w:val="00E907CE"/>
    <w:rsid w:val="00E90EAB"/>
    <w:rsid w:val="00E90FA7"/>
    <w:rsid w:val="00E92219"/>
    <w:rsid w:val="00E924DC"/>
    <w:rsid w:val="00E927A0"/>
    <w:rsid w:val="00E92970"/>
    <w:rsid w:val="00E938A4"/>
    <w:rsid w:val="00E968D2"/>
    <w:rsid w:val="00E9701E"/>
    <w:rsid w:val="00EA0DA0"/>
    <w:rsid w:val="00EA1AF2"/>
    <w:rsid w:val="00EA2DD2"/>
    <w:rsid w:val="00EA2DF2"/>
    <w:rsid w:val="00EA4AB5"/>
    <w:rsid w:val="00EA4D4B"/>
    <w:rsid w:val="00EA52D7"/>
    <w:rsid w:val="00EA53F5"/>
    <w:rsid w:val="00EA669E"/>
    <w:rsid w:val="00EA6767"/>
    <w:rsid w:val="00EB0157"/>
    <w:rsid w:val="00EB0330"/>
    <w:rsid w:val="00EB0974"/>
    <w:rsid w:val="00EB0B84"/>
    <w:rsid w:val="00EB5210"/>
    <w:rsid w:val="00EB7B29"/>
    <w:rsid w:val="00EC10DC"/>
    <w:rsid w:val="00EC12F8"/>
    <w:rsid w:val="00EC14C1"/>
    <w:rsid w:val="00EC2028"/>
    <w:rsid w:val="00EC2384"/>
    <w:rsid w:val="00EC25FA"/>
    <w:rsid w:val="00EC5614"/>
    <w:rsid w:val="00EC7E16"/>
    <w:rsid w:val="00ED19A0"/>
    <w:rsid w:val="00ED31B2"/>
    <w:rsid w:val="00ED4D24"/>
    <w:rsid w:val="00ED514E"/>
    <w:rsid w:val="00ED598C"/>
    <w:rsid w:val="00ED6C06"/>
    <w:rsid w:val="00EE18D1"/>
    <w:rsid w:val="00EE207E"/>
    <w:rsid w:val="00EE2B3B"/>
    <w:rsid w:val="00EE39C5"/>
    <w:rsid w:val="00EE5520"/>
    <w:rsid w:val="00EF22B1"/>
    <w:rsid w:val="00EF28BC"/>
    <w:rsid w:val="00EF6FF9"/>
    <w:rsid w:val="00EF77AA"/>
    <w:rsid w:val="00EF7C67"/>
    <w:rsid w:val="00F00970"/>
    <w:rsid w:val="00F02B59"/>
    <w:rsid w:val="00F03C76"/>
    <w:rsid w:val="00F0564A"/>
    <w:rsid w:val="00F05909"/>
    <w:rsid w:val="00F06A64"/>
    <w:rsid w:val="00F07EE7"/>
    <w:rsid w:val="00F10261"/>
    <w:rsid w:val="00F1158E"/>
    <w:rsid w:val="00F1377B"/>
    <w:rsid w:val="00F13E1D"/>
    <w:rsid w:val="00F14C2C"/>
    <w:rsid w:val="00F1787D"/>
    <w:rsid w:val="00F17E0A"/>
    <w:rsid w:val="00F21D94"/>
    <w:rsid w:val="00F22324"/>
    <w:rsid w:val="00F23F06"/>
    <w:rsid w:val="00F23FBC"/>
    <w:rsid w:val="00F26EF9"/>
    <w:rsid w:val="00F31D29"/>
    <w:rsid w:val="00F333EA"/>
    <w:rsid w:val="00F33868"/>
    <w:rsid w:val="00F34BB0"/>
    <w:rsid w:val="00F34BCC"/>
    <w:rsid w:val="00F41166"/>
    <w:rsid w:val="00F42CD2"/>
    <w:rsid w:val="00F440F5"/>
    <w:rsid w:val="00F4439A"/>
    <w:rsid w:val="00F44EDE"/>
    <w:rsid w:val="00F45F96"/>
    <w:rsid w:val="00F46074"/>
    <w:rsid w:val="00F46964"/>
    <w:rsid w:val="00F53E2C"/>
    <w:rsid w:val="00F54D9A"/>
    <w:rsid w:val="00F554BD"/>
    <w:rsid w:val="00F574F2"/>
    <w:rsid w:val="00F617F9"/>
    <w:rsid w:val="00F61AF0"/>
    <w:rsid w:val="00F6238D"/>
    <w:rsid w:val="00F62C64"/>
    <w:rsid w:val="00F63634"/>
    <w:rsid w:val="00F64761"/>
    <w:rsid w:val="00F70046"/>
    <w:rsid w:val="00F73C27"/>
    <w:rsid w:val="00F75650"/>
    <w:rsid w:val="00F75F2B"/>
    <w:rsid w:val="00F76237"/>
    <w:rsid w:val="00F766F3"/>
    <w:rsid w:val="00F77ED1"/>
    <w:rsid w:val="00F8002E"/>
    <w:rsid w:val="00F816F1"/>
    <w:rsid w:val="00F82A88"/>
    <w:rsid w:val="00F82D93"/>
    <w:rsid w:val="00F8301E"/>
    <w:rsid w:val="00F85137"/>
    <w:rsid w:val="00F868B3"/>
    <w:rsid w:val="00F8760A"/>
    <w:rsid w:val="00F92B28"/>
    <w:rsid w:val="00F92D2F"/>
    <w:rsid w:val="00F9353D"/>
    <w:rsid w:val="00F935E3"/>
    <w:rsid w:val="00F939D5"/>
    <w:rsid w:val="00F94201"/>
    <w:rsid w:val="00F94295"/>
    <w:rsid w:val="00F946B2"/>
    <w:rsid w:val="00F96C24"/>
    <w:rsid w:val="00F96FBF"/>
    <w:rsid w:val="00F97B06"/>
    <w:rsid w:val="00FA0281"/>
    <w:rsid w:val="00FA4F62"/>
    <w:rsid w:val="00FA55A3"/>
    <w:rsid w:val="00FA5CB1"/>
    <w:rsid w:val="00FA7E4F"/>
    <w:rsid w:val="00FB007B"/>
    <w:rsid w:val="00FB03D5"/>
    <w:rsid w:val="00FB148E"/>
    <w:rsid w:val="00FB3EC2"/>
    <w:rsid w:val="00FB4B51"/>
    <w:rsid w:val="00FB5C17"/>
    <w:rsid w:val="00FC103B"/>
    <w:rsid w:val="00FC1ADB"/>
    <w:rsid w:val="00FC357B"/>
    <w:rsid w:val="00FC3BBA"/>
    <w:rsid w:val="00FC4953"/>
    <w:rsid w:val="00FC4B8E"/>
    <w:rsid w:val="00FC655C"/>
    <w:rsid w:val="00FD2908"/>
    <w:rsid w:val="00FD2C0E"/>
    <w:rsid w:val="00FD6411"/>
    <w:rsid w:val="00FD6E3F"/>
    <w:rsid w:val="00FD761E"/>
    <w:rsid w:val="00FE3504"/>
    <w:rsid w:val="00FE35CA"/>
    <w:rsid w:val="00FE4DCC"/>
    <w:rsid w:val="00FE56A7"/>
    <w:rsid w:val="00FE6BCB"/>
    <w:rsid w:val="00FE73BF"/>
    <w:rsid w:val="00FF067F"/>
    <w:rsid w:val="00FF0AEA"/>
    <w:rsid w:val="00FF3EB4"/>
    <w:rsid w:val="00FF4BE0"/>
    <w:rsid w:val="00FF56CD"/>
    <w:rsid w:val="00FF72D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410F9"/>
  <w15:docId w15:val="{271F5CA2-D1FF-4F8E-B1F1-B18D237BF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B300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B300BD"/>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B300BD"/>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B300BD"/>
    <w:rPr>
      <w:rFonts w:asciiTheme="majorHAnsi" w:eastAsiaTheme="majorEastAsia" w:hAnsiTheme="majorHAnsi" w:cstheme="majorBidi"/>
      <w:b/>
      <w:bCs/>
      <w:color w:val="4F81BD" w:themeColor="accent1"/>
    </w:rPr>
  </w:style>
  <w:style w:type="paragraph" w:styleId="Lijstalinea">
    <w:name w:val="List Paragraph"/>
    <w:basedOn w:val="Standaard"/>
    <w:link w:val="LijstalineaChar"/>
    <w:uiPriority w:val="34"/>
    <w:qFormat/>
    <w:rsid w:val="00434F05"/>
    <w:pPr>
      <w:ind w:left="720"/>
      <w:contextualSpacing/>
    </w:pPr>
  </w:style>
  <w:style w:type="paragraph" w:styleId="Ballontekst">
    <w:name w:val="Balloon Text"/>
    <w:basedOn w:val="Standaard"/>
    <w:link w:val="BallontekstChar"/>
    <w:uiPriority w:val="99"/>
    <w:semiHidden/>
    <w:unhideWhenUsed/>
    <w:rsid w:val="001C4BD0"/>
    <w:rPr>
      <w:rFonts w:ascii="Tahoma" w:hAnsi="Tahoma" w:cs="Tahoma"/>
      <w:sz w:val="16"/>
      <w:szCs w:val="16"/>
    </w:rPr>
  </w:style>
  <w:style w:type="character" w:customStyle="1" w:styleId="BallontekstChar">
    <w:name w:val="Ballontekst Char"/>
    <w:basedOn w:val="Standaardalinea-lettertype"/>
    <w:link w:val="Ballontekst"/>
    <w:uiPriority w:val="99"/>
    <w:semiHidden/>
    <w:rsid w:val="001C4BD0"/>
    <w:rPr>
      <w:rFonts w:ascii="Tahoma" w:hAnsi="Tahoma" w:cs="Tahoma"/>
      <w:sz w:val="16"/>
      <w:szCs w:val="16"/>
    </w:rPr>
  </w:style>
  <w:style w:type="paragraph" w:styleId="Koptekst">
    <w:name w:val="header"/>
    <w:basedOn w:val="Standaard"/>
    <w:link w:val="KoptekstChar"/>
    <w:uiPriority w:val="99"/>
    <w:unhideWhenUsed/>
    <w:rsid w:val="00353CA4"/>
    <w:pPr>
      <w:tabs>
        <w:tab w:val="center" w:pos="4536"/>
        <w:tab w:val="right" w:pos="9072"/>
      </w:tabs>
    </w:pPr>
  </w:style>
  <w:style w:type="character" w:customStyle="1" w:styleId="KoptekstChar">
    <w:name w:val="Koptekst Char"/>
    <w:basedOn w:val="Standaardalinea-lettertype"/>
    <w:link w:val="Koptekst"/>
    <w:uiPriority w:val="99"/>
    <w:rsid w:val="00353CA4"/>
  </w:style>
  <w:style w:type="paragraph" w:styleId="Voettekst">
    <w:name w:val="footer"/>
    <w:basedOn w:val="Standaard"/>
    <w:link w:val="VoettekstChar"/>
    <w:uiPriority w:val="99"/>
    <w:unhideWhenUsed/>
    <w:rsid w:val="00353CA4"/>
    <w:pPr>
      <w:tabs>
        <w:tab w:val="center" w:pos="4536"/>
        <w:tab w:val="right" w:pos="9072"/>
      </w:tabs>
    </w:pPr>
  </w:style>
  <w:style w:type="character" w:customStyle="1" w:styleId="VoettekstChar">
    <w:name w:val="Voettekst Char"/>
    <w:basedOn w:val="Standaardalinea-lettertype"/>
    <w:link w:val="Voettekst"/>
    <w:uiPriority w:val="99"/>
    <w:rsid w:val="00353CA4"/>
  </w:style>
  <w:style w:type="paragraph" w:styleId="Voetnoottekst">
    <w:name w:val="footnote text"/>
    <w:basedOn w:val="Standaard"/>
    <w:link w:val="VoetnoottekstChar"/>
    <w:uiPriority w:val="99"/>
    <w:semiHidden/>
    <w:unhideWhenUsed/>
    <w:rsid w:val="001B783B"/>
    <w:rPr>
      <w:sz w:val="20"/>
      <w:szCs w:val="20"/>
    </w:rPr>
  </w:style>
  <w:style w:type="character" w:customStyle="1" w:styleId="VoetnoottekstChar">
    <w:name w:val="Voetnoottekst Char"/>
    <w:basedOn w:val="Standaardalinea-lettertype"/>
    <w:link w:val="Voetnoottekst"/>
    <w:uiPriority w:val="99"/>
    <w:semiHidden/>
    <w:rsid w:val="001B783B"/>
    <w:rPr>
      <w:sz w:val="20"/>
      <w:szCs w:val="20"/>
    </w:rPr>
  </w:style>
  <w:style w:type="character" w:styleId="Voetnootmarkering">
    <w:name w:val="footnote reference"/>
    <w:basedOn w:val="Standaardalinea-lettertype"/>
    <w:uiPriority w:val="99"/>
    <w:semiHidden/>
    <w:unhideWhenUsed/>
    <w:rsid w:val="001B783B"/>
    <w:rPr>
      <w:vertAlign w:val="superscript"/>
    </w:rPr>
  </w:style>
  <w:style w:type="character" w:styleId="Verwijzingopmerking">
    <w:name w:val="annotation reference"/>
    <w:basedOn w:val="Standaardalinea-lettertype"/>
    <w:uiPriority w:val="99"/>
    <w:semiHidden/>
    <w:unhideWhenUsed/>
    <w:rsid w:val="00D90BBB"/>
    <w:rPr>
      <w:sz w:val="16"/>
      <w:szCs w:val="16"/>
    </w:rPr>
  </w:style>
  <w:style w:type="paragraph" w:styleId="Tekstopmerking">
    <w:name w:val="annotation text"/>
    <w:basedOn w:val="Standaard"/>
    <w:link w:val="TekstopmerkingChar"/>
    <w:uiPriority w:val="99"/>
    <w:semiHidden/>
    <w:unhideWhenUsed/>
    <w:rsid w:val="00D90BBB"/>
    <w:rPr>
      <w:sz w:val="20"/>
      <w:szCs w:val="20"/>
    </w:rPr>
  </w:style>
  <w:style w:type="character" w:customStyle="1" w:styleId="TekstopmerkingChar">
    <w:name w:val="Tekst opmerking Char"/>
    <w:basedOn w:val="Standaardalinea-lettertype"/>
    <w:link w:val="Tekstopmerking"/>
    <w:uiPriority w:val="99"/>
    <w:semiHidden/>
    <w:rsid w:val="00D90BBB"/>
    <w:rPr>
      <w:sz w:val="20"/>
      <w:szCs w:val="20"/>
    </w:rPr>
  </w:style>
  <w:style w:type="paragraph" w:styleId="Onderwerpvanopmerking">
    <w:name w:val="annotation subject"/>
    <w:basedOn w:val="Tekstopmerking"/>
    <w:next w:val="Tekstopmerking"/>
    <w:link w:val="OnderwerpvanopmerkingChar"/>
    <w:uiPriority w:val="99"/>
    <w:semiHidden/>
    <w:unhideWhenUsed/>
    <w:rsid w:val="00D91C2F"/>
    <w:rPr>
      <w:b/>
      <w:bCs/>
    </w:rPr>
  </w:style>
  <w:style w:type="character" w:customStyle="1" w:styleId="OnderwerpvanopmerkingChar">
    <w:name w:val="Onderwerp van opmerking Char"/>
    <w:basedOn w:val="TekstopmerkingChar"/>
    <w:link w:val="Onderwerpvanopmerking"/>
    <w:uiPriority w:val="99"/>
    <w:semiHidden/>
    <w:rsid w:val="00D91C2F"/>
    <w:rPr>
      <w:b/>
      <w:bCs/>
      <w:sz w:val="20"/>
      <w:szCs w:val="20"/>
    </w:rPr>
  </w:style>
  <w:style w:type="table" w:styleId="Tabelraster">
    <w:name w:val="Table Grid"/>
    <w:basedOn w:val="Standaardtabel"/>
    <w:uiPriority w:val="59"/>
    <w:rsid w:val="009C3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982B08"/>
    <w:rPr>
      <w:rFonts w:ascii="Times New Roman" w:eastAsia="Calibri" w:hAnsi="Times New Roman" w:cs="Times New Roman"/>
    </w:rPr>
  </w:style>
  <w:style w:type="character" w:styleId="Hyperlink">
    <w:name w:val="Hyperlink"/>
    <w:basedOn w:val="Standaardalinea-lettertype"/>
    <w:uiPriority w:val="99"/>
    <w:unhideWhenUsed/>
    <w:rsid w:val="00317F92"/>
    <w:rPr>
      <w:color w:val="0000FF" w:themeColor="hyperlink"/>
      <w:u w:val="single"/>
    </w:rPr>
  </w:style>
  <w:style w:type="character" w:styleId="GevolgdeHyperlink">
    <w:name w:val="FollowedHyperlink"/>
    <w:basedOn w:val="Standaardalinea-lettertype"/>
    <w:uiPriority w:val="99"/>
    <w:semiHidden/>
    <w:unhideWhenUsed/>
    <w:rsid w:val="00317F92"/>
    <w:rPr>
      <w:color w:val="800080" w:themeColor="followedHyperlink"/>
      <w:u w:val="single"/>
    </w:rPr>
  </w:style>
  <w:style w:type="character" w:customStyle="1" w:styleId="LijstalineaChar">
    <w:name w:val="Lijstalinea Char"/>
    <w:basedOn w:val="Standaardalinea-lettertype"/>
    <w:link w:val="Lijstalinea"/>
    <w:uiPriority w:val="34"/>
    <w:rsid w:val="00BB2882"/>
  </w:style>
  <w:style w:type="paragraph" w:customStyle="1" w:styleId="Default">
    <w:name w:val="Default"/>
    <w:basedOn w:val="Standaard"/>
    <w:rsid w:val="00244A86"/>
    <w:pPr>
      <w:autoSpaceDE w:val="0"/>
      <w:autoSpaceDN w:val="0"/>
    </w:pPr>
    <w:rPr>
      <w:rFonts w:ascii="Times New Roman" w:hAnsi="Times New Roman" w:cs="Times New Roman"/>
      <w:color w:val="000000"/>
      <w:sz w:val="24"/>
      <w:szCs w:val="24"/>
    </w:rPr>
  </w:style>
  <w:style w:type="character" w:customStyle="1" w:styleId="Onopgelostemelding1">
    <w:name w:val="Onopgeloste melding1"/>
    <w:basedOn w:val="Standaardalinea-lettertype"/>
    <w:uiPriority w:val="99"/>
    <w:semiHidden/>
    <w:unhideWhenUsed/>
    <w:rsid w:val="002C39E2"/>
    <w:rPr>
      <w:color w:val="808080"/>
      <w:shd w:val="clear" w:color="auto" w:fill="E6E6E6"/>
    </w:rPr>
  </w:style>
  <w:style w:type="paragraph" w:styleId="Revisie">
    <w:name w:val="Revision"/>
    <w:hidden/>
    <w:uiPriority w:val="99"/>
    <w:semiHidden/>
    <w:rsid w:val="00321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9930">
      <w:bodyDiv w:val="1"/>
      <w:marLeft w:val="0"/>
      <w:marRight w:val="0"/>
      <w:marTop w:val="0"/>
      <w:marBottom w:val="0"/>
      <w:divBdr>
        <w:top w:val="none" w:sz="0" w:space="0" w:color="auto"/>
        <w:left w:val="none" w:sz="0" w:space="0" w:color="auto"/>
        <w:bottom w:val="none" w:sz="0" w:space="0" w:color="auto"/>
        <w:right w:val="none" w:sz="0" w:space="0" w:color="auto"/>
      </w:divBdr>
    </w:div>
    <w:div w:id="21132263">
      <w:bodyDiv w:val="1"/>
      <w:marLeft w:val="0"/>
      <w:marRight w:val="0"/>
      <w:marTop w:val="0"/>
      <w:marBottom w:val="0"/>
      <w:divBdr>
        <w:top w:val="none" w:sz="0" w:space="0" w:color="auto"/>
        <w:left w:val="none" w:sz="0" w:space="0" w:color="auto"/>
        <w:bottom w:val="none" w:sz="0" w:space="0" w:color="auto"/>
        <w:right w:val="none" w:sz="0" w:space="0" w:color="auto"/>
      </w:divBdr>
    </w:div>
    <w:div w:id="26420331">
      <w:bodyDiv w:val="1"/>
      <w:marLeft w:val="0"/>
      <w:marRight w:val="0"/>
      <w:marTop w:val="0"/>
      <w:marBottom w:val="0"/>
      <w:divBdr>
        <w:top w:val="none" w:sz="0" w:space="0" w:color="auto"/>
        <w:left w:val="none" w:sz="0" w:space="0" w:color="auto"/>
        <w:bottom w:val="none" w:sz="0" w:space="0" w:color="auto"/>
        <w:right w:val="none" w:sz="0" w:space="0" w:color="auto"/>
      </w:divBdr>
    </w:div>
    <w:div w:id="35132063">
      <w:bodyDiv w:val="1"/>
      <w:marLeft w:val="0"/>
      <w:marRight w:val="0"/>
      <w:marTop w:val="0"/>
      <w:marBottom w:val="0"/>
      <w:divBdr>
        <w:top w:val="none" w:sz="0" w:space="0" w:color="auto"/>
        <w:left w:val="none" w:sz="0" w:space="0" w:color="auto"/>
        <w:bottom w:val="none" w:sz="0" w:space="0" w:color="auto"/>
        <w:right w:val="none" w:sz="0" w:space="0" w:color="auto"/>
      </w:divBdr>
    </w:div>
    <w:div w:id="36974621">
      <w:bodyDiv w:val="1"/>
      <w:marLeft w:val="0"/>
      <w:marRight w:val="0"/>
      <w:marTop w:val="0"/>
      <w:marBottom w:val="0"/>
      <w:divBdr>
        <w:top w:val="none" w:sz="0" w:space="0" w:color="auto"/>
        <w:left w:val="none" w:sz="0" w:space="0" w:color="auto"/>
        <w:bottom w:val="none" w:sz="0" w:space="0" w:color="auto"/>
        <w:right w:val="none" w:sz="0" w:space="0" w:color="auto"/>
      </w:divBdr>
    </w:div>
    <w:div w:id="44447401">
      <w:bodyDiv w:val="1"/>
      <w:marLeft w:val="0"/>
      <w:marRight w:val="0"/>
      <w:marTop w:val="0"/>
      <w:marBottom w:val="0"/>
      <w:divBdr>
        <w:top w:val="none" w:sz="0" w:space="0" w:color="auto"/>
        <w:left w:val="none" w:sz="0" w:space="0" w:color="auto"/>
        <w:bottom w:val="none" w:sz="0" w:space="0" w:color="auto"/>
        <w:right w:val="none" w:sz="0" w:space="0" w:color="auto"/>
      </w:divBdr>
    </w:div>
    <w:div w:id="57436043">
      <w:bodyDiv w:val="1"/>
      <w:marLeft w:val="0"/>
      <w:marRight w:val="0"/>
      <w:marTop w:val="0"/>
      <w:marBottom w:val="0"/>
      <w:divBdr>
        <w:top w:val="none" w:sz="0" w:space="0" w:color="auto"/>
        <w:left w:val="none" w:sz="0" w:space="0" w:color="auto"/>
        <w:bottom w:val="none" w:sz="0" w:space="0" w:color="auto"/>
        <w:right w:val="none" w:sz="0" w:space="0" w:color="auto"/>
      </w:divBdr>
    </w:div>
    <w:div w:id="62803539">
      <w:bodyDiv w:val="1"/>
      <w:marLeft w:val="0"/>
      <w:marRight w:val="0"/>
      <w:marTop w:val="0"/>
      <w:marBottom w:val="0"/>
      <w:divBdr>
        <w:top w:val="none" w:sz="0" w:space="0" w:color="auto"/>
        <w:left w:val="none" w:sz="0" w:space="0" w:color="auto"/>
        <w:bottom w:val="none" w:sz="0" w:space="0" w:color="auto"/>
        <w:right w:val="none" w:sz="0" w:space="0" w:color="auto"/>
      </w:divBdr>
    </w:div>
    <w:div w:id="67925302">
      <w:bodyDiv w:val="1"/>
      <w:marLeft w:val="0"/>
      <w:marRight w:val="0"/>
      <w:marTop w:val="0"/>
      <w:marBottom w:val="0"/>
      <w:divBdr>
        <w:top w:val="none" w:sz="0" w:space="0" w:color="auto"/>
        <w:left w:val="none" w:sz="0" w:space="0" w:color="auto"/>
        <w:bottom w:val="none" w:sz="0" w:space="0" w:color="auto"/>
        <w:right w:val="none" w:sz="0" w:space="0" w:color="auto"/>
      </w:divBdr>
    </w:div>
    <w:div w:id="75904895">
      <w:bodyDiv w:val="1"/>
      <w:marLeft w:val="0"/>
      <w:marRight w:val="0"/>
      <w:marTop w:val="0"/>
      <w:marBottom w:val="0"/>
      <w:divBdr>
        <w:top w:val="none" w:sz="0" w:space="0" w:color="auto"/>
        <w:left w:val="none" w:sz="0" w:space="0" w:color="auto"/>
        <w:bottom w:val="none" w:sz="0" w:space="0" w:color="auto"/>
        <w:right w:val="none" w:sz="0" w:space="0" w:color="auto"/>
      </w:divBdr>
    </w:div>
    <w:div w:id="81220019">
      <w:bodyDiv w:val="1"/>
      <w:marLeft w:val="0"/>
      <w:marRight w:val="0"/>
      <w:marTop w:val="0"/>
      <w:marBottom w:val="0"/>
      <w:divBdr>
        <w:top w:val="none" w:sz="0" w:space="0" w:color="auto"/>
        <w:left w:val="none" w:sz="0" w:space="0" w:color="auto"/>
        <w:bottom w:val="none" w:sz="0" w:space="0" w:color="auto"/>
        <w:right w:val="none" w:sz="0" w:space="0" w:color="auto"/>
      </w:divBdr>
    </w:div>
    <w:div w:id="95223868">
      <w:bodyDiv w:val="1"/>
      <w:marLeft w:val="0"/>
      <w:marRight w:val="0"/>
      <w:marTop w:val="0"/>
      <w:marBottom w:val="0"/>
      <w:divBdr>
        <w:top w:val="none" w:sz="0" w:space="0" w:color="auto"/>
        <w:left w:val="none" w:sz="0" w:space="0" w:color="auto"/>
        <w:bottom w:val="none" w:sz="0" w:space="0" w:color="auto"/>
        <w:right w:val="none" w:sz="0" w:space="0" w:color="auto"/>
      </w:divBdr>
    </w:div>
    <w:div w:id="102186905">
      <w:bodyDiv w:val="1"/>
      <w:marLeft w:val="0"/>
      <w:marRight w:val="0"/>
      <w:marTop w:val="0"/>
      <w:marBottom w:val="0"/>
      <w:divBdr>
        <w:top w:val="none" w:sz="0" w:space="0" w:color="auto"/>
        <w:left w:val="none" w:sz="0" w:space="0" w:color="auto"/>
        <w:bottom w:val="none" w:sz="0" w:space="0" w:color="auto"/>
        <w:right w:val="none" w:sz="0" w:space="0" w:color="auto"/>
      </w:divBdr>
    </w:div>
    <w:div w:id="104084887">
      <w:bodyDiv w:val="1"/>
      <w:marLeft w:val="0"/>
      <w:marRight w:val="0"/>
      <w:marTop w:val="0"/>
      <w:marBottom w:val="0"/>
      <w:divBdr>
        <w:top w:val="none" w:sz="0" w:space="0" w:color="auto"/>
        <w:left w:val="none" w:sz="0" w:space="0" w:color="auto"/>
        <w:bottom w:val="none" w:sz="0" w:space="0" w:color="auto"/>
        <w:right w:val="none" w:sz="0" w:space="0" w:color="auto"/>
      </w:divBdr>
    </w:div>
    <w:div w:id="111097767">
      <w:bodyDiv w:val="1"/>
      <w:marLeft w:val="0"/>
      <w:marRight w:val="0"/>
      <w:marTop w:val="0"/>
      <w:marBottom w:val="0"/>
      <w:divBdr>
        <w:top w:val="none" w:sz="0" w:space="0" w:color="auto"/>
        <w:left w:val="none" w:sz="0" w:space="0" w:color="auto"/>
        <w:bottom w:val="none" w:sz="0" w:space="0" w:color="auto"/>
        <w:right w:val="none" w:sz="0" w:space="0" w:color="auto"/>
      </w:divBdr>
    </w:div>
    <w:div w:id="114253893">
      <w:bodyDiv w:val="1"/>
      <w:marLeft w:val="0"/>
      <w:marRight w:val="0"/>
      <w:marTop w:val="0"/>
      <w:marBottom w:val="0"/>
      <w:divBdr>
        <w:top w:val="none" w:sz="0" w:space="0" w:color="auto"/>
        <w:left w:val="none" w:sz="0" w:space="0" w:color="auto"/>
        <w:bottom w:val="none" w:sz="0" w:space="0" w:color="auto"/>
        <w:right w:val="none" w:sz="0" w:space="0" w:color="auto"/>
      </w:divBdr>
    </w:div>
    <w:div w:id="123931640">
      <w:bodyDiv w:val="1"/>
      <w:marLeft w:val="0"/>
      <w:marRight w:val="0"/>
      <w:marTop w:val="0"/>
      <w:marBottom w:val="0"/>
      <w:divBdr>
        <w:top w:val="none" w:sz="0" w:space="0" w:color="auto"/>
        <w:left w:val="none" w:sz="0" w:space="0" w:color="auto"/>
        <w:bottom w:val="none" w:sz="0" w:space="0" w:color="auto"/>
        <w:right w:val="none" w:sz="0" w:space="0" w:color="auto"/>
      </w:divBdr>
    </w:div>
    <w:div w:id="136337728">
      <w:bodyDiv w:val="1"/>
      <w:marLeft w:val="0"/>
      <w:marRight w:val="0"/>
      <w:marTop w:val="0"/>
      <w:marBottom w:val="0"/>
      <w:divBdr>
        <w:top w:val="none" w:sz="0" w:space="0" w:color="auto"/>
        <w:left w:val="none" w:sz="0" w:space="0" w:color="auto"/>
        <w:bottom w:val="none" w:sz="0" w:space="0" w:color="auto"/>
        <w:right w:val="none" w:sz="0" w:space="0" w:color="auto"/>
      </w:divBdr>
    </w:div>
    <w:div w:id="138964314">
      <w:bodyDiv w:val="1"/>
      <w:marLeft w:val="0"/>
      <w:marRight w:val="0"/>
      <w:marTop w:val="0"/>
      <w:marBottom w:val="0"/>
      <w:divBdr>
        <w:top w:val="none" w:sz="0" w:space="0" w:color="auto"/>
        <w:left w:val="none" w:sz="0" w:space="0" w:color="auto"/>
        <w:bottom w:val="none" w:sz="0" w:space="0" w:color="auto"/>
        <w:right w:val="none" w:sz="0" w:space="0" w:color="auto"/>
      </w:divBdr>
    </w:div>
    <w:div w:id="150828133">
      <w:bodyDiv w:val="1"/>
      <w:marLeft w:val="0"/>
      <w:marRight w:val="0"/>
      <w:marTop w:val="0"/>
      <w:marBottom w:val="0"/>
      <w:divBdr>
        <w:top w:val="none" w:sz="0" w:space="0" w:color="auto"/>
        <w:left w:val="none" w:sz="0" w:space="0" w:color="auto"/>
        <w:bottom w:val="none" w:sz="0" w:space="0" w:color="auto"/>
        <w:right w:val="none" w:sz="0" w:space="0" w:color="auto"/>
      </w:divBdr>
    </w:div>
    <w:div w:id="171144548">
      <w:bodyDiv w:val="1"/>
      <w:marLeft w:val="0"/>
      <w:marRight w:val="0"/>
      <w:marTop w:val="0"/>
      <w:marBottom w:val="0"/>
      <w:divBdr>
        <w:top w:val="none" w:sz="0" w:space="0" w:color="auto"/>
        <w:left w:val="none" w:sz="0" w:space="0" w:color="auto"/>
        <w:bottom w:val="none" w:sz="0" w:space="0" w:color="auto"/>
        <w:right w:val="none" w:sz="0" w:space="0" w:color="auto"/>
      </w:divBdr>
    </w:div>
    <w:div w:id="172041068">
      <w:bodyDiv w:val="1"/>
      <w:marLeft w:val="0"/>
      <w:marRight w:val="0"/>
      <w:marTop w:val="0"/>
      <w:marBottom w:val="0"/>
      <w:divBdr>
        <w:top w:val="none" w:sz="0" w:space="0" w:color="auto"/>
        <w:left w:val="none" w:sz="0" w:space="0" w:color="auto"/>
        <w:bottom w:val="none" w:sz="0" w:space="0" w:color="auto"/>
        <w:right w:val="none" w:sz="0" w:space="0" w:color="auto"/>
      </w:divBdr>
    </w:div>
    <w:div w:id="173150779">
      <w:bodyDiv w:val="1"/>
      <w:marLeft w:val="0"/>
      <w:marRight w:val="0"/>
      <w:marTop w:val="0"/>
      <w:marBottom w:val="0"/>
      <w:divBdr>
        <w:top w:val="none" w:sz="0" w:space="0" w:color="auto"/>
        <w:left w:val="none" w:sz="0" w:space="0" w:color="auto"/>
        <w:bottom w:val="none" w:sz="0" w:space="0" w:color="auto"/>
        <w:right w:val="none" w:sz="0" w:space="0" w:color="auto"/>
      </w:divBdr>
    </w:div>
    <w:div w:id="185024915">
      <w:bodyDiv w:val="1"/>
      <w:marLeft w:val="0"/>
      <w:marRight w:val="0"/>
      <w:marTop w:val="0"/>
      <w:marBottom w:val="0"/>
      <w:divBdr>
        <w:top w:val="none" w:sz="0" w:space="0" w:color="auto"/>
        <w:left w:val="none" w:sz="0" w:space="0" w:color="auto"/>
        <w:bottom w:val="none" w:sz="0" w:space="0" w:color="auto"/>
        <w:right w:val="none" w:sz="0" w:space="0" w:color="auto"/>
      </w:divBdr>
    </w:div>
    <w:div w:id="203256725">
      <w:bodyDiv w:val="1"/>
      <w:marLeft w:val="0"/>
      <w:marRight w:val="0"/>
      <w:marTop w:val="0"/>
      <w:marBottom w:val="0"/>
      <w:divBdr>
        <w:top w:val="none" w:sz="0" w:space="0" w:color="auto"/>
        <w:left w:val="none" w:sz="0" w:space="0" w:color="auto"/>
        <w:bottom w:val="none" w:sz="0" w:space="0" w:color="auto"/>
        <w:right w:val="none" w:sz="0" w:space="0" w:color="auto"/>
      </w:divBdr>
    </w:div>
    <w:div w:id="217400815">
      <w:bodyDiv w:val="1"/>
      <w:marLeft w:val="0"/>
      <w:marRight w:val="0"/>
      <w:marTop w:val="0"/>
      <w:marBottom w:val="0"/>
      <w:divBdr>
        <w:top w:val="none" w:sz="0" w:space="0" w:color="auto"/>
        <w:left w:val="none" w:sz="0" w:space="0" w:color="auto"/>
        <w:bottom w:val="none" w:sz="0" w:space="0" w:color="auto"/>
        <w:right w:val="none" w:sz="0" w:space="0" w:color="auto"/>
      </w:divBdr>
    </w:div>
    <w:div w:id="220874183">
      <w:bodyDiv w:val="1"/>
      <w:marLeft w:val="0"/>
      <w:marRight w:val="0"/>
      <w:marTop w:val="0"/>
      <w:marBottom w:val="0"/>
      <w:divBdr>
        <w:top w:val="none" w:sz="0" w:space="0" w:color="auto"/>
        <w:left w:val="none" w:sz="0" w:space="0" w:color="auto"/>
        <w:bottom w:val="none" w:sz="0" w:space="0" w:color="auto"/>
        <w:right w:val="none" w:sz="0" w:space="0" w:color="auto"/>
      </w:divBdr>
    </w:div>
    <w:div w:id="230360157">
      <w:bodyDiv w:val="1"/>
      <w:marLeft w:val="0"/>
      <w:marRight w:val="0"/>
      <w:marTop w:val="0"/>
      <w:marBottom w:val="0"/>
      <w:divBdr>
        <w:top w:val="none" w:sz="0" w:space="0" w:color="auto"/>
        <w:left w:val="none" w:sz="0" w:space="0" w:color="auto"/>
        <w:bottom w:val="none" w:sz="0" w:space="0" w:color="auto"/>
        <w:right w:val="none" w:sz="0" w:space="0" w:color="auto"/>
      </w:divBdr>
    </w:div>
    <w:div w:id="231160196">
      <w:bodyDiv w:val="1"/>
      <w:marLeft w:val="0"/>
      <w:marRight w:val="0"/>
      <w:marTop w:val="0"/>
      <w:marBottom w:val="0"/>
      <w:divBdr>
        <w:top w:val="none" w:sz="0" w:space="0" w:color="auto"/>
        <w:left w:val="none" w:sz="0" w:space="0" w:color="auto"/>
        <w:bottom w:val="none" w:sz="0" w:space="0" w:color="auto"/>
        <w:right w:val="none" w:sz="0" w:space="0" w:color="auto"/>
      </w:divBdr>
    </w:div>
    <w:div w:id="246424857">
      <w:bodyDiv w:val="1"/>
      <w:marLeft w:val="0"/>
      <w:marRight w:val="0"/>
      <w:marTop w:val="0"/>
      <w:marBottom w:val="0"/>
      <w:divBdr>
        <w:top w:val="none" w:sz="0" w:space="0" w:color="auto"/>
        <w:left w:val="none" w:sz="0" w:space="0" w:color="auto"/>
        <w:bottom w:val="none" w:sz="0" w:space="0" w:color="auto"/>
        <w:right w:val="none" w:sz="0" w:space="0" w:color="auto"/>
      </w:divBdr>
    </w:div>
    <w:div w:id="255284069">
      <w:bodyDiv w:val="1"/>
      <w:marLeft w:val="0"/>
      <w:marRight w:val="0"/>
      <w:marTop w:val="0"/>
      <w:marBottom w:val="0"/>
      <w:divBdr>
        <w:top w:val="none" w:sz="0" w:space="0" w:color="auto"/>
        <w:left w:val="none" w:sz="0" w:space="0" w:color="auto"/>
        <w:bottom w:val="none" w:sz="0" w:space="0" w:color="auto"/>
        <w:right w:val="none" w:sz="0" w:space="0" w:color="auto"/>
      </w:divBdr>
    </w:div>
    <w:div w:id="261498307">
      <w:bodyDiv w:val="1"/>
      <w:marLeft w:val="0"/>
      <w:marRight w:val="0"/>
      <w:marTop w:val="0"/>
      <w:marBottom w:val="0"/>
      <w:divBdr>
        <w:top w:val="none" w:sz="0" w:space="0" w:color="auto"/>
        <w:left w:val="none" w:sz="0" w:space="0" w:color="auto"/>
        <w:bottom w:val="none" w:sz="0" w:space="0" w:color="auto"/>
        <w:right w:val="none" w:sz="0" w:space="0" w:color="auto"/>
      </w:divBdr>
    </w:div>
    <w:div w:id="261501207">
      <w:bodyDiv w:val="1"/>
      <w:marLeft w:val="0"/>
      <w:marRight w:val="0"/>
      <w:marTop w:val="0"/>
      <w:marBottom w:val="0"/>
      <w:divBdr>
        <w:top w:val="none" w:sz="0" w:space="0" w:color="auto"/>
        <w:left w:val="none" w:sz="0" w:space="0" w:color="auto"/>
        <w:bottom w:val="none" w:sz="0" w:space="0" w:color="auto"/>
        <w:right w:val="none" w:sz="0" w:space="0" w:color="auto"/>
      </w:divBdr>
    </w:div>
    <w:div w:id="263928219">
      <w:bodyDiv w:val="1"/>
      <w:marLeft w:val="0"/>
      <w:marRight w:val="0"/>
      <w:marTop w:val="0"/>
      <w:marBottom w:val="0"/>
      <w:divBdr>
        <w:top w:val="none" w:sz="0" w:space="0" w:color="auto"/>
        <w:left w:val="none" w:sz="0" w:space="0" w:color="auto"/>
        <w:bottom w:val="none" w:sz="0" w:space="0" w:color="auto"/>
        <w:right w:val="none" w:sz="0" w:space="0" w:color="auto"/>
      </w:divBdr>
    </w:div>
    <w:div w:id="274682568">
      <w:bodyDiv w:val="1"/>
      <w:marLeft w:val="0"/>
      <w:marRight w:val="0"/>
      <w:marTop w:val="0"/>
      <w:marBottom w:val="0"/>
      <w:divBdr>
        <w:top w:val="none" w:sz="0" w:space="0" w:color="auto"/>
        <w:left w:val="none" w:sz="0" w:space="0" w:color="auto"/>
        <w:bottom w:val="none" w:sz="0" w:space="0" w:color="auto"/>
        <w:right w:val="none" w:sz="0" w:space="0" w:color="auto"/>
      </w:divBdr>
    </w:div>
    <w:div w:id="276110203">
      <w:bodyDiv w:val="1"/>
      <w:marLeft w:val="0"/>
      <w:marRight w:val="0"/>
      <w:marTop w:val="0"/>
      <w:marBottom w:val="0"/>
      <w:divBdr>
        <w:top w:val="none" w:sz="0" w:space="0" w:color="auto"/>
        <w:left w:val="none" w:sz="0" w:space="0" w:color="auto"/>
        <w:bottom w:val="none" w:sz="0" w:space="0" w:color="auto"/>
        <w:right w:val="none" w:sz="0" w:space="0" w:color="auto"/>
      </w:divBdr>
    </w:div>
    <w:div w:id="277033378">
      <w:bodyDiv w:val="1"/>
      <w:marLeft w:val="0"/>
      <w:marRight w:val="0"/>
      <w:marTop w:val="0"/>
      <w:marBottom w:val="0"/>
      <w:divBdr>
        <w:top w:val="none" w:sz="0" w:space="0" w:color="auto"/>
        <w:left w:val="none" w:sz="0" w:space="0" w:color="auto"/>
        <w:bottom w:val="none" w:sz="0" w:space="0" w:color="auto"/>
        <w:right w:val="none" w:sz="0" w:space="0" w:color="auto"/>
      </w:divBdr>
    </w:div>
    <w:div w:id="289437687">
      <w:bodyDiv w:val="1"/>
      <w:marLeft w:val="0"/>
      <w:marRight w:val="0"/>
      <w:marTop w:val="0"/>
      <w:marBottom w:val="0"/>
      <w:divBdr>
        <w:top w:val="none" w:sz="0" w:space="0" w:color="auto"/>
        <w:left w:val="none" w:sz="0" w:space="0" w:color="auto"/>
        <w:bottom w:val="none" w:sz="0" w:space="0" w:color="auto"/>
        <w:right w:val="none" w:sz="0" w:space="0" w:color="auto"/>
      </w:divBdr>
    </w:div>
    <w:div w:id="299455768">
      <w:bodyDiv w:val="1"/>
      <w:marLeft w:val="0"/>
      <w:marRight w:val="0"/>
      <w:marTop w:val="0"/>
      <w:marBottom w:val="0"/>
      <w:divBdr>
        <w:top w:val="none" w:sz="0" w:space="0" w:color="auto"/>
        <w:left w:val="none" w:sz="0" w:space="0" w:color="auto"/>
        <w:bottom w:val="none" w:sz="0" w:space="0" w:color="auto"/>
        <w:right w:val="none" w:sz="0" w:space="0" w:color="auto"/>
      </w:divBdr>
    </w:div>
    <w:div w:id="308940179">
      <w:bodyDiv w:val="1"/>
      <w:marLeft w:val="0"/>
      <w:marRight w:val="0"/>
      <w:marTop w:val="0"/>
      <w:marBottom w:val="0"/>
      <w:divBdr>
        <w:top w:val="none" w:sz="0" w:space="0" w:color="auto"/>
        <w:left w:val="none" w:sz="0" w:space="0" w:color="auto"/>
        <w:bottom w:val="none" w:sz="0" w:space="0" w:color="auto"/>
        <w:right w:val="none" w:sz="0" w:space="0" w:color="auto"/>
      </w:divBdr>
    </w:div>
    <w:div w:id="309284561">
      <w:bodyDiv w:val="1"/>
      <w:marLeft w:val="0"/>
      <w:marRight w:val="0"/>
      <w:marTop w:val="0"/>
      <w:marBottom w:val="0"/>
      <w:divBdr>
        <w:top w:val="none" w:sz="0" w:space="0" w:color="auto"/>
        <w:left w:val="none" w:sz="0" w:space="0" w:color="auto"/>
        <w:bottom w:val="none" w:sz="0" w:space="0" w:color="auto"/>
        <w:right w:val="none" w:sz="0" w:space="0" w:color="auto"/>
      </w:divBdr>
    </w:div>
    <w:div w:id="309477891">
      <w:bodyDiv w:val="1"/>
      <w:marLeft w:val="0"/>
      <w:marRight w:val="0"/>
      <w:marTop w:val="0"/>
      <w:marBottom w:val="0"/>
      <w:divBdr>
        <w:top w:val="none" w:sz="0" w:space="0" w:color="auto"/>
        <w:left w:val="none" w:sz="0" w:space="0" w:color="auto"/>
        <w:bottom w:val="none" w:sz="0" w:space="0" w:color="auto"/>
        <w:right w:val="none" w:sz="0" w:space="0" w:color="auto"/>
      </w:divBdr>
    </w:div>
    <w:div w:id="311175364">
      <w:bodyDiv w:val="1"/>
      <w:marLeft w:val="0"/>
      <w:marRight w:val="0"/>
      <w:marTop w:val="0"/>
      <w:marBottom w:val="0"/>
      <w:divBdr>
        <w:top w:val="none" w:sz="0" w:space="0" w:color="auto"/>
        <w:left w:val="none" w:sz="0" w:space="0" w:color="auto"/>
        <w:bottom w:val="none" w:sz="0" w:space="0" w:color="auto"/>
        <w:right w:val="none" w:sz="0" w:space="0" w:color="auto"/>
      </w:divBdr>
    </w:div>
    <w:div w:id="320740040">
      <w:bodyDiv w:val="1"/>
      <w:marLeft w:val="0"/>
      <w:marRight w:val="0"/>
      <w:marTop w:val="0"/>
      <w:marBottom w:val="0"/>
      <w:divBdr>
        <w:top w:val="none" w:sz="0" w:space="0" w:color="auto"/>
        <w:left w:val="none" w:sz="0" w:space="0" w:color="auto"/>
        <w:bottom w:val="none" w:sz="0" w:space="0" w:color="auto"/>
        <w:right w:val="none" w:sz="0" w:space="0" w:color="auto"/>
      </w:divBdr>
    </w:div>
    <w:div w:id="324088569">
      <w:bodyDiv w:val="1"/>
      <w:marLeft w:val="0"/>
      <w:marRight w:val="0"/>
      <w:marTop w:val="0"/>
      <w:marBottom w:val="0"/>
      <w:divBdr>
        <w:top w:val="none" w:sz="0" w:space="0" w:color="auto"/>
        <w:left w:val="none" w:sz="0" w:space="0" w:color="auto"/>
        <w:bottom w:val="none" w:sz="0" w:space="0" w:color="auto"/>
        <w:right w:val="none" w:sz="0" w:space="0" w:color="auto"/>
      </w:divBdr>
    </w:div>
    <w:div w:id="328287805">
      <w:bodyDiv w:val="1"/>
      <w:marLeft w:val="0"/>
      <w:marRight w:val="0"/>
      <w:marTop w:val="0"/>
      <w:marBottom w:val="0"/>
      <w:divBdr>
        <w:top w:val="none" w:sz="0" w:space="0" w:color="auto"/>
        <w:left w:val="none" w:sz="0" w:space="0" w:color="auto"/>
        <w:bottom w:val="none" w:sz="0" w:space="0" w:color="auto"/>
        <w:right w:val="none" w:sz="0" w:space="0" w:color="auto"/>
      </w:divBdr>
    </w:div>
    <w:div w:id="335499550">
      <w:bodyDiv w:val="1"/>
      <w:marLeft w:val="0"/>
      <w:marRight w:val="0"/>
      <w:marTop w:val="0"/>
      <w:marBottom w:val="0"/>
      <w:divBdr>
        <w:top w:val="none" w:sz="0" w:space="0" w:color="auto"/>
        <w:left w:val="none" w:sz="0" w:space="0" w:color="auto"/>
        <w:bottom w:val="none" w:sz="0" w:space="0" w:color="auto"/>
        <w:right w:val="none" w:sz="0" w:space="0" w:color="auto"/>
      </w:divBdr>
    </w:div>
    <w:div w:id="365722069">
      <w:bodyDiv w:val="1"/>
      <w:marLeft w:val="0"/>
      <w:marRight w:val="0"/>
      <w:marTop w:val="0"/>
      <w:marBottom w:val="0"/>
      <w:divBdr>
        <w:top w:val="none" w:sz="0" w:space="0" w:color="auto"/>
        <w:left w:val="none" w:sz="0" w:space="0" w:color="auto"/>
        <w:bottom w:val="none" w:sz="0" w:space="0" w:color="auto"/>
        <w:right w:val="none" w:sz="0" w:space="0" w:color="auto"/>
      </w:divBdr>
    </w:div>
    <w:div w:id="369039108">
      <w:bodyDiv w:val="1"/>
      <w:marLeft w:val="0"/>
      <w:marRight w:val="0"/>
      <w:marTop w:val="0"/>
      <w:marBottom w:val="0"/>
      <w:divBdr>
        <w:top w:val="none" w:sz="0" w:space="0" w:color="auto"/>
        <w:left w:val="none" w:sz="0" w:space="0" w:color="auto"/>
        <w:bottom w:val="none" w:sz="0" w:space="0" w:color="auto"/>
        <w:right w:val="none" w:sz="0" w:space="0" w:color="auto"/>
      </w:divBdr>
    </w:div>
    <w:div w:id="375588676">
      <w:bodyDiv w:val="1"/>
      <w:marLeft w:val="0"/>
      <w:marRight w:val="0"/>
      <w:marTop w:val="0"/>
      <w:marBottom w:val="0"/>
      <w:divBdr>
        <w:top w:val="none" w:sz="0" w:space="0" w:color="auto"/>
        <w:left w:val="none" w:sz="0" w:space="0" w:color="auto"/>
        <w:bottom w:val="none" w:sz="0" w:space="0" w:color="auto"/>
        <w:right w:val="none" w:sz="0" w:space="0" w:color="auto"/>
      </w:divBdr>
    </w:div>
    <w:div w:id="376274210">
      <w:bodyDiv w:val="1"/>
      <w:marLeft w:val="0"/>
      <w:marRight w:val="0"/>
      <w:marTop w:val="0"/>
      <w:marBottom w:val="0"/>
      <w:divBdr>
        <w:top w:val="none" w:sz="0" w:space="0" w:color="auto"/>
        <w:left w:val="none" w:sz="0" w:space="0" w:color="auto"/>
        <w:bottom w:val="none" w:sz="0" w:space="0" w:color="auto"/>
        <w:right w:val="none" w:sz="0" w:space="0" w:color="auto"/>
      </w:divBdr>
    </w:div>
    <w:div w:id="385641009">
      <w:bodyDiv w:val="1"/>
      <w:marLeft w:val="0"/>
      <w:marRight w:val="0"/>
      <w:marTop w:val="0"/>
      <w:marBottom w:val="0"/>
      <w:divBdr>
        <w:top w:val="none" w:sz="0" w:space="0" w:color="auto"/>
        <w:left w:val="none" w:sz="0" w:space="0" w:color="auto"/>
        <w:bottom w:val="none" w:sz="0" w:space="0" w:color="auto"/>
        <w:right w:val="none" w:sz="0" w:space="0" w:color="auto"/>
      </w:divBdr>
    </w:div>
    <w:div w:id="385765957">
      <w:bodyDiv w:val="1"/>
      <w:marLeft w:val="0"/>
      <w:marRight w:val="0"/>
      <w:marTop w:val="0"/>
      <w:marBottom w:val="0"/>
      <w:divBdr>
        <w:top w:val="none" w:sz="0" w:space="0" w:color="auto"/>
        <w:left w:val="none" w:sz="0" w:space="0" w:color="auto"/>
        <w:bottom w:val="none" w:sz="0" w:space="0" w:color="auto"/>
        <w:right w:val="none" w:sz="0" w:space="0" w:color="auto"/>
      </w:divBdr>
    </w:div>
    <w:div w:id="389112806">
      <w:bodyDiv w:val="1"/>
      <w:marLeft w:val="0"/>
      <w:marRight w:val="0"/>
      <w:marTop w:val="0"/>
      <w:marBottom w:val="0"/>
      <w:divBdr>
        <w:top w:val="none" w:sz="0" w:space="0" w:color="auto"/>
        <w:left w:val="none" w:sz="0" w:space="0" w:color="auto"/>
        <w:bottom w:val="none" w:sz="0" w:space="0" w:color="auto"/>
        <w:right w:val="none" w:sz="0" w:space="0" w:color="auto"/>
      </w:divBdr>
    </w:div>
    <w:div w:id="390202041">
      <w:bodyDiv w:val="1"/>
      <w:marLeft w:val="0"/>
      <w:marRight w:val="0"/>
      <w:marTop w:val="0"/>
      <w:marBottom w:val="0"/>
      <w:divBdr>
        <w:top w:val="none" w:sz="0" w:space="0" w:color="auto"/>
        <w:left w:val="none" w:sz="0" w:space="0" w:color="auto"/>
        <w:bottom w:val="none" w:sz="0" w:space="0" w:color="auto"/>
        <w:right w:val="none" w:sz="0" w:space="0" w:color="auto"/>
      </w:divBdr>
    </w:div>
    <w:div w:id="390815510">
      <w:bodyDiv w:val="1"/>
      <w:marLeft w:val="0"/>
      <w:marRight w:val="0"/>
      <w:marTop w:val="0"/>
      <w:marBottom w:val="0"/>
      <w:divBdr>
        <w:top w:val="none" w:sz="0" w:space="0" w:color="auto"/>
        <w:left w:val="none" w:sz="0" w:space="0" w:color="auto"/>
        <w:bottom w:val="none" w:sz="0" w:space="0" w:color="auto"/>
        <w:right w:val="none" w:sz="0" w:space="0" w:color="auto"/>
      </w:divBdr>
    </w:div>
    <w:div w:id="398285722">
      <w:bodyDiv w:val="1"/>
      <w:marLeft w:val="0"/>
      <w:marRight w:val="0"/>
      <w:marTop w:val="0"/>
      <w:marBottom w:val="0"/>
      <w:divBdr>
        <w:top w:val="none" w:sz="0" w:space="0" w:color="auto"/>
        <w:left w:val="none" w:sz="0" w:space="0" w:color="auto"/>
        <w:bottom w:val="none" w:sz="0" w:space="0" w:color="auto"/>
        <w:right w:val="none" w:sz="0" w:space="0" w:color="auto"/>
      </w:divBdr>
    </w:div>
    <w:div w:id="400711425">
      <w:bodyDiv w:val="1"/>
      <w:marLeft w:val="0"/>
      <w:marRight w:val="0"/>
      <w:marTop w:val="0"/>
      <w:marBottom w:val="0"/>
      <w:divBdr>
        <w:top w:val="none" w:sz="0" w:space="0" w:color="auto"/>
        <w:left w:val="none" w:sz="0" w:space="0" w:color="auto"/>
        <w:bottom w:val="none" w:sz="0" w:space="0" w:color="auto"/>
        <w:right w:val="none" w:sz="0" w:space="0" w:color="auto"/>
      </w:divBdr>
    </w:div>
    <w:div w:id="408506014">
      <w:bodyDiv w:val="1"/>
      <w:marLeft w:val="0"/>
      <w:marRight w:val="0"/>
      <w:marTop w:val="0"/>
      <w:marBottom w:val="0"/>
      <w:divBdr>
        <w:top w:val="none" w:sz="0" w:space="0" w:color="auto"/>
        <w:left w:val="none" w:sz="0" w:space="0" w:color="auto"/>
        <w:bottom w:val="none" w:sz="0" w:space="0" w:color="auto"/>
        <w:right w:val="none" w:sz="0" w:space="0" w:color="auto"/>
      </w:divBdr>
    </w:div>
    <w:div w:id="418915881">
      <w:bodyDiv w:val="1"/>
      <w:marLeft w:val="0"/>
      <w:marRight w:val="0"/>
      <w:marTop w:val="0"/>
      <w:marBottom w:val="0"/>
      <w:divBdr>
        <w:top w:val="none" w:sz="0" w:space="0" w:color="auto"/>
        <w:left w:val="none" w:sz="0" w:space="0" w:color="auto"/>
        <w:bottom w:val="none" w:sz="0" w:space="0" w:color="auto"/>
        <w:right w:val="none" w:sz="0" w:space="0" w:color="auto"/>
      </w:divBdr>
    </w:div>
    <w:div w:id="431050819">
      <w:bodyDiv w:val="1"/>
      <w:marLeft w:val="0"/>
      <w:marRight w:val="0"/>
      <w:marTop w:val="0"/>
      <w:marBottom w:val="0"/>
      <w:divBdr>
        <w:top w:val="none" w:sz="0" w:space="0" w:color="auto"/>
        <w:left w:val="none" w:sz="0" w:space="0" w:color="auto"/>
        <w:bottom w:val="none" w:sz="0" w:space="0" w:color="auto"/>
        <w:right w:val="none" w:sz="0" w:space="0" w:color="auto"/>
      </w:divBdr>
    </w:div>
    <w:div w:id="437869179">
      <w:bodyDiv w:val="1"/>
      <w:marLeft w:val="0"/>
      <w:marRight w:val="0"/>
      <w:marTop w:val="0"/>
      <w:marBottom w:val="0"/>
      <w:divBdr>
        <w:top w:val="none" w:sz="0" w:space="0" w:color="auto"/>
        <w:left w:val="none" w:sz="0" w:space="0" w:color="auto"/>
        <w:bottom w:val="none" w:sz="0" w:space="0" w:color="auto"/>
        <w:right w:val="none" w:sz="0" w:space="0" w:color="auto"/>
      </w:divBdr>
    </w:div>
    <w:div w:id="438256022">
      <w:bodyDiv w:val="1"/>
      <w:marLeft w:val="0"/>
      <w:marRight w:val="0"/>
      <w:marTop w:val="0"/>
      <w:marBottom w:val="0"/>
      <w:divBdr>
        <w:top w:val="none" w:sz="0" w:space="0" w:color="auto"/>
        <w:left w:val="none" w:sz="0" w:space="0" w:color="auto"/>
        <w:bottom w:val="none" w:sz="0" w:space="0" w:color="auto"/>
        <w:right w:val="none" w:sz="0" w:space="0" w:color="auto"/>
      </w:divBdr>
    </w:div>
    <w:div w:id="440494604">
      <w:bodyDiv w:val="1"/>
      <w:marLeft w:val="0"/>
      <w:marRight w:val="0"/>
      <w:marTop w:val="0"/>
      <w:marBottom w:val="0"/>
      <w:divBdr>
        <w:top w:val="none" w:sz="0" w:space="0" w:color="auto"/>
        <w:left w:val="none" w:sz="0" w:space="0" w:color="auto"/>
        <w:bottom w:val="none" w:sz="0" w:space="0" w:color="auto"/>
        <w:right w:val="none" w:sz="0" w:space="0" w:color="auto"/>
      </w:divBdr>
    </w:div>
    <w:div w:id="451900890">
      <w:bodyDiv w:val="1"/>
      <w:marLeft w:val="0"/>
      <w:marRight w:val="0"/>
      <w:marTop w:val="0"/>
      <w:marBottom w:val="0"/>
      <w:divBdr>
        <w:top w:val="none" w:sz="0" w:space="0" w:color="auto"/>
        <w:left w:val="none" w:sz="0" w:space="0" w:color="auto"/>
        <w:bottom w:val="none" w:sz="0" w:space="0" w:color="auto"/>
        <w:right w:val="none" w:sz="0" w:space="0" w:color="auto"/>
      </w:divBdr>
    </w:div>
    <w:div w:id="454064720">
      <w:bodyDiv w:val="1"/>
      <w:marLeft w:val="0"/>
      <w:marRight w:val="0"/>
      <w:marTop w:val="0"/>
      <w:marBottom w:val="0"/>
      <w:divBdr>
        <w:top w:val="none" w:sz="0" w:space="0" w:color="auto"/>
        <w:left w:val="none" w:sz="0" w:space="0" w:color="auto"/>
        <w:bottom w:val="none" w:sz="0" w:space="0" w:color="auto"/>
        <w:right w:val="none" w:sz="0" w:space="0" w:color="auto"/>
      </w:divBdr>
    </w:div>
    <w:div w:id="455804189">
      <w:bodyDiv w:val="1"/>
      <w:marLeft w:val="0"/>
      <w:marRight w:val="0"/>
      <w:marTop w:val="0"/>
      <w:marBottom w:val="0"/>
      <w:divBdr>
        <w:top w:val="none" w:sz="0" w:space="0" w:color="auto"/>
        <w:left w:val="none" w:sz="0" w:space="0" w:color="auto"/>
        <w:bottom w:val="none" w:sz="0" w:space="0" w:color="auto"/>
        <w:right w:val="none" w:sz="0" w:space="0" w:color="auto"/>
      </w:divBdr>
    </w:div>
    <w:div w:id="464081034">
      <w:bodyDiv w:val="1"/>
      <w:marLeft w:val="0"/>
      <w:marRight w:val="0"/>
      <w:marTop w:val="0"/>
      <w:marBottom w:val="0"/>
      <w:divBdr>
        <w:top w:val="none" w:sz="0" w:space="0" w:color="auto"/>
        <w:left w:val="none" w:sz="0" w:space="0" w:color="auto"/>
        <w:bottom w:val="none" w:sz="0" w:space="0" w:color="auto"/>
        <w:right w:val="none" w:sz="0" w:space="0" w:color="auto"/>
      </w:divBdr>
    </w:div>
    <w:div w:id="467666889">
      <w:bodyDiv w:val="1"/>
      <w:marLeft w:val="0"/>
      <w:marRight w:val="0"/>
      <w:marTop w:val="0"/>
      <w:marBottom w:val="0"/>
      <w:divBdr>
        <w:top w:val="none" w:sz="0" w:space="0" w:color="auto"/>
        <w:left w:val="none" w:sz="0" w:space="0" w:color="auto"/>
        <w:bottom w:val="none" w:sz="0" w:space="0" w:color="auto"/>
        <w:right w:val="none" w:sz="0" w:space="0" w:color="auto"/>
      </w:divBdr>
    </w:div>
    <w:div w:id="489373242">
      <w:bodyDiv w:val="1"/>
      <w:marLeft w:val="0"/>
      <w:marRight w:val="0"/>
      <w:marTop w:val="0"/>
      <w:marBottom w:val="0"/>
      <w:divBdr>
        <w:top w:val="none" w:sz="0" w:space="0" w:color="auto"/>
        <w:left w:val="none" w:sz="0" w:space="0" w:color="auto"/>
        <w:bottom w:val="none" w:sz="0" w:space="0" w:color="auto"/>
        <w:right w:val="none" w:sz="0" w:space="0" w:color="auto"/>
      </w:divBdr>
    </w:div>
    <w:div w:id="498231024">
      <w:bodyDiv w:val="1"/>
      <w:marLeft w:val="0"/>
      <w:marRight w:val="0"/>
      <w:marTop w:val="0"/>
      <w:marBottom w:val="0"/>
      <w:divBdr>
        <w:top w:val="none" w:sz="0" w:space="0" w:color="auto"/>
        <w:left w:val="none" w:sz="0" w:space="0" w:color="auto"/>
        <w:bottom w:val="none" w:sz="0" w:space="0" w:color="auto"/>
        <w:right w:val="none" w:sz="0" w:space="0" w:color="auto"/>
      </w:divBdr>
    </w:div>
    <w:div w:id="527986569">
      <w:bodyDiv w:val="1"/>
      <w:marLeft w:val="0"/>
      <w:marRight w:val="0"/>
      <w:marTop w:val="0"/>
      <w:marBottom w:val="0"/>
      <w:divBdr>
        <w:top w:val="none" w:sz="0" w:space="0" w:color="auto"/>
        <w:left w:val="none" w:sz="0" w:space="0" w:color="auto"/>
        <w:bottom w:val="none" w:sz="0" w:space="0" w:color="auto"/>
        <w:right w:val="none" w:sz="0" w:space="0" w:color="auto"/>
      </w:divBdr>
    </w:div>
    <w:div w:id="537400559">
      <w:bodyDiv w:val="1"/>
      <w:marLeft w:val="0"/>
      <w:marRight w:val="0"/>
      <w:marTop w:val="0"/>
      <w:marBottom w:val="0"/>
      <w:divBdr>
        <w:top w:val="none" w:sz="0" w:space="0" w:color="auto"/>
        <w:left w:val="none" w:sz="0" w:space="0" w:color="auto"/>
        <w:bottom w:val="none" w:sz="0" w:space="0" w:color="auto"/>
        <w:right w:val="none" w:sz="0" w:space="0" w:color="auto"/>
      </w:divBdr>
    </w:div>
    <w:div w:id="547228716">
      <w:bodyDiv w:val="1"/>
      <w:marLeft w:val="0"/>
      <w:marRight w:val="0"/>
      <w:marTop w:val="0"/>
      <w:marBottom w:val="0"/>
      <w:divBdr>
        <w:top w:val="none" w:sz="0" w:space="0" w:color="auto"/>
        <w:left w:val="none" w:sz="0" w:space="0" w:color="auto"/>
        <w:bottom w:val="none" w:sz="0" w:space="0" w:color="auto"/>
        <w:right w:val="none" w:sz="0" w:space="0" w:color="auto"/>
      </w:divBdr>
    </w:div>
    <w:div w:id="549151533">
      <w:bodyDiv w:val="1"/>
      <w:marLeft w:val="0"/>
      <w:marRight w:val="0"/>
      <w:marTop w:val="0"/>
      <w:marBottom w:val="0"/>
      <w:divBdr>
        <w:top w:val="none" w:sz="0" w:space="0" w:color="auto"/>
        <w:left w:val="none" w:sz="0" w:space="0" w:color="auto"/>
        <w:bottom w:val="none" w:sz="0" w:space="0" w:color="auto"/>
        <w:right w:val="none" w:sz="0" w:space="0" w:color="auto"/>
      </w:divBdr>
    </w:div>
    <w:div w:id="559369687">
      <w:bodyDiv w:val="1"/>
      <w:marLeft w:val="0"/>
      <w:marRight w:val="0"/>
      <w:marTop w:val="0"/>
      <w:marBottom w:val="0"/>
      <w:divBdr>
        <w:top w:val="none" w:sz="0" w:space="0" w:color="auto"/>
        <w:left w:val="none" w:sz="0" w:space="0" w:color="auto"/>
        <w:bottom w:val="none" w:sz="0" w:space="0" w:color="auto"/>
        <w:right w:val="none" w:sz="0" w:space="0" w:color="auto"/>
      </w:divBdr>
    </w:div>
    <w:div w:id="564028490">
      <w:bodyDiv w:val="1"/>
      <w:marLeft w:val="0"/>
      <w:marRight w:val="0"/>
      <w:marTop w:val="0"/>
      <w:marBottom w:val="0"/>
      <w:divBdr>
        <w:top w:val="none" w:sz="0" w:space="0" w:color="auto"/>
        <w:left w:val="none" w:sz="0" w:space="0" w:color="auto"/>
        <w:bottom w:val="none" w:sz="0" w:space="0" w:color="auto"/>
        <w:right w:val="none" w:sz="0" w:space="0" w:color="auto"/>
      </w:divBdr>
    </w:div>
    <w:div w:id="565602632">
      <w:bodyDiv w:val="1"/>
      <w:marLeft w:val="0"/>
      <w:marRight w:val="0"/>
      <w:marTop w:val="0"/>
      <w:marBottom w:val="0"/>
      <w:divBdr>
        <w:top w:val="none" w:sz="0" w:space="0" w:color="auto"/>
        <w:left w:val="none" w:sz="0" w:space="0" w:color="auto"/>
        <w:bottom w:val="none" w:sz="0" w:space="0" w:color="auto"/>
        <w:right w:val="none" w:sz="0" w:space="0" w:color="auto"/>
      </w:divBdr>
    </w:div>
    <w:div w:id="569848290">
      <w:bodyDiv w:val="1"/>
      <w:marLeft w:val="0"/>
      <w:marRight w:val="0"/>
      <w:marTop w:val="0"/>
      <w:marBottom w:val="0"/>
      <w:divBdr>
        <w:top w:val="none" w:sz="0" w:space="0" w:color="auto"/>
        <w:left w:val="none" w:sz="0" w:space="0" w:color="auto"/>
        <w:bottom w:val="none" w:sz="0" w:space="0" w:color="auto"/>
        <w:right w:val="none" w:sz="0" w:space="0" w:color="auto"/>
      </w:divBdr>
    </w:div>
    <w:div w:id="577178432">
      <w:bodyDiv w:val="1"/>
      <w:marLeft w:val="0"/>
      <w:marRight w:val="0"/>
      <w:marTop w:val="0"/>
      <w:marBottom w:val="0"/>
      <w:divBdr>
        <w:top w:val="none" w:sz="0" w:space="0" w:color="auto"/>
        <w:left w:val="none" w:sz="0" w:space="0" w:color="auto"/>
        <w:bottom w:val="none" w:sz="0" w:space="0" w:color="auto"/>
        <w:right w:val="none" w:sz="0" w:space="0" w:color="auto"/>
      </w:divBdr>
    </w:div>
    <w:div w:id="578833597">
      <w:bodyDiv w:val="1"/>
      <w:marLeft w:val="0"/>
      <w:marRight w:val="0"/>
      <w:marTop w:val="0"/>
      <w:marBottom w:val="0"/>
      <w:divBdr>
        <w:top w:val="none" w:sz="0" w:space="0" w:color="auto"/>
        <w:left w:val="none" w:sz="0" w:space="0" w:color="auto"/>
        <w:bottom w:val="none" w:sz="0" w:space="0" w:color="auto"/>
        <w:right w:val="none" w:sz="0" w:space="0" w:color="auto"/>
      </w:divBdr>
    </w:div>
    <w:div w:id="580794916">
      <w:bodyDiv w:val="1"/>
      <w:marLeft w:val="0"/>
      <w:marRight w:val="0"/>
      <w:marTop w:val="0"/>
      <w:marBottom w:val="0"/>
      <w:divBdr>
        <w:top w:val="none" w:sz="0" w:space="0" w:color="auto"/>
        <w:left w:val="none" w:sz="0" w:space="0" w:color="auto"/>
        <w:bottom w:val="none" w:sz="0" w:space="0" w:color="auto"/>
        <w:right w:val="none" w:sz="0" w:space="0" w:color="auto"/>
      </w:divBdr>
    </w:div>
    <w:div w:id="583756925">
      <w:bodyDiv w:val="1"/>
      <w:marLeft w:val="0"/>
      <w:marRight w:val="0"/>
      <w:marTop w:val="0"/>
      <w:marBottom w:val="0"/>
      <w:divBdr>
        <w:top w:val="none" w:sz="0" w:space="0" w:color="auto"/>
        <w:left w:val="none" w:sz="0" w:space="0" w:color="auto"/>
        <w:bottom w:val="none" w:sz="0" w:space="0" w:color="auto"/>
        <w:right w:val="none" w:sz="0" w:space="0" w:color="auto"/>
      </w:divBdr>
    </w:div>
    <w:div w:id="584266504">
      <w:bodyDiv w:val="1"/>
      <w:marLeft w:val="0"/>
      <w:marRight w:val="0"/>
      <w:marTop w:val="0"/>
      <w:marBottom w:val="0"/>
      <w:divBdr>
        <w:top w:val="none" w:sz="0" w:space="0" w:color="auto"/>
        <w:left w:val="none" w:sz="0" w:space="0" w:color="auto"/>
        <w:bottom w:val="none" w:sz="0" w:space="0" w:color="auto"/>
        <w:right w:val="none" w:sz="0" w:space="0" w:color="auto"/>
      </w:divBdr>
    </w:div>
    <w:div w:id="595333973">
      <w:bodyDiv w:val="1"/>
      <w:marLeft w:val="0"/>
      <w:marRight w:val="0"/>
      <w:marTop w:val="0"/>
      <w:marBottom w:val="0"/>
      <w:divBdr>
        <w:top w:val="none" w:sz="0" w:space="0" w:color="auto"/>
        <w:left w:val="none" w:sz="0" w:space="0" w:color="auto"/>
        <w:bottom w:val="none" w:sz="0" w:space="0" w:color="auto"/>
        <w:right w:val="none" w:sz="0" w:space="0" w:color="auto"/>
      </w:divBdr>
    </w:div>
    <w:div w:id="600839337">
      <w:bodyDiv w:val="1"/>
      <w:marLeft w:val="0"/>
      <w:marRight w:val="0"/>
      <w:marTop w:val="0"/>
      <w:marBottom w:val="0"/>
      <w:divBdr>
        <w:top w:val="none" w:sz="0" w:space="0" w:color="auto"/>
        <w:left w:val="none" w:sz="0" w:space="0" w:color="auto"/>
        <w:bottom w:val="none" w:sz="0" w:space="0" w:color="auto"/>
        <w:right w:val="none" w:sz="0" w:space="0" w:color="auto"/>
      </w:divBdr>
    </w:div>
    <w:div w:id="615142155">
      <w:bodyDiv w:val="1"/>
      <w:marLeft w:val="0"/>
      <w:marRight w:val="0"/>
      <w:marTop w:val="0"/>
      <w:marBottom w:val="0"/>
      <w:divBdr>
        <w:top w:val="none" w:sz="0" w:space="0" w:color="auto"/>
        <w:left w:val="none" w:sz="0" w:space="0" w:color="auto"/>
        <w:bottom w:val="none" w:sz="0" w:space="0" w:color="auto"/>
        <w:right w:val="none" w:sz="0" w:space="0" w:color="auto"/>
      </w:divBdr>
    </w:div>
    <w:div w:id="622616528">
      <w:bodyDiv w:val="1"/>
      <w:marLeft w:val="0"/>
      <w:marRight w:val="0"/>
      <w:marTop w:val="0"/>
      <w:marBottom w:val="0"/>
      <w:divBdr>
        <w:top w:val="none" w:sz="0" w:space="0" w:color="auto"/>
        <w:left w:val="none" w:sz="0" w:space="0" w:color="auto"/>
        <w:bottom w:val="none" w:sz="0" w:space="0" w:color="auto"/>
        <w:right w:val="none" w:sz="0" w:space="0" w:color="auto"/>
      </w:divBdr>
    </w:div>
    <w:div w:id="622924760">
      <w:bodyDiv w:val="1"/>
      <w:marLeft w:val="0"/>
      <w:marRight w:val="0"/>
      <w:marTop w:val="0"/>
      <w:marBottom w:val="0"/>
      <w:divBdr>
        <w:top w:val="none" w:sz="0" w:space="0" w:color="auto"/>
        <w:left w:val="none" w:sz="0" w:space="0" w:color="auto"/>
        <w:bottom w:val="none" w:sz="0" w:space="0" w:color="auto"/>
        <w:right w:val="none" w:sz="0" w:space="0" w:color="auto"/>
      </w:divBdr>
    </w:div>
    <w:div w:id="624701643">
      <w:bodyDiv w:val="1"/>
      <w:marLeft w:val="0"/>
      <w:marRight w:val="0"/>
      <w:marTop w:val="0"/>
      <w:marBottom w:val="0"/>
      <w:divBdr>
        <w:top w:val="none" w:sz="0" w:space="0" w:color="auto"/>
        <w:left w:val="none" w:sz="0" w:space="0" w:color="auto"/>
        <w:bottom w:val="none" w:sz="0" w:space="0" w:color="auto"/>
        <w:right w:val="none" w:sz="0" w:space="0" w:color="auto"/>
      </w:divBdr>
    </w:div>
    <w:div w:id="632905032">
      <w:bodyDiv w:val="1"/>
      <w:marLeft w:val="0"/>
      <w:marRight w:val="0"/>
      <w:marTop w:val="0"/>
      <w:marBottom w:val="0"/>
      <w:divBdr>
        <w:top w:val="none" w:sz="0" w:space="0" w:color="auto"/>
        <w:left w:val="none" w:sz="0" w:space="0" w:color="auto"/>
        <w:bottom w:val="none" w:sz="0" w:space="0" w:color="auto"/>
        <w:right w:val="none" w:sz="0" w:space="0" w:color="auto"/>
      </w:divBdr>
    </w:div>
    <w:div w:id="638655002">
      <w:bodyDiv w:val="1"/>
      <w:marLeft w:val="0"/>
      <w:marRight w:val="0"/>
      <w:marTop w:val="0"/>
      <w:marBottom w:val="0"/>
      <w:divBdr>
        <w:top w:val="none" w:sz="0" w:space="0" w:color="auto"/>
        <w:left w:val="none" w:sz="0" w:space="0" w:color="auto"/>
        <w:bottom w:val="none" w:sz="0" w:space="0" w:color="auto"/>
        <w:right w:val="none" w:sz="0" w:space="0" w:color="auto"/>
      </w:divBdr>
    </w:div>
    <w:div w:id="645746421">
      <w:bodyDiv w:val="1"/>
      <w:marLeft w:val="0"/>
      <w:marRight w:val="0"/>
      <w:marTop w:val="0"/>
      <w:marBottom w:val="0"/>
      <w:divBdr>
        <w:top w:val="none" w:sz="0" w:space="0" w:color="auto"/>
        <w:left w:val="none" w:sz="0" w:space="0" w:color="auto"/>
        <w:bottom w:val="none" w:sz="0" w:space="0" w:color="auto"/>
        <w:right w:val="none" w:sz="0" w:space="0" w:color="auto"/>
      </w:divBdr>
    </w:div>
    <w:div w:id="646861199">
      <w:bodyDiv w:val="1"/>
      <w:marLeft w:val="0"/>
      <w:marRight w:val="0"/>
      <w:marTop w:val="0"/>
      <w:marBottom w:val="0"/>
      <w:divBdr>
        <w:top w:val="none" w:sz="0" w:space="0" w:color="auto"/>
        <w:left w:val="none" w:sz="0" w:space="0" w:color="auto"/>
        <w:bottom w:val="none" w:sz="0" w:space="0" w:color="auto"/>
        <w:right w:val="none" w:sz="0" w:space="0" w:color="auto"/>
      </w:divBdr>
    </w:div>
    <w:div w:id="648554189">
      <w:bodyDiv w:val="1"/>
      <w:marLeft w:val="0"/>
      <w:marRight w:val="0"/>
      <w:marTop w:val="0"/>
      <w:marBottom w:val="0"/>
      <w:divBdr>
        <w:top w:val="none" w:sz="0" w:space="0" w:color="auto"/>
        <w:left w:val="none" w:sz="0" w:space="0" w:color="auto"/>
        <w:bottom w:val="none" w:sz="0" w:space="0" w:color="auto"/>
        <w:right w:val="none" w:sz="0" w:space="0" w:color="auto"/>
      </w:divBdr>
    </w:div>
    <w:div w:id="657685298">
      <w:bodyDiv w:val="1"/>
      <w:marLeft w:val="0"/>
      <w:marRight w:val="0"/>
      <w:marTop w:val="0"/>
      <w:marBottom w:val="0"/>
      <w:divBdr>
        <w:top w:val="none" w:sz="0" w:space="0" w:color="auto"/>
        <w:left w:val="none" w:sz="0" w:space="0" w:color="auto"/>
        <w:bottom w:val="none" w:sz="0" w:space="0" w:color="auto"/>
        <w:right w:val="none" w:sz="0" w:space="0" w:color="auto"/>
      </w:divBdr>
    </w:div>
    <w:div w:id="662196035">
      <w:bodyDiv w:val="1"/>
      <w:marLeft w:val="0"/>
      <w:marRight w:val="0"/>
      <w:marTop w:val="0"/>
      <w:marBottom w:val="0"/>
      <w:divBdr>
        <w:top w:val="none" w:sz="0" w:space="0" w:color="auto"/>
        <w:left w:val="none" w:sz="0" w:space="0" w:color="auto"/>
        <w:bottom w:val="none" w:sz="0" w:space="0" w:color="auto"/>
        <w:right w:val="none" w:sz="0" w:space="0" w:color="auto"/>
      </w:divBdr>
    </w:div>
    <w:div w:id="672952261">
      <w:bodyDiv w:val="1"/>
      <w:marLeft w:val="0"/>
      <w:marRight w:val="0"/>
      <w:marTop w:val="0"/>
      <w:marBottom w:val="0"/>
      <w:divBdr>
        <w:top w:val="none" w:sz="0" w:space="0" w:color="auto"/>
        <w:left w:val="none" w:sz="0" w:space="0" w:color="auto"/>
        <w:bottom w:val="none" w:sz="0" w:space="0" w:color="auto"/>
        <w:right w:val="none" w:sz="0" w:space="0" w:color="auto"/>
      </w:divBdr>
    </w:div>
    <w:div w:id="690227919">
      <w:bodyDiv w:val="1"/>
      <w:marLeft w:val="0"/>
      <w:marRight w:val="0"/>
      <w:marTop w:val="0"/>
      <w:marBottom w:val="0"/>
      <w:divBdr>
        <w:top w:val="none" w:sz="0" w:space="0" w:color="auto"/>
        <w:left w:val="none" w:sz="0" w:space="0" w:color="auto"/>
        <w:bottom w:val="none" w:sz="0" w:space="0" w:color="auto"/>
        <w:right w:val="none" w:sz="0" w:space="0" w:color="auto"/>
      </w:divBdr>
    </w:div>
    <w:div w:id="705906747">
      <w:bodyDiv w:val="1"/>
      <w:marLeft w:val="0"/>
      <w:marRight w:val="0"/>
      <w:marTop w:val="0"/>
      <w:marBottom w:val="0"/>
      <w:divBdr>
        <w:top w:val="none" w:sz="0" w:space="0" w:color="auto"/>
        <w:left w:val="none" w:sz="0" w:space="0" w:color="auto"/>
        <w:bottom w:val="none" w:sz="0" w:space="0" w:color="auto"/>
        <w:right w:val="none" w:sz="0" w:space="0" w:color="auto"/>
      </w:divBdr>
    </w:div>
    <w:div w:id="707681782">
      <w:bodyDiv w:val="1"/>
      <w:marLeft w:val="0"/>
      <w:marRight w:val="0"/>
      <w:marTop w:val="0"/>
      <w:marBottom w:val="0"/>
      <w:divBdr>
        <w:top w:val="none" w:sz="0" w:space="0" w:color="auto"/>
        <w:left w:val="none" w:sz="0" w:space="0" w:color="auto"/>
        <w:bottom w:val="none" w:sz="0" w:space="0" w:color="auto"/>
        <w:right w:val="none" w:sz="0" w:space="0" w:color="auto"/>
      </w:divBdr>
    </w:div>
    <w:div w:id="713191383">
      <w:bodyDiv w:val="1"/>
      <w:marLeft w:val="0"/>
      <w:marRight w:val="0"/>
      <w:marTop w:val="0"/>
      <w:marBottom w:val="0"/>
      <w:divBdr>
        <w:top w:val="none" w:sz="0" w:space="0" w:color="auto"/>
        <w:left w:val="none" w:sz="0" w:space="0" w:color="auto"/>
        <w:bottom w:val="none" w:sz="0" w:space="0" w:color="auto"/>
        <w:right w:val="none" w:sz="0" w:space="0" w:color="auto"/>
      </w:divBdr>
    </w:div>
    <w:div w:id="719131647">
      <w:bodyDiv w:val="1"/>
      <w:marLeft w:val="0"/>
      <w:marRight w:val="0"/>
      <w:marTop w:val="0"/>
      <w:marBottom w:val="0"/>
      <w:divBdr>
        <w:top w:val="none" w:sz="0" w:space="0" w:color="auto"/>
        <w:left w:val="none" w:sz="0" w:space="0" w:color="auto"/>
        <w:bottom w:val="none" w:sz="0" w:space="0" w:color="auto"/>
        <w:right w:val="none" w:sz="0" w:space="0" w:color="auto"/>
      </w:divBdr>
    </w:div>
    <w:div w:id="723606056">
      <w:bodyDiv w:val="1"/>
      <w:marLeft w:val="0"/>
      <w:marRight w:val="0"/>
      <w:marTop w:val="0"/>
      <w:marBottom w:val="0"/>
      <w:divBdr>
        <w:top w:val="none" w:sz="0" w:space="0" w:color="auto"/>
        <w:left w:val="none" w:sz="0" w:space="0" w:color="auto"/>
        <w:bottom w:val="none" w:sz="0" w:space="0" w:color="auto"/>
        <w:right w:val="none" w:sz="0" w:space="0" w:color="auto"/>
      </w:divBdr>
    </w:div>
    <w:div w:id="724717657">
      <w:bodyDiv w:val="1"/>
      <w:marLeft w:val="0"/>
      <w:marRight w:val="0"/>
      <w:marTop w:val="0"/>
      <w:marBottom w:val="0"/>
      <w:divBdr>
        <w:top w:val="none" w:sz="0" w:space="0" w:color="auto"/>
        <w:left w:val="none" w:sz="0" w:space="0" w:color="auto"/>
        <w:bottom w:val="none" w:sz="0" w:space="0" w:color="auto"/>
        <w:right w:val="none" w:sz="0" w:space="0" w:color="auto"/>
      </w:divBdr>
    </w:div>
    <w:div w:id="729033752">
      <w:bodyDiv w:val="1"/>
      <w:marLeft w:val="0"/>
      <w:marRight w:val="0"/>
      <w:marTop w:val="0"/>
      <w:marBottom w:val="0"/>
      <w:divBdr>
        <w:top w:val="none" w:sz="0" w:space="0" w:color="auto"/>
        <w:left w:val="none" w:sz="0" w:space="0" w:color="auto"/>
        <w:bottom w:val="none" w:sz="0" w:space="0" w:color="auto"/>
        <w:right w:val="none" w:sz="0" w:space="0" w:color="auto"/>
      </w:divBdr>
    </w:div>
    <w:div w:id="731543839">
      <w:bodyDiv w:val="1"/>
      <w:marLeft w:val="0"/>
      <w:marRight w:val="0"/>
      <w:marTop w:val="0"/>
      <w:marBottom w:val="0"/>
      <w:divBdr>
        <w:top w:val="none" w:sz="0" w:space="0" w:color="auto"/>
        <w:left w:val="none" w:sz="0" w:space="0" w:color="auto"/>
        <w:bottom w:val="none" w:sz="0" w:space="0" w:color="auto"/>
        <w:right w:val="none" w:sz="0" w:space="0" w:color="auto"/>
      </w:divBdr>
    </w:div>
    <w:div w:id="732852411">
      <w:bodyDiv w:val="1"/>
      <w:marLeft w:val="0"/>
      <w:marRight w:val="0"/>
      <w:marTop w:val="0"/>
      <w:marBottom w:val="0"/>
      <w:divBdr>
        <w:top w:val="none" w:sz="0" w:space="0" w:color="auto"/>
        <w:left w:val="none" w:sz="0" w:space="0" w:color="auto"/>
        <w:bottom w:val="none" w:sz="0" w:space="0" w:color="auto"/>
        <w:right w:val="none" w:sz="0" w:space="0" w:color="auto"/>
      </w:divBdr>
    </w:div>
    <w:div w:id="739518842">
      <w:bodyDiv w:val="1"/>
      <w:marLeft w:val="0"/>
      <w:marRight w:val="0"/>
      <w:marTop w:val="0"/>
      <w:marBottom w:val="0"/>
      <w:divBdr>
        <w:top w:val="none" w:sz="0" w:space="0" w:color="auto"/>
        <w:left w:val="none" w:sz="0" w:space="0" w:color="auto"/>
        <w:bottom w:val="none" w:sz="0" w:space="0" w:color="auto"/>
        <w:right w:val="none" w:sz="0" w:space="0" w:color="auto"/>
      </w:divBdr>
    </w:div>
    <w:div w:id="748304950">
      <w:bodyDiv w:val="1"/>
      <w:marLeft w:val="0"/>
      <w:marRight w:val="0"/>
      <w:marTop w:val="0"/>
      <w:marBottom w:val="0"/>
      <w:divBdr>
        <w:top w:val="none" w:sz="0" w:space="0" w:color="auto"/>
        <w:left w:val="none" w:sz="0" w:space="0" w:color="auto"/>
        <w:bottom w:val="none" w:sz="0" w:space="0" w:color="auto"/>
        <w:right w:val="none" w:sz="0" w:space="0" w:color="auto"/>
      </w:divBdr>
    </w:div>
    <w:div w:id="748770514">
      <w:bodyDiv w:val="1"/>
      <w:marLeft w:val="0"/>
      <w:marRight w:val="0"/>
      <w:marTop w:val="0"/>
      <w:marBottom w:val="0"/>
      <w:divBdr>
        <w:top w:val="none" w:sz="0" w:space="0" w:color="auto"/>
        <w:left w:val="none" w:sz="0" w:space="0" w:color="auto"/>
        <w:bottom w:val="none" w:sz="0" w:space="0" w:color="auto"/>
        <w:right w:val="none" w:sz="0" w:space="0" w:color="auto"/>
      </w:divBdr>
    </w:div>
    <w:div w:id="751389829">
      <w:bodyDiv w:val="1"/>
      <w:marLeft w:val="0"/>
      <w:marRight w:val="0"/>
      <w:marTop w:val="0"/>
      <w:marBottom w:val="0"/>
      <w:divBdr>
        <w:top w:val="none" w:sz="0" w:space="0" w:color="auto"/>
        <w:left w:val="none" w:sz="0" w:space="0" w:color="auto"/>
        <w:bottom w:val="none" w:sz="0" w:space="0" w:color="auto"/>
        <w:right w:val="none" w:sz="0" w:space="0" w:color="auto"/>
      </w:divBdr>
    </w:div>
    <w:div w:id="752354104">
      <w:bodyDiv w:val="1"/>
      <w:marLeft w:val="0"/>
      <w:marRight w:val="0"/>
      <w:marTop w:val="0"/>
      <w:marBottom w:val="0"/>
      <w:divBdr>
        <w:top w:val="none" w:sz="0" w:space="0" w:color="auto"/>
        <w:left w:val="none" w:sz="0" w:space="0" w:color="auto"/>
        <w:bottom w:val="none" w:sz="0" w:space="0" w:color="auto"/>
        <w:right w:val="none" w:sz="0" w:space="0" w:color="auto"/>
      </w:divBdr>
    </w:div>
    <w:div w:id="756052819">
      <w:bodyDiv w:val="1"/>
      <w:marLeft w:val="0"/>
      <w:marRight w:val="0"/>
      <w:marTop w:val="0"/>
      <w:marBottom w:val="0"/>
      <w:divBdr>
        <w:top w:val="none" w:sz="0" w:space="0" w:color="auto"/>
        <w:left w:val="none" w:sz="0" w:space="0" w:color="auto"/>
        <w:bottom w:val="none" w:sz="0" w:space="0" w:color="auto"/>
        <w:right w:val="none" w:sz="0" w:space="0" w:color="auto"/>
      </w:divBdr>
    </w:div>
    <w:div w:id="763262647">
      <w:bodyDiv w:val="1"/>
      <w:marLeft w:val="0"/>
      <w:marRight w:val="0"/>
      <w:marTop w:val="0"/>
      <w:marBottom w:val="0"/>
      <w:divBdr>
        <w:top w:val="none" w:sz="0" w:space="0" w:color="auto"/>
        <w:left w:val="none" w:sz="0" w:space="0" w:color="auto"/>
        <w:bottom w:val="none" w:sz="0" w:space="0" w:color="auto"/>
        <w:right w:val="none" w:sz="0" w:space="0" w:color="auto"/>
      </w:divBdr>
    </w:div>
    <w:div w:id="765619683">
      <w:bodyDiv w:val="1"/>
      <w:marLeft w:val="0"/>
      <w:marRight w:val="0"/>
      <w:marTop w:val="0"/>
      <w:marBottom w:val="0"/>
      <w:divBdr>
        <w:top w:val="none" w:sz="0" w:space="0" w:color="auto"/>
        <w:left w:val="none" w:sz="0" w:space="0" w:color="auto"/>
        <w:bottom w:val="none" w:sz="0" w:space="0" w:color="auto"/>
        <w:right w:val="none" w:sz="0" w:space="0" w:color="auto"/>
      </w:divBdr>
    </w:div>
    <w:div w:id="778455178">
      <w:bodyDiv w:val="1"/>
      <w:marLeft w:val="0"/>
      <w:marRight w:val="0"/>
      <w:marTop w:val="0"/>
      <w:marBottom w:val="0"/>
      <w:divBdr>
        <w:top w:val="none" w:sz="0" w:space="0" w:color="auto"/>
        <w:left w:val="none" w:sz="0" w:space="0" w:color="auto"/>
        <w:bottom w:val="none" w:sz="0" w:space="0" w:color="auto"/>
        <w:right w:val="none" w:sz="0" w:space="0" w:color="auto"/>
      </w:divBdr>
    </w:div>
    <w:div w:id="789782717">
      <w:bodyDiv w:val="1"/>
      <w:marLeft w:val="0"/>
      <w:marRight w:val="0"/>
      <w:marTop w:val="0"/>
      <w:marBottom w:val="0"/>
      <w:divBdr>
        <w:top w:val="none" w:sz="0" w:space="0" w:color="auto"/>
        <w:left w:val="none" w:sz="0" w:space="0" w:color="auto"/>
        <w:bottom w:val="none" w:sz="0" w:space="0" w:color="auto"/>
        <w:right w:val="none" w:sz="0" w:space="0" w:color="auto"/>
      </w:divBdr>
    </w:div>
    <w:div w:id="792745889">
      <w:bodyDiv w:val="1"/>
      <w:marLeft w:val="0"/>
      <w:marRight w:val="0"/>
      <w:marTop w:val="0"/>
      <w:marBottom w:val="0"/>
      <w:divBdr>
        <w:top w:val="none" w:sz="0" w:space="0" w:color="auto"/>
        <w:left w:val="none" w:sz="0" w:space="0" w:color="auto"/>
        <w:bottom w:val="none" w:sz="0" w:space="0" w:color="auto"/>
        <w:right w:val="none" w:sz="0" w:space="0" w:color="auto"/>
      </w:divBdr>
    </w:div>
    <w:div w:id="796021209">
      <w:bodyDiv w:val="1"/>
      <w:marLeft w:val="0"/>
      <w:marRight w:val="0"/>
      <w:marTop w:val="0"/>
      <w:marBottom w:val="0"/>
      <w:divBdr>
        <w:top w:val="none" w:sz="0" w:space="0" w:color="auto"/>
        <w:left w:val="none" w:sz="0" w:space="0" w:color="auto"/>
        <w:bottom w:val="none" w:sz="0" w:space="0" w:color="auto"/>
        <w:right w:val="none" w:sz="0" w:space="0" w:color="auto"/>
      </w:divBdr>
    </w:div>
    <w:div w:id="800078046">
      <w:bodyDiv w:val="1"/>
      <w:marLeft w:val="0"/>
      <w:marRight w:val="0"/>
      <w:marTop w:val="0"/>
      <w:marBottom w:val="0"/>
      <w:divBdr>
        <w:top w:val="none" w:sz="0" w:space="0" w:color="auto"/>
        <w:left w:val="none" w:sz="0" w:space="0" w:color="auto"/>
        <w:bottom w:val="none" w:sz="0" w:space="0" w:color="auto"/>
        <w:right w:val="none" w:sz="0" w:space="0" w:color="auto"/>
      </w:divBdr>
    </w:div>
    <w:div w:id="808210595">
      <w:bodyDiv w:val="1"/>
      <w:marLeft w:val="0"/>
      <w:marRight w:val="0"/>
      <w:marTop w:val="0"/>
      <w:marBottom w:val="0"/>
      <w:divBdr>
        <w:top w:val="none" w:sz="0" w:space="0" w:color="auto"/>
        <w:left w:val="none" w:sz="0" w:space="0" w:color="auto"/>
        <w:bottom w:val="none" w:sz="0" w:space="0" w:color="auto"/>
        <w:right w:val="none" w:sz="0" w:space="0" w:color="auto"/>
      </w:divBdr>
    </w:div>
    <w:div w:id="814762525">
      <w:bodyDiv w:val="1"/>
      <w:marLeft w:val="0"/>
      <w:marRight w:val="0"/>
      <w:marTop w:val="0"/>
      <w:marBottom w:val="0"/>
      <w:divBdr>
        <w:top w:val="none" w:sz="0" w:space="0" w:color="auto"/>
        <w:left w:val="none" w:sz="0" w:space="0" w:color="auto"/>
        <w:bottom w:val="none" w:sz="0" w:space="0" w:color="auto"/>
        <w:right w:val="none" w:sz="0" w:space="0" w:color="auto"/>
      </w:divBdr>
    </w:div>
    <w:div w:id="834955701">
      <w:bodyDiv w:val="1"/>
      <w:marLeft w:val="0"/>
      <w:marRight w:val="0"/>
      <w:marTop w:val="0"/>
      <w:marBottom w:val="0"/>
      <w:divBdr>
        <w:top w:val="none" w:sz="0" w:space="0" w:color="auto"/>
        <w:left w:val="none" w:sz="0" w:space="0" w:color="auto"/>
        <w:bottom w:val="none" w:sz="0" w:space="0" w:color="auto"/>
        <w:right w:val="none" w:sz="0" w:space="0" w:color="auto"/>
      </w:divBdr>
    </w:div>
    <w:div w:id="835609555">
      <w:bodyDiv w:val="1"/>
      <w:marLeft w:val="0"/>
      <w:marRight w:val="0"/>
      <w:marTop w:val="0"/>
      <w:marBottom w:val="0"/>
      <w:divBdr>
        <w:top w:val="none" w:sz="0" w:space="0" w:color="auto"/>
        <w:left w:val="none" w:sz="0" w:space="0" w:color="auto"/>
        <w:bottom w:val="none" w:sz="0" w:space="0" w:color="auto"/>
        <w:right w:val="none" w:sz="0" w:space="0" w:color="auto"/>
      </w:divBdr>
    </w:div>
    <w:div w:id="839198962">
      <w:bodyDiv w:val="1"/>
      <w:marLeft w:val="0"/>
      <w:marRight w:val="0"/>
      <w:marTop w:val="0"/>
      <w:marBottom w:val="0"/>
      <w:divBdr>
        <w:top w:val="none" w:sz="0" w:space="0" w:color="auto"/>
        <w:left w:val="none" w:sz="0" w:space="0" w:color="auto"/>
        <w:bottom w:val="none" w:sz="0" w:space="0" w:color="auto"/>
        <w:right w:val="none" w:sz="0" w:space="0" w:color="auto"/>
      </w:divBdr>
    </w:div>
    <w:div w:id="840660106">
      <w:bodyDiv w:val="1"/>
      <w:marLeft w:val="0"/>
      <w:marRight w:val="0"/>
      <w:marTop w:val="0"/>
      <w:marBottom w:val="0"/>
      <w:divBdr>
        <w:top w:val="none" w:sz="0" w:space="0" w:color="auto"/>
        <w:left w:val="none" w:sz="0" w:space="0" w:color="auto"/>
        <w:bottom w:val="none" w:sz="0" w:space="0" w:color="auto"/>
        <w:right w:val="none" w:sz="0" w:space="0" w:color="auto"/>
      </w:divBdr>
    </w:div>
    <w:div w:id="859930485">
      <w:bodyDiv w:val="1"/>
      <w:marLeft w:val="0"/>
      <w:marRight w:val="0"/>
      <w:marTop w:val="0"/>
      <w:marBottom w:val="0"/>
      <w:divBdr>
        <w:top w:val="none" w:sz="0" w:space="0" w:color="auto"/>
        <w:left w:val="none" w:sz="0" w:space="0" w:color="auto"/>
        <w:bottom w:val="none" w:sz="0" w:space="0" w:color="auto"/>
        <w:right w:val="none" w:sz="0" w:space="0" w:color="auto"/>
      </w:divBdr>
    </w:div>
    <w:div w:id="866989159">
      <w:bodyDiv w:val="1"/>
      <w:marLeft w:val="0"/>
      <w:marRight w:val="0"/>
      <w:marTop w:val="0"/>
      <w:marBottom w:val="0"/>
      <w:divBdr>
        <w:top w:val="none" w:sz="0" w:space="0" w:color="auto"/>
        <w:left w:val="none" w:sz="0" w:space="0" w:color="auto"/>
        <w:bottom w:val="none" w:sz="0" w:space="0" w:color="auto"/>
        <w:right w:val="none" w:sz="0" w:space="0" w:color="auto"/>
      </w:divBdr>
    </w:div>
    <w:div w:id="878127287">
      <w:bodyDiv w:val="1"/>
      <w:marLeft w:val="0"/>
      <w:marRight w:val="0"/>
      <w:marTop w:val="0"/>
      <w:marBottom w:val="0"/>
      <w:divBdr>
        <w:top w:val="none" w:sz="0" w:space="0" w:color="auto"/>
        <w:left w:val="none" w:sz="0" w:space="0" w:color="auto"/>
        <w:bottom w:val="none" w:sz="0" w:space="0" w:color="auto"/>
        <w:right w:val="none" w:sz="0" w:space="0" w:color="auto"/>
      </w:divBdr>
    </w:div>
    <w:div w:id="884410389">
      <w:bodyDiv w:val="1"/>
      <w:marLeft w:val="0"/>
      <w:marRight w:val="0"/>
      <w:marTop w:val="0"/>
      <w:marBottom w:val="0"/>
      <w:divBdr>
        <w:top w:val="none" w:sz="0" w:space="0" w:color="auto"/>
        <w:left w:val="none" w:sz="0" w:space="0" w:color="auto"/>
        <w:bottom w:val="none" w:sz="0" w:space="0" w:color="auto"/>
        <w:right w:val="none" w:sz="0" w:space="0" w:color="auto"/>
      </w:divBdr>
    </w:div>
    <w:div w:id="884756028">
      <w:bodyDiv w:val="1"/>
      <w:marLeft w:val="0"/>
      <w:marRight w:val="0"/>
      <w:marTop w:val="0"/>
      <w:marBottom w:val="0"/>
      <w:divBdr>
        <w:top w:val="none" w:sz="0" w:space="0" w:color="auto"/>
        <w:left w:val="none" w:sz="0" w:space="0" w:color="auto"/>
        <w:bottom w:val="none" w:sz="0" w:space="0" w:color="auto"/>
        <w:right w:val="none" w:sz="0" w:space="0" w:color="auto"/>
      </w:divBdr>
    </w:div>
    <w:div w:id="885600694">
      <w:bodyDiv w:val="1"/>
      <w:marLeft w:val="0"/>
      <w:marRight w:val="0"/>
      <w:marTop w:val="0"/>
      <w:marBottom w:val="0"/>
      <w:divBdr>
        <w:top w:val="none" w:sz="0" w:space="0" w:color="auto"/>
        <w:left w:val="none" w:sz="0" w:space="0" w:color="auto"/>
        <w:bottom w:val="none" w:sz="0" w:space="0" w:color="auto"/>
        <w:right w:val="none" w:sz="0" w:space="0" w:color="auto"/>
      </w:divBdr>
    </w:div>
    <w:div w:id="887767542">
      <w:bodyDiv w:val="1"/>
      <w:marLeft w:val="0"/>
      <w:marRight w:val="0"/>
      <w:marTop w:val="0"/>
      <w:marBottom w:val="0"/>
      <w:divBdr>
        <w:top w:val="none" w:sz="0" w:space="0" w:color="auto"/>
        <w:left w:val="none" w:sz="0" w:space="0" w:color="auto"/>
        <w:bottom w:val="none" w:sz="0" w:space="0" w:color="auto"/>
        <w:right w:val="none" w:sz="0" w:space="0" w:color="auto"/>
      </w:divBdr>
    </w:div>
    <w:div w:id="889534362">
      <w:bodyDiv w:val="1"/>
      <w:marLeft w:val="0"/>
      <w:marRight w:val="0"/>
      <w:marTop w:val="0"/>
      <w:marBottom w:val="0"/>
      <w:divBdr>
        <w:top w:val="none" w:sz="0" w:space="0" w:color="auto"/>
        <w:left w:val="none" w:sz="0" w:space="0" w:color="auto"/>
        <w:bottom w:val="none" w:sz="0" w:space="0" w:color="auto"/>
        <w:right w:val="none" w:sz="0" w:space="0" w:color="auto"/>
      </w:divBdr>
    </w:div>
    <w:div w:id="898631635">
      <w:bodyDiv w:val="1"/>
      <w:marLeft w:val="0"/>
      <w:marRight w:val="0"/>
      <w:marTop w:val="0"/>
      <w:marBottom w:val="0"/>
      <w:divBdr>
        <w:top w:val="none" w:sz="0" w:space="0" w:color="auto"/>
        <w:left w:val="none" w:sz="0" w:space="0" w:color="auto"/>
        <w:bottom w:val="none" w:sz="0" w:space="0" w:color="auto"/>
        <w:right w:val="none" w:sz="0" w:space="0" w:color="auto"/>
      </w:divBdr>
    </w:div>
    <w:div w:id="903638373">
      <w:bodyDiv w:val="1"/>
      <w:marLeft w:val="0"/>
      <w:marRight w:val="0"/>
      <w:marTop w:val="0"/>
      <w:marBottom w:val="0"/>
      <w:divBdr>
        <w:top w:val="none" w:sz="0" w:space="0" w:color="auto"/>
        <w:left w:val="none" w:sz="0" w:space="0" w:color="auto"/>
        <w:bottom w:val="none" w:sz="0" w:space="0" w:color="auto"/>
        <w:right w:val="none" w:sz="0" w:space="0" w:color="auto"/>
      </w:divBdr>
    </w:div>
    <w:div w:id="905192058">
      <w:bodyDiv w:val="1"/>
      <w:marLeft w:val="0"/>
      <w:marRight w:val="0"/>
      <w:marTop w:val="0"/>
      <w:marBottom w:val="0"/>
      <w:divBdr>
        <w:top w:val="none" w:sz="0" w:space="0" w:color="auto"/>
        <w:left w:val="none" w:sz="0" w:space="0" w:color="auto"/>
        <w:bottom w:val="none" w:sz="0" w:space="0" w:color="auto"/>
        <w:right w:val="none" w:sz="0" w:space="0" w:color="auto"/>
      </w:divBdr>
    </w:div>
    <w:div w:id="906305688">
      <w:bodyDiv w:val="1"/>
      <w:marLeft w:val="0"/>
      <w:marRight w:val="0"/>
      <w:marTop w:val="0"/>
      <w:marBottom w:val="0"/>
      <w:divBdr>
        <w:top w:val="none" w:sz="0" w:space="0" w:color="auto"/>
        <w:left w:val="none" w:sz="0" w:space="0" w:color="auto"/>
        <w:bottom w:val="none" w:sz="0" w:space="0" w:color="auto"/>
        <w:right w:val="none" w:sz="0" w:space="0" w:color="auto"/>
      </w:divBdr>
    </w:div>
    <w:div w:id="910313620">
      <w:bodyDiv w:val="1"/>
      <w:marLeft w:val="0"/>
      <w:marRight w:val="0"/>
      <w:marTop w:val="0"/>
      <w:marBottom w:val="0"/>
      <w:divBdr>
        <w:top w:val="none" w:sz="0" w:space="0" w:color="auto"/>
        <w:left w:val="none" w:sz="0" w:space="0" w:color="auto"/>
        <w:bottom w:val="none" w:sz="0" w:space="0" w:color="auto"/>
        <w:right w:val="none" w:sz="0" w:space="0" w:color="auto"/>
      </w:divBdr>
    </w:div>
    <w:div w:id="911162015">
      <w:bodyDiv w:val="1"/>
      <w:marLeft w:val="0"/>
      <w:marRight w:val="0"/>
      <w:marTop w:val="0"/>
      <w:marBottom w:val="0"/>
      <w:divBdr>
        <w:top w:val="none" w:sz="0" w:space="0" w:color="auto"/>
        <w:left w:val="none" w:sz="0" w:space="0" w:color="auto"/>
        <w:bottom w:val="none" w:sz="0" w:space="0" w:color="auto"/>
        <w:right w:val="none" w:sz="0" w:space="0" w:color="auto"/>
      </w:divBdr>
    </w:div>
    <w:div w:id="911743669">
      <w:bodyDiv w:val="1"/>
      <w:marLeft w:val="0"/>
      <w:marRight w:val="0"/>
      <w:marTop w:val="0"/>
      <w:marBottom w:val="0"/>
      <w:divBdr>
        <w:top w:val="none" w:sz="0" w:space="0" w:color="auto"/>
        <w:left w:val="none" w:sz="0" w:space="0" w:color="auto"/>
        <w:bottom w:val="none" w:sz="0" w:space="0" w:color="auto"/>
        <w:right w:val="none" w:sz="0" w:space="0" w:color="auto"/>
      </w:divBdr>
    </w:div>
    <w:div w:id="920526577">
      <w:bodyDiv w:val="1"/>
      <w:marLeft w:val="0"/>
      <w:marRight w:val="0"/>
      <w:marTop w:val="0"/>
      <w:marBottom w:val="0"/>
      <w:divBdr>
        <w:top w:val="none" w:sz="0" w:space="0" w:color="auto"/>
        <w:left w:val="none" w:sz="0" w:space="0" w:color="auto"/>
        <w:bottom w:val="none" w:sz="0" w:space="0" w:color="auto"/>
        <w:right w:val="none" w:sz="0" w:space="0" w:color="auto"/>
      </w:divBdr>
    </w:div>
    <w:div w:id="943264088">
      <w:bodyDiv w:val="1"/>
      <w:marLeft w:val="0"/>
      <w:marRight w:val="0"/>
      <w:marTop w:val="0"/>
      <w:marBottom w:val="0"/>
      <w:divBdr>
        <w:top w:val="none" w:sz="0" w:space="0" w:color="auto"/>
        <w:left w:val="none" w:sz="0" w:space="0" w:color="auto"/>
        <w:bottom w:val="none" w:sz="0" w:space="0" w:color="auto"/>
        <w:right w:val="none" w:sz="0" w:space="0" w:color="auto"/>
      </w:divBdr>
    </w:div>
    <w:div w:id="946472657">
      <w:bodyDiv w:val="1"/>
      <w:marLeft w:val="0"/>
      <w:marRight w:val="0"/>
      <w:marTop w:val="0"/>
      <w:marBottom w:val="0"/>
      <w:divBdr>
        <w:top w:val="none" w:sz="0" w:space="0" w:color="auto"/>
        <w:left w:val="none" w:sz="0" w:space="0" w:color="auto"/>
        <w:bottom w:val="none" w:sz="0" w:space="0" w:color="auto"/>
        <w:right w:val="none" w:sz="0" w:space="0" w:color="auto"/>
      </w:divBdr>
    </w:div>
    <w:div w:id="946623959">
      <w:bodyDiv w:val="1"/>
      <w:marLeft w:val="0"/>
      <w:marRight w:val="0"/>
      <w:marTop w:val="0"/>
      <w:marBottom w:val="0"/>
      <w:divBdr>
        <w:top w:val="none" w:sz="0" w:space="0" w:color="auto"/>
        <w:left w:val="none" w:sz="0" w:space="0" w:color="auto"/>
        <w:bottom w:val="none" w:sz="0" w:space="0" w:color="auto"/>
        <w:right w:val="none" w:sz="0" w:space="0" w:color="auto"/>
      </w:divBdr>
    </w:div>
    <w:div w:id="947464236">
      <w:bodyDiv w:val="1"/>
      <w:marLeft w:val="0"/>
      <w:marRight w:val="0"/>
      <w:marTop w:val="0"/>
      <w:marBottom w:val="0"/>
      <w:divBdr>
        <w:top w:val="none" w:sz="0" w:space="0" w:color="auto"/>
        <w:left w:val="none" w:sz="0" w:space="0" w:color="auto"/>
        <w:bottom w:val="none" w:sz="0" w:space="0" w:color="auto"/>
        <w:right w:val="none" w:sz="0" w:space="0" w:color="auto"/>
      </w:divBdr>
    </w:div>
    <w:div w:id="948777989">
      <w:bodyDiv w:val="1"/>
      <w:marLeft w:val="0"/>
      <w:marRight w:val="0"/>
      <w:marTop w:val="0"/>
      <w:marBottom w:val="0"/>
      <w:divBdr>
        <w:top w:val="none" w:sz="0" w:space="0" w:color="auto"/>
        <w:left w:val="none" w:sz="0" w:space="0" w:color="auto"/>
        <w:bottom w:val="none" w:sz="0" w:space="0" w:color="auto"/>
        <w:right w:val="none" w:sz="0" w:space="0" w:color="auto"/>
      </w:divBdr>
    </w:div>
    <w:div w:id="951278310">
      <w:bodyDiv w:val="1"/>
      <w:marLeft w:val="0"/>
      <w:marRight w:val="0"/>
      <w:marTop w:val="0"/>
      <w:marBottom w:val="0"/>
      <w:divBdr>
        <w:top w:val="none" w:sz="0" w:space="0" w:color="auto"/>
        <w:left w:val="none" w:sz="0" w:space="0" w:color="auto"/>
        <w:bottom w:val="none" w:sz="0" w:space="0" w:color="auto"/>
        <w:right w:val="none" w:sz="0" w:space="0" w:color="auto"/>
      </w:divBdr>
    </w:div>
    <w:div w:id="953710298">
      <w:bodyDiv w:val="1"/>
      <w:marLeft w:val="0"/>
      <w:marRight w:val="0"/>
      <w:marTop w:val="0"/>
      <w:marBottom w:val="0"/>
      <w:divBdr>
        <w:top w:val="none" w:sz="0" w:space="0" w:color="auto"/>
        <w:left w:val="none" w:sz="0" w:space="0" w:color="auto"/>
        <w:bottom w:val="none" w:sz="0" w:space="0" w:color="auto"/>
        <w:right w:val="none" w:sz="0" w:space="0" w:color="auto"/>
      </w:divBdr>
    </w:div>
    <w:div w:id="955672424">
      <w:bodyDiv w:val="1"/>
      <w:marLeft w:val="0"/>
      <w:marRight w:val="0"/>
      <w:marTop w:val="0"/>
      <w:marBottom w:val="0"/>
      <w:divBdr>
        <w:top w:val="none" w:sz="0" w:space="0" w:color="auto"/>
        <w:left w:val="none" w:sz="0" w:space="0" w:color="auto"/>
        <w:bottom w:val="none" w:sz="0" w:space="0" w:color="auto"/>
        <w:right w:val="none" w:sz="0" w:space="0" w:color="auto"/>
      </w:divBdr>
    </w:div>
    <w:div w:id="965158217">
      <w:bodyDiv w:val="1"/>
      <w:marLeft w:val="0"/>
      <w:marRight w:val="0"/>
      <w:marTop w:val="0"/>
      <w:marBottom w:val="0"/>
      <w:divBdr>
        <w:top w:val="none" w:sz="0" w:space="0" w:color="auto"/>
        <w:left w:val="none" w:sz="0" w:space="0" w:color="auto"/>
        <w:bottom w:val="none" w:sz="0" w:space="0" w:color="auto"/>
        <w:right w:val="none" w:sz="0" w:space="0" w:color="auto"/>
      </w:divBdr>
    </w:div>
    <w:div w:id="969625527">
      <w:bodyDiv w:val="1"/>
      <w:marLeft w:val="0"/>
      <w:marRight w:val="0"/>
      <w:marTop w:val="0"/>
      <w:marBottom w:val="0"/>
      <w:divBdr>
        <w:top w:val="none" w:sz="0" w:space="0" w:color="auto"/>
        <w:left w:val="none" w:sz="0" w:space="0" w:color="auto"/>
        <w:bottom w:val="none" w:sz="0" w:space="0" w:color="auto"/>
        <w:right w:val="none" w:sz="0" w:space="0" w:color="auto"/>
      </w:divBdr>
    </w:div>
    <w:div w:id="972755130">
      <w:bodyDiv w:val="1"/>
      <w:marLeft w:val="0"/>
      <w:marRight w:val="0"/>
      <w:marTop w:val="0"/>
      <w:marBottom w:val="0"/>
      <w:divBdr>
        <w:top w:val="none" w:sz="0" w:space="0" w:color="auto"/>
        <w:left w:val="none" w:sz="0" w:space="0" w:color="auto"/>
        <w:bottom w:val="none" w:sz="0" w:space="0" w:color="auto"/>
        <w:right w:val="none" w:sz="0" w:space="0" w:color="auto"/>
      </w:divBdr>
    </w:div>
    <w:div w:id="973296413">
      <w:bodyDiv w:val="1"/>
      <w:marLeft w:val="0"/>
      <w:marRight w:val="0"/>
      <w:marTop w:val="0"/>
      <w:marBottom w:val="0"/>
      <w:divBdr>
        <w:top w:val="none" w:sz="0" w:space="0" w:color="auto"/>
        <w:left w:val="none" w:sz="0" w:space="0" w:color="auto"/>
        <w:bottom w:val="none" w:sz="0" w:space="0" w:color="auto"/>
        <w:right w:val="none" w:sz="0" w:space="0" w:color="auto"/>
      </w:divBdr>
    </w:div>
    <w:div w:id="973485491">
      <w:bodyDiv w:val="1"/>
      <w:marLeft w:val="0"/>
      <w:marRight w:val="0"/>
      <w:marTop w:val="0"/>
      <w:marBottom w:val="0"/>
      <w:divBdr>
        <w:top w:val="none" w:sz="0" w:space="0" w:color="auto"/>
        <w:left w:val="none" w:sz="0" w:space="0" w:color="auto"/>
        <w:bottom w:val="none" w:sz="0" w:space="0" w:color="auto"/>
        <w:right w:val="none" w:sz="0" w:space="0" w:color="auto"/>
      </w:divBdr>
    </w:div>
    <w:div w:id="975640691">
      <w:bodyDiv w:val="1"/>
      <w:marLeft w:val="0"/>
      <w:marRight w:val="0"/>
      <w:marTop w:val="0"/>
      <w:marBottom w:val="0"/>
      <w:divBdr>
        <w:top w:val="none" w:sz="0" w:space="0" w:color="auto"/>
        <w:left w:val="none" w:sz="0" w:space="0" w:color="auto"/>
        <w:bottom w:val="none" w:sz="0" w:space="0" w:color="auto"/>
        <w:right w:val="none" w:sz="0" w:space="0" w:color="auto"/>
      </w:divBdr>
    </w:div>
    <w:div w:id="976302718">
      <w:bodyDiv w:val="1"/>
      <w:marLeft w:val="0"/>
      <w:marRight w:val="0"/>
      <w:marTop w:val="0"/>
      <w:marBottom w:val="0"/>
      <w:divBdr>
        <w:top w:val="none" w:sz="0" w:space="0" w:color="auto"/>
        <w:left w:val="none" w:sz="0" w:space="0" w:color="auto"/>
        <w:bottom w:val="none" w:sz="0" w:space="0" w:color="auto"/>
        <w:right w:val="none" w:sz="0" w:space="0" w:color="auto"/>
      </w:divBdr>
    </w:div>
    <w:div w:id="979186994">
      <w:bodyDiv w:val="1"/>
      <w:marLeft w:val="0"/>
      <w:marRight w:val="0"/>
      <w:marTop w:val="0"/>
      <w:marBottom w:val="0"/>
      <w:divBdr>
        <w:top w:val="none" w:sz="0" w:space="0" w:color="auto"/>
        <w:left w:val="none" w:sz="0" w:space="0" w:color="auto"/>
        <w:bottom w:val="none" w:sz="0" w:space="0" w:color="auto"/>
        <w:right w:val="none" w:sz="0" w:space="0" w:color="auto"/>
      </w:divBdr>
    </w:div>
    <w:div w:id="982853987">
      <w:bodyDiv w:val="1"/>
      <w:marLeft w:val="0"/>
      <w:marRight w:val="0"/>
      <w:marTop w:val="0"/>
      <w:marBottom w:val="0"/>
      <w:divBdr>
        <w:top w:val="none" w:sz="0" w:space="0" w:color="auto"/>
        <w:left w:val="none" w:sz="0" w:space="0" w:color="auto"/>
        <w:bottom w:val="none" w:sz="0" w:space="0" w:color="auto"/>
        <w:right w:val="none" w:sz="0" w:space="0" w:color="auto"/>
      </w:divBdr>
    </w:div>
    <w:div w:id="990786838">
      <w:bodyDiv w:val="1"/>
      <w:marLeft w:val="0"/>
      <w:marRight w:val="0"/>
      <w:marTop w:val="0"/>
      <w:marBottom w:val="0"/>
      <w:divBdr>
        <w:top w:val="none" w:sz="0" w:space="0" w:color="auto"/>
        <w:left w:val="none" w:sz="0" w:space="0" w:color="auto"/>
        <w:bottom w:val="none" w:sz="0" w:space="0" w:color="auto"/>
        <w:right w:val="none" w:sz="0" w:space="0" w:color="auto"/>
      </w:divBdr>
    </w:div>
    <w:div w:id="991375586">
      <w:bodyDiv w:val="1"/>
      <w:marLeft w:val="0"/>
      <w:marRight w:val="0"/>
      <w:marTop w:val="0"/>
      <w:marBottom w:val="0"/>
      <w:divBdr>
        <w:top w:val="none" w:sz="0" w:space="0" w:color="auto"/>
        <w:left w:val="none" w:sz="0" w:space="0" w:color="auto"/>
        <w:bottom w:val="none" w:sz="0" w:space="0" w:color="auto"/>
        <w:right w:val="none" w:sz="0" w:space="0" w:color="auto"/>
      </w:divBdr>
    </w:div>
    <w:div w:id="999113208">
      <w:bodyDiv w:val="1"/>
      <w:marLeft w:val="0"/>
      <w:marRight w:val="0"/>
      <w:marTop w:val="0"/>
      <w:marBottom w:val="0"/>
      <w:divBdr>
        <w:top w:val="none" w:sz="0" w:space="0" w:color="auto"/>
        <w:left w:val="none" w:sz="0" w:space="0" w:color="auto"/>
        <w:bottom w:val="none" w:sz="0" w:space="0" w:color="auto"/>
        <w:right w:val="none" w:sz="0" w:space="0" w:color="auto"/>
      </w:divBdr>
    </w:div>
    <w:div w:id="1008172630">
      <w:bodyDiv w:val="1"/>
      <w:marLeft w:val="0"/>
      <w:marRight w:val="0"/>
      <w:marTop w:val="0"/>
      <w:marBottom w:val="0"/>
      <w:divBdr>
        <w:top w:val="none" w:sz="0" w:space="0" w:color="auto"/>
        <w:left w:val="none" w:sz="0" w:space="0" w:color="auto"/>
        <w:bottom w:val="none" w:sz="0" w:space="0" w:color="auto"/>
        <w:right w:val="none" w:sz="0" w:space="0" w:color="auto"/>
      </w:divBdr>
    </w:div>
    <w:div w:id="1011689684">
      <w:bodyDiv w:val="1"/>
      <w:marLeft w:val="0"/>
      <w:marRight w:val="0"/>
      <w:marTop w:val="0"/>
      <w:marBottom w:val="0"/>
      <w:divBdr>
        <w:top w:val="none" w:sz="0" w:space="0" w:color="auto"/>
        <w:left w:val="none" w:sz="0" w:space="0" w:color="auto"/>
        <w:bottom w:val="none" w:sz="0" w:space="0" w:color="auto"/>
        <w:right w:val="none" w:sz="0" w:space="0" w:color="auto"/>
      </w:divBdr>
    </w:div>
    <w:div w:id="1027606587">
      <w:bodyDiv w:val="1"/>
      <w:marLeft w:val="0"/>
      <w:marRight w:val="0"/>
      <w:marTop w:val="0"/>
      <w:marBottom w:val="0"/>
      <w:divBdr>
        <w:top w:val="none" w:sz="0" w:space="0" w:color="auto"/>
        <w:left w:val="none" w:sz="0" w:space="0" w:color="auto"/>
        <w:bottom w:val="none" w:sz="0" w:space="0" w:color="auto"/>
        <w:right w:val="none" w:sz="0" w:space="0" w:color="auto"/>
      </w:divBdr>
    </w:div>
    <w:div w:id="1034187897">
      <w:bodyDiv w:val="1"/>
      <w:marLeft w:val="0"/>
      <w:marRight w:val="0"/>
      <w:marTop w:val="0"/>
      <w:marBottom w:val="0"/>
      <w:divBdr>
        <w:top w:val="none" w:sz="0" w:space="0" w:color="auto"/>
        <w:left w:val="none" w:sz="0" w:space="0" w:color="auto"/>
        <w:bottom w:val="none" w:sz="0" w:space="0" w:color="auto"/>
        <w:right w:val="none" w:sz="0" w:space="0" w:color="auto"/>
      </w:divBdr>
    </w:div>
    <w:div w:id="1035155078">
      <w:bodyDiv w:val="1"/>
      <w:marLeft w:val="0"/>
      <w:marRight w:val="0"/>
      <w:marTop w:val="0"/>
      <w:marBottom w:val="0"/>
      <w:divBdr>
        <w:top w:val="none" w:sz="0" w:space="0" w:color="auto"/>
        <w:left w:val="none" w:sz="0" w:space="0" w:color="auto"/>
        <w:bottom w:val="none" w:sz="0" w:space="0" w:color="auto"/>
        <w:right w:val="none" w:sz="0" w:space="0" w:color="auto"/>
      </w:divBdr>
    </w:div>
    <w:div w:id="1040205420">
      <w:bodyDiv w:val="1"/>
      <w:marLeft w:val="0"/>
      <w:marRight w:val="0"/>
      <w:marTop w:val="0"/>
      <w:marBottom w:val="0"/>
      <w:divBdr>
        <w:top w:val="none" w:sz="0" w:space="0" w:color="auto"/>
        <w:left w:val="none" w:sz="0" w:space="0" w:color="auto"/>
        <w:bottom w:val="none" w:sz="0" w:space="0" w:color="auto"/>
        <w:right w:val="none" w:sz="0" w:space="0" w:color="auto"/>
      </w:divBdr>
    </w:div>
    <w:div w:id="1040320819">
      <w:bodyDiv w:val="1"/>
      <w:marLeft w:val="0"/>
      <w:marRight w:val="0"/>
      <w:marTop w:val="0"/>
      <w:marBottom w:val="0"/>
      <w:divBdr>
        <w:top w:val="none" w:sz="0" w:space="0" w:color="auto"/>
        <w:left w:val="none" w:sz="0" w:space="0" w:color="auto"/>
        <w:bottom w:val="none" w:sz="0" w:space="0" w:color="auto"/>
        <w:right w:val="none" w:sz="0" w:space="0" w:color="auto"/>
      </w:divBdr>
    </w:div>
    <w:div w:id="1057122366">
      <w:bodyDiv w:val="1"/>
      <w:marLeft w:val="0"/>
      <w:marRight w:val="0"/>
      <w:marTop w:val="0"/>
      <w:marBottom w:val="0"/>
      <w:divBdr>
        <w:top w:val="none" w:sz="0" w:space="0" w:color="auto"/>
        <w:left w:val="none" w:sz="0" w:space="0" w:color="auto"/>
        <w:bottom w:val="none" w:sz="0" w:space="0" w:color="auto"/>
        <w:right w:val="none" w:sz="0" w:space="0" w:color="auto"/>
      </w:divBdr>
    </w:div>
    <w:div w:id="1058822164">
      <w:bodyDiv w:val="1"/>
      <w:marLeft w:val="0"/>
      <w:marRight w:val="0"/>
      <w:marTop w:val="0"/>
      <w:marBottom w:val="0"/>
      <w:divBdr>
        <w:top w:val="none" w:sz="0" w:space="0" w:color="auto"/>
        <w:left w:val="none" w:sz="0" w:space="0" w:color="auto"/>
        <w:bottom w:val="none" w:sz="0" w:space="0" w:color="auto"/>
        <w:right w:val="none" w:sz="0" w:space="0" w:color="auto"/>
      </w:divBdr>
    </w:div>
    <w:div w:id="1065303289">
      <w:bodyDiv w:val="1"/>
      <w:marLeft w:val="0"/>
      <w:marRight w:val="0"/>
      <w:marTop w:val="0"/>
      <w:marBottom w:val="0"/>
      <w:divBdr>
        <w:top w:val="none" w:sz="0" w:space="0" w:color="auto"/>
        <w:left w:val="none" w:sz="0" w:space="0" w:color="auto"/>
        <w:bottom w:val="none" w:sz="0" w:space="0" w:color="auto"/>
        <w:right w:val="none" w:sz="0" w:space="0" w:color="auto"/>
      </w:divBdr>
    </w:div>
    <w:div w:id="1065376523">
      <w:bodyDiv w:val="1"/>
      <w:marLeft w:val="0"/>
      <w:marRight w:val="0"/>
      <w:marTop w:val="0"/>
      <w:marBottom w:val="0"/>
      <w:divBdr>
        <w:top w:val="none" w:sz="0" w:space="0" w:color="auto"/>
        <w:left w:val="none" w:sz="0" w:space="0" w:color="auto"/>
        <w:bottom w:val="none" w:sz="0" w:space="0" w:color="auto"/>
        <w:right w:val="none" w:sz="0" w:space="0" w:color="auto"/>
      </w:divBdr>
    </w:div>
    <w:div w:id="1065949648">
      <w:bodyDiv w:val="1"/>
      <w:marLeft w:val="0"/>
      <w:marRight w:val="0"/>
      <w:marTop w:val="0"/>
      <w:marBottom w:val="0"/>
      <w:divBdr>
        <w:top w:val="none" w:sz="0" w:space="0" w:color="auto"/>
        <w:left w:val="none" w:sz="0" w:space="0" w:color="auto"/>
        <w:bottom w:val="none" w:sz="0" w:space="0" w:color="auto"/>
        <w:right w:val="none" w:sz="0" w:space="0" w:color="auto"/>
      </w:divBdr>
    </w:div>
    <w:div w:id="1080712996">
      <w:bodyDiv w:val="1"/>
      <w:marLeft w:val="0"/>
      <w:marRight w:val="0"/>
      <w:marTop w:val="0"/>
      <w:marBottom w:val="0"/>
      <w:divBdr>
        <w:top w:val="none" w:sz="0" w:space="0" w:color="auto"/>
        <w:left w:val="none" w:sz="0" w:space="0" w:color="auto"/>
        <w:bottom w:val="none" w:sz="0" w:space="0" w:color="auto"/>
        <w:right w:val="none" w:sz="0" w:space="0" w:color="auto"/>
      </w:divBdr>
    </w:div>
    <w:div w:id="1084642678">
      <w:bodyDiv w:val="1"/>
      <w:marLeft w:val="0"/>
      <w:marRight w:val="0"/>
      <w:marTop w:val="0"/>
      <w:marBottom w:val="0"/>
      <w:divBdr>
        <w:top w:val="none" w:sz="0" w:space="0" w:color="auto"/>
        <w:left w:val="none" w:sz="0" w:space="0" w:color="auto"/>
        <w:bottom w:val="none" w:sz="0" w:space="0" w:color="auto"/>
        <w:right w:val="none" w:sz="0" w:space="0" w:color="auto"/>
      </w:divBdr>
    </w:div>
    <w:div w:id="1085146690">
      <w:bodyDiv w:val="1"/>
      <w:marLeft w:val="0"/>
      <w:marRight w:val="0"/>
      <w:marTop w:val="0"/>
      <w:marBottom w:val="0"/>
      <w:divBdr>
        <w:top w:val="none" w:sz="0" w:space="0" w:color="auto"/>
        <w:left w:val="none" w:sz="0" w:space="0" w:color="auto"/>
        <w:bottom w:val="none" w:sz="0" w:space="0" w:color="auto"/>
        <w:right w:val="none" w:sz="0" w:space="0" w:color="auto"/>
      </w:divBdr>
    </w:div>
    <w:div w:id="1086922689">
      <w:bodyDiv w:val="1"/>
      <w:marLeft w:val="0"/>
      <w:marRight w:val="0"/>
      <w:marTop w:val="0"/>
      <w:marBottom w:val="0"/>
      <w:divBdr>
        <w:top w:val="none" w:sz="0" w:space="0" w:color="auto"/>
        <w:left w:val="none" w:sz="0" w:space="0" w:color="auto"/>
        <w:bottom w:val="none" w:sz="0" w:space="0" w:color="auto"/>
        <w:right w:val="none" w:sz="0" w:space="0" w:color="auto"/>
      </w:divBdr>
    </w:div>
    <w:div w:id="1087767153">
      <w:bodyDiv w:val="1"/>
      <w:marLeft w:val="0"/>
      <w:marRight w:val="0"/>
      <w:marTop w:val="0"/>
      <w:marBottom w:val="0"/>
      <w:divBdr>
        <w:top w:val="none" w:sz="0" w:space="0" w:color="auto"/>
        <w:left w:val="none" w:sz="0" w:space="0" w:color="auto"/>
        <w:bottom w:val="none" w:sz="0" w:space="0" w:color="auto"/>
        <w:right w:val="none" w:sz="0" w:space="0" w:color="auto"/>
      </w:divBdr>
    </w:div>
    <w:div w:id="1103497646">
      <w:bodyDiv w:val="1"/>
      <w:marLeft w:val="0"/>
      <w:marRight w:val="0"/>
      <w:marTop w:val="0"/>
      <w:marBottom w:val="0"/>
      <w:divBdr>
        <w:top w:val="none" w:sz="0" w:space="0" w:color="auto"/>
        <w:left w:val="none" w:sz="0" w:space="0" w:color="auto"/>
        <w:bottom w:val="none" w:sz="0" w:space="0" w:color="auto"/>
        <w:right w:val="none" w:sz="0" w:space="0" w:color="auto"/>
      </w:divBdr>
    </w:div>
    <w:div w:id="1104306159">
      <w:bodyDiv w:val="1"/>
      <w:marLeft w:val="0"/>
      <w:marRight w:val="0"/>
      <w:marTop w:val="0"/>
      <w:marBottom w:val="0"/>
      <w:divBdr>
        <w:top w:val="none" w:sz="0" w:space="0" w:color="auto"/>
        <w:left w:val="none" w:sz="0" w:space="0" w:color="auto"/>
        <w:bottom w:val="none" w:sz="0" w:space="0" w:color="auto"/>
        <w:right w:val="none" w:sz="0" w:space="0" w:color="auto"/>
      </w:divBdr>
    </w:div>
    <w:div w:id="1106652886">
      <w:bodyDiv w:val="1"/>
      <w:marLeft w:val="0"/>
      <w:marRight w:val="0"/>
      <w:marTop w:val="0"/>
      <w:marBottom w:val="0"/>
      <w:divBdr>
        <w:top w:val="none" w:sz="0" w:space="0" w:color="auto"/>
        <w:left w:val="none" w:sz="0" w:space="0" w:color="auto"/>
        <w:bottom w:val="none" w:sz="0" w:space="0" w:color="auto"/>
        <w:right w:val="none" w:sz="0" w:space="0" w:color="auto"/>
      </w:divBdr>
    </w:div>
    <w:div w:id="1126771813">
      <w:bodyDiv w:val="1"/>
      <w:marLeft w:val="0"/>
      <w:marRight w:val="0"/>
      <w:marTop w:val="0"/>
      <w:marBottom w:val="0"/>
      <w:divBdr>
        <w:top w:val="none" w:sz="0" w:space="0" w:color="auto"/>
        <w:left w:val="none" w:sz="0" w:space="0" w:color="auto"/>
        <w:bottom w:val="none" w:sz="0" w:space="0" w:color="auto"/>
        <w:right w:val="none" w:sz="0" w:space="0" w:color="auto"/>
      </w:divBdr>
    </w:div>
    <w:div w:id="1139567653">
      <w:bodyDiv w:val="1"/>
      <w:marLeft w:val="0"/>
      <w:marRight w:val="0"/>
      <w:marTop w:val="0"/>
      <w:marBottom w:val="0"/>
      <w:divBdr>
        <w:top w:val="none" w:sz="0" w:space="0" w:color="auto"/>
        <w:left w:val="none" w:sz="0" w:space="0" w:color="auto"/>
        <w:bottom w:val="none" w:sz="0" w:space="0" w:color="auto"/>
        <w:right w:val="none" w:sz="0" w:space="0" w:color="auto"/>
      </w:divBdr>
    </w:div>
    <w:div w:id="1140146357">
      <w:bodyDiv w:val="1"/>
      <w:marLeft w:val="0"/>
      <w:marRight w:val="0"/>
      <w:marTop w:val="0"/>
      <w:marBottom w:val="0"/>
      <w:divBdr>
        <w:top w:val="none" w:sz="0" w:space="0" w:color="auto"/>
        <w:left w:val="none" w:sz="0" w:space="0" w:color="auto"/>
        <w:bottom w:val="none" w:sz="0" w:space="0" w:color="auto"/>
        <w:right w:val="none" w:sz="0" w:space="0" w:color="auto"/>
      </w:divBdr>
    </w:div>
    <w:div w:id="1140541287">
      <w:bodyDiv w:val="1"/>
      <w:marLeft w:val="0"/>
      <w:marRight w:val="0"/>
      <w:marTop w:val="0"/>
      <w:marBottom w:val="0"/>
      <w:divBdr>
        <w:top w:val="none" w:sz="0" w:space="0" w:color="auto"/>
        <w:left w:val="none" w:sz="0" w:space="0" w:color="auto"/>
        <w:bottom w:val="none" w:sz="0" w:space="0" w:color="auto"/>
        <w:right w:val="none" w:sz="0" w:space="0" w:color="auto"/>
      </w:divBdr>
    </w:div>
    <w:div w:id="1141579646">
      <w:bodyDiv w:val="1"/>
      <w:marLeft w:val="0"/>
      <w:marRight w:val="0"/>
      <w:marTop w:val="0"/>
      <w:marBottom w:val="0"/>
      <w:divBdr>
        <w:top w:val="none" w:sz="0" w:space="0" w:color="auto"/>
        <w:left w:val="none" w:sz="0" w:space="0" w:color="auto"/>
        <w:bottom w:val="none" w:sz="0" w:space="0" w:color="auto"/>
        <w:right w:val="none" w:sz="0" w:space="0" w:color="auto"/>
      </w:divBdr>
    </w:div>
    <w:div w:id="1149783452">
      <w:bodyDiv w:val="1"/>
      <w:marLeft w:val="0"/>
      <w:marRight w:val="0"/>
      <w:marTop w:val="0"/>
      <w:marBottom w:val="0"/>
      <w:divBdr>
        <w:top w:val="none" w:sz="0" w:space="0" w:color="auto"/>
        <w:left w:val="none" w:sz="0" w:space="0" w:color="auto"/>
        <w:bottom w:val="none" w:sz="0" w:space="0" w:color="auto"/>
        <w:right w:val="none" w:sz="0" w:space="0" w:color="auto"/>
      </w:divBdr>
    </w:div>
    <w:div w:id="1151630775">
      <w:bodyDiv w:val="1"/>
      <w:marLeft w:val="0"/>
      <w:marRight w:val="0"/>
      <w:marTop w:val="0"/>
      <w:marBottom w:val="0"/>
      <w:divBdr>
        <w:top w:val="none" w:sz="0" w:space="0" w:color="auto"/>
        <w:left w:val="none" w:sz="0" w:space="0" w:color="auto"/>
        <w:bottom w:val="none" w:sz="0" w:space="0" w:color="auto"/>
        <w:right w:val="none" w:sz="0" w:space="0" w:color="auto"/>
      </w:divBdr>
    </w:div>
    <w:div w:id="1163661350">
      <w:bodyDiv w:val="1"/>
      <w:marLeft w:val="0"/>
      <w:marRight w:val="0"/>
      <w:marTop w:val="0"/>
      <w:marBottom w:val="0"/>
      <w:divBdr>
        <w:top w:val="none" w:sz="0" w:space="0" w:color="auto"/>
        <w:left w:val="none" w:sz="0" w:space="0" w:color="auto"/>
        <w:bottom w:val="none" w:sz="0" w:space="0" w:color="auto"/>
        <w:right w:val="none" w:sz="0" w:space="0" w:color="auto"/>
      </w:divBdr>
    </w:div>
    <w:div w:id="1165393566">
      <w:bodyDiv w:val="1"/>
      <w:marLeft w:val="0"/>
      <w:marRight w:val="0"/>
      <w:marTop w:val="0"/>
      <w:marBottom w:val="0"/>
      <w:divBdr>
        <w:top w:val="none" w:sz="0" w:space="0" w:color="auto"/>
        <w:left w:val="none" w:sz="0" w:space="0" w:color="auto"/>
        <w:bottom w:val="none" w:sz="0" w:space="0" w:color="auto"/>
        <w:right w:val="none" w:sz="0" w:space="0" w:color="auto"/>
      </w:divBdr>
    </w:div>
    <w:div w:id="1165434986">
      <w:bodyDiv w:val="1"/>
      <w:marLeft w:val="0"/>
      <w:marRight w:val="0"/>
      <w:marTop w:val="0"/>
      <w:marBottom w:val="0"/>
      <w:divBdr>
        <w:top w:val="none" w:sz="0" w:space="0" w:color="auto"/>
        <w:left w:val="none" w:sz="0" w:space="0" w:color="auto"/>
        <w:bottom w:val="none" w:sz="0" w:space="0" w:color="auto"/>
        <w:right w:val="none" w:sz="0" w:space="0" w:color="auto"/>
      </w:divBdr>
    </w:div>
    <w:div w:id="1168449335">
      <w:bodyDiv w:val="1"/>
      <w:marLeft w:val="0"/>
      <w:marRight w:val="0"/>
      <w:marTop w:val="0"/>
      <w:marBottom w:val="0"/>
      <w:divBdr>
        <w:top w:val="none" w:sz="0" w:space="0" w:color="auto"/>
        <w:left w:val="none" w:sz="0" w:space="0" w:color="auto"/>
        <w:bottom w:val="none" w:sz="0" w:space="0" w:color="auto"/>
        <w:right w:val="none" w:sz="0" w:space="0" w:color="auto"/>
      </w:divBdr>
    </w:div>
    <w:div w:id="1184366657">
      <w:bodyDiv w:val="1"/>
      <w:marLeft w:val="0"/>
      <w:marRight w:val="0"/>
      <w:marTop w:val="0"/>
      <w:marBottom w:val="0"/>
      <w:divBdr>
        <w:top w:val="none" w:sz="0" w:space="0" w:color="auto"/>
        <w:left w:val="none" w:sz="0" w:space="0" w:color="auto"/>
        <w:bottom w:val="none" w:sz="0" w:space="0" w:color="auto"/>
        <w:right w:val="none" w:sz="0" w:space="0" w:color="auto"/>
      </w:divBdr>
    </w:div>
    <w:div w:id="1202935358">
      <w:bodyDiv w:val="1"/>
      <w:marLeft w:val="0"/>
      <w:marRight w:val="0"/>
      <w:marTop w:val="0"/>
      <w:marBottom w:val="0"/>
      <w:divBdr>
        <w:top w:val="none" w:sz="0" w:space="0" w:color="auto"/>
        <w:left w:val="none" w:sz="0" w:space="0" w:color="auto"/>
        <w:bottom w:val="none" w:sz="0" w:space="0" w:color="auto"/>
        <w:right w:val="none" w:sz="0" w:space="0" w:color="auto"/>
      </w:divBdr>
    </w:div>
    <w:div w:id="1204293419">
      <w:bodyDiv w:val="1"/>
      <w:marLeft w:val="0"/>
      <w:marRight w:val="0"/>
      <w:marTop w:val="0"/>
      <w:marBottom w:val="0"/>
      <w:divBdr>
        <w:top w:val="none" w:sz="0" w:space="0" w:color="auto"/>
        <w:left w:val="none" w:sz="0" w:space="0" w:color="auto"/>
        <w:bottom w:val="none" w:sz="0" w:space="0" w:color="auto"/>
        <w:right w:val="none" w:sz="0" w:space="0" w:color="auto"/>
      </w:divBdr>
    </w:div>
    <w:div w:id="1210416268">
      <w:bodyDiv w:val="1"/>
      <w:marLeft w:val="0"/>
      <w:marRight w:val="0"/>
      <w:marTop w:val="0"/>
      <w:marBottom w:val="0"/>
      <w:divBdr>
        <w:top w:val="none" w:sz="0" w:space="0" w:color="auto"/>
        <w:left w:val="none" w:sz="0" w:space="0" w:color="auto"/>
        <w:bottom w:val="none" w:sz="0" w:space="0" w:color="auto"/>
        <w:right w:val="none" w:sz="0" w:space="0" w:color="auto"/>
      </w:divBdr>
    </w:div>
    <w:div w:id="1221287059">
      <w:bodyDiv w:val="1"/>
      <w:marLeft w:val="0"/>
      <w:marRight w:val="0"/>
      <w:marTop w:val="0"/>
      <w:marBottom w:val="0"/>
      <w:divBdr>
        <w:top w:val="none" w:sz="0" w:space="0" w:color="auto"/>
        <w:left w:val="none" w:sz="0" w:space="0" w:color="auto"/>
        <w:bottom w:val="none" w:sz="0" w:space="0" w:color="auto"/>
        <w:right w:val="none" w:sz="0" w:space="0" w:color="auto"/>
      </w:divBdr>
    </w:div>
    <w:div w:id="1227183506">
      <w:bodyDiv w:val="1"/>
      <w:marLeft w:val="0"/>
      <w:marRight w:val="0"/>
      <w:marTop w:val="0"/>
      <w:marBottom w:val="0"/>
      <w:divBdr>
        <w:top w:val="none" w:sz="0" w:space="0" w:color="auto"/>
        <w:left w:val="none" w:sz="0" w:space="0" w:color="auto"/>
        <w:bottom w:val="none" w:sz="0" w:space="0" w:color="auto"/>
        <w:right w:val="none" w:sz="0" w:space="0" w:color="auto"/>
      </w:divBdr>
    </w:div>
    <w:div w:id="1233200026">
      <w:bodyDiv w:val="1"/>
      <w:marLeft w:val="0"/>
      <w:marRight w:val="0"/>
      <w:marTop w:val="0"/>
      <w:marBottom w:val="0"/>
      <w:divBdr>
        <w:top w:val="none" w:sz="0" w:space="0" w:color="auto"/>
        <w:left w:val="none" w:sz="0" w:space="0" w:color="auto"/>
        <w:bottom w:val="none" w:sz="0" w:space="0" w:color="auto"/>
        <w:right w:val="none" w:sz="0" w:space="0" w:color="auto"/>
      </w:divBdr>
    </w:div>
    <w:div w:id="1233924946">
      <w:bodyDiv w:val="1"/>
      <w:marLeft w:val="0"/>
      <w:marRight w:val="0"/>
      <w:marTop w:val="0"/>
      <w:marBottom w:val="0"/>
      <w:divBdr>
        <w:top w:val="none" w:sz="0" w:space="0" w:color="auto"/>
        <w:left w:val="none" w:sz="0" w:space="0" w:color="auto"/>
        <w:bottom w:val="none" w:sz="0" w:space="0" w:color="auto"/>
        <w:right w:val="none" w:sz="0" w:space="0" w:color="auto"/>
      </w:divBdr>
    </w:div>
    <w:div w:id="1235697651">
      <w:bodyDiv w:val="1"/>
      <w:marLeft w:val="0"/>
      <w:marRight w:val="0"/>
      <w:marTop w:val="0"/>
      <w:marBottom w:val="0"/>
      <w:divBdr>
        <w:top w:val="none" w:sz="0" w:space="0" w:color="auto"/>
        <w:left w:val="none" w:sz="0" w:space="0" w:color="auto"/>
        <w:bottom w:val="none" w:sz="0" w:space="0" w:color="auto"/>
        <w:right w:val="none" w:sz="0" w:space="0" w:color="auto"/>
      </w:divBdr>
    </w:div>
    <w:div w:id="1237931663">
      <w:bodyDiv w:val="1"/>
      <w:marLeft w:val="0"/>
      <w:marRight w:val="0"/>
      <w:marTop w:val="0"/>
      <w:marBottom w:val="0"/>
      <w:divBdr>
        <w:top w:val="none" w:sz="0" w:space="0" w:color="auto"/>
        <w:left w:val="none" w:sz="0" w:space="0" w:color="auto"/>
        <w:bottom w:val="none" w:sz="0" w:space="0" w:color="auto"/>
        <w:right w:val="none" w:sz="0" w:space="0" w:color="auto"/>
      </w:divBdr>
    </w:div>
    <w:div w:id="1242987504">
      <w:bodyDiv w:val="1"/>
      <w:marLeft w:val="0"/>
      <w:marRight w:val="0"/>
      <w:marTop w:val="0"/>
      <w:marBottom w:val="0"/>
      <w:divBdr>
        <w:top w:val="none" w:sz="0" w:space="0" w:color="auto"/>
        <w:left w:val="none" w:sz="0" w:space="0" w:color="auto"/>
        <w:bottom w:val="none" w:sz="0" w:space="0" w:color="auto"/>
        <w:right w:val="none" w:sz="0" w:space="0" w:color="auto"/>
      </w:divBdr>
    </w:div>
    <w:div w:id="1243105441">
      <w:bodyDiv w:val="1"/>
      <w:marLeft w:val="0"/>
      <w:marRight w:val="0"/>
      <w:marTop w:val="0"/>
      <w:marBottom w:val="0"/>
      <w:divBdr>
        <w:top w:val="none" w:sz="0" w:space="0" w:color="auto"/>
        <w:left w:val="none" w:sz="0" w:space="0" w:color="auto"/>
        <w:bottom w:val="none" w:sz="0" w:space="0" w:color="auto"/>
        <w:right w:val="none" w:sz="0" w:space="0" w:color="auto"/>
      </w:divBdr>
    </w:div>
    <w:div w:id="1247038556">
      <w:bodyDiv w:val="1"/>
      <w:marLeft w:val="0"/>
      <w:marRight w:val="0"/>
      <w:marTop w:val="0"/>
      <w:marBottom w:val="0"/>
      <w:divBdr>
        <w:top w:val="none" w:sz="0" w:space="0" w:color="auto"/>
        <w:left w:val="none" w:sz="0" w:space="0" w:color="auto"/>
        <w:bottom w:val="none" w:sz="0" w:space="0" w:color="auto"/>
        <w:right w:val="none" w:sz="0" w:space="0" w:color="auto"/>
      </w:divBdr>
    </w:div>
    <w:div w:id="1255550880">
      <w:bodyDiv w:val="1"/>
      <w:marLeft w:val="0"/>
      <w:marRight w:val="0"/>
      <w:marTop w:val="0"/>
      <w:marBottom w:val="0"/>
      <w:divBdr>
        <w:top w:val="none" w:sz="0" w:space="0" w:color="auto"/>
        <w:left w:val="none" w:sz="0" w:space="0" w:color="auto"/>
        <w:bottom w:val="none" w:sz="0" w:space="0" w:color="auto"/>
        <w:right w:val="none" w:sz="0" w:space="0" w:color="auto"/>
      </w:divBdr>
    </w:div>
    <w:div w:id="1263879499">
      <w:bodyDiv w:val="1"/>
      <w:marLeft w:val="0"/>
      <w:marRight w:val="0"/>
      <w:marTop w:val="0"/>
      <w:marBottom w:val="0"/>
      <w:divBdr>
        <w:top w:val="none" w:sz="0" w:space="0" w:color="auto"/>
        <w:left w:val="none" w:sz="0" w:space="0" w:color="auto"/>
        <w:bottom w:val="none" w:sz="0" w:space="0" w:color="auto"/>
        <w:right w:val="none" w:sz="0" w:space="0" w:color="auto"/>
      </w:divBdr>
    </w:div>
    <w:div w:id="1271468002">
      <w:bodyDiv w:val="1"/>
      <w:marLeft w:val="0"/>
      <w:marRight w:val="0"/>
      <w:marTop w:val="0"/>
      <w:marBottom w:val="0"/>
      <w:divBdr>
        <w:top w:val="none" w:sz="0" w:space="0" w:color="auto"/>
        <w:left w:val="none" w:sz="0" w:space="0" w:color="auto"/>
        <w:bottom w:val="none" w:sz="0" w:space="0" w:color="auto"/>
        <w:right w:val="none" w:sz="0" w:space="0" w:color="auto"/>
      </w:divBdr>
    </w:div>
    <w:div w:id="1277980325">
      <w:bodyDiv w:val="1"/>
      <w:marLeft w:val="0"/>
      <w:marRight w:val="0"/>
      <w:marTop w:val="0"/>
      <w:marBottom w:val="0"/>
      <w:divBdr>
        <w:top w:val="none" w:sz="0" w:space="0" w:color="auto"/>
        <w:left w:val="none" w:sz="0" w:space="0" w:color="auto"/>
        <w:bottom w:val="none" w:sz="0" w:space="0" w:color="auto"/>
        <w:right w:val="none" w:sz="0" w:space="0" w:color="auto"/>
      </w:divBdr>
    </w:div>
    <w:div w:id="1279334769">
      <w:bodyDiv w:val="1"/>
      <w:marLeft w:val="0"/>
      <w:marRight w:val="0"/>
      <w:marTop w:val="0"/>
      <w:marBottom w:val="0"/>
      <w:divBdr>
        <w:top w:val="none" w:sz="0" w:space="0" w:color="auto"/>
        <w:left w:val="none" w:sz="0" w:space="0" w:color="auto"/>
        <w:bottom w:val="none" w:sz="0" w:space="0" w:color="auto"/>
        <w:right w:val="none" w:sz="0" w:space="0" w:color="auto"/>
      </w:divBdr>
    </w:div>
    <w:div w:id="1287928290">
      <w:bodyDiv w:val="1"/>
      <w:marLeft w:val="0"/>
      <w:marRight w:val="0"/>
      <w:marTop w:val="0"/>
      <w:marBottom w:val="0"/>
      <w:divBdr>
        <w:top w:val="none" w:sz="0" w:space="0" w:color="auto"/>
        <w:left w:val="none" w:sz="0" w:space="0" w:color="auto"/>
        <w:bottom w:val="none" w:sz="0" w:space="0" w:color="auto"/>
        <w:right w:val="none" w:sz="0" w:space="0" w:color="auto"/>
      </w:divBdr>
    </w:div>
    <w:div w:id="1295868560">
      <w:bodyDiv w:val="1"/>
      <w:marLeft w:val="0"/>
      <w:marRight w:val="0"/>
      <w:marTop w:val="0"/>
      <w:marBottom w:val="0"/>
      <w:divBdr>
        <w:top w:val="none" w:sz="0" w:space="0" w:color="auto"/>
        <w:left w:val="none" w:sz="0" w:space="0" w:color="auto"/>
        <w:bottom w:val="none" w:sz="0" w:space="0" w:color="auto"/>
        <w:right w:val="none" w:sz="0" w:space="0" w:color="auto"/>
      </w:divBdr>
    </w:div>
    <w:div w:id="1298947535">
      <w:bodyDiv w:val="1"/>
      <w:marLeft w:val="0"/>
      <w:marRight w:val="0"/>
      <w:marTop w:val="0"/>
      <w:marBottom w:val="0"/>
      <w:divBdr>
        <w:top w:val="none" w:sz="0" w:space="0" w:color="auto"/>
        <w:left w:val="none" w:sz="0" w:space="0" w:color="auto"/>
        <w:bottom w:val="none" w:sz="0" w:space="0" w:color="auto"/>
        <w:right w:val="none" w:sz="0" w:space="0" w:color="auto"/>
      </w:divBdr>
    </w:div>
    <w:div w:id="1301154584">
      <w:bodyDiv w:val="1"/>
      <w:marLeft w:val="0"/>
      <w:marRight w:val="0"/>
      <w:marTop w:val="0"/>
      <w:marBottom w:val="0"/>
      <w:divBdr>
        <w:top w:val="none" w:sz="0" w:space="0" w:color="auto"/>
        <w:left w:val="none" w:sz="0" w:space="0" w:color="auto"/>
        <w:bottom w:val="none" w:sz="0" w:space="0" w:color="auto"/>
        <w:right w:val="none" w:sz="0" w:space="0" w:color="auto"/>
      </w:divBdr>
    </w:div>
    <w:div w:id="1303577865">
      <w:bodyDiv w:val="1"/>
      <w:marLeft w:val="0"/>
      <w:marRight w:val="0"/>
      <w:marTop w:val="0"/>
      <w:marBottom w:val="0"/>
      <w:divBdr>
        <w:top w:val="none" w:sz="0" w:space="0" w:color="auto"/>
        <w:left w:val="none" w:sz="0" w:space="0" w:color="auto"/>
        <w:bottom w:val="none" w:sz="0" w:space="0" w:color="auto"/>
        <w:right w:val="none" w:sz="0" w:space="0" w:color="auto"/>
      </w:divBdr>
    </w:div>
    <w:div w:id="1306204977">
      <w:bodyDiv w:val="1"/>
      <w:marLeft w:val="0"/>
      <w:marRight w:val="0"/>
      <w:marTop w:val="0"/>
      <w:marBottom w:val="0"/>
      <w:divBdr>
        <w:top w:val="none" w:sz="0" w:space="0" w:color="auto"/>
        <w:left w:val="none" w:sz="0" w:space="0" w:color="auto"/>
        <w:bottom w:val="none" w:sz="0" w:space="0" w:color="auto"/>
        <w:right w:val="none" w:sz="0" w:space="0" w:color="auto"/>
      </w:divBdr>
    </w:div>
    <w:div w:id="1321500161">
      <w:bodyDiv w:val="1"/>
      <w:marLeft w:val="0"/>
      <w:marRight w:val="0"/>
      <w:marTop w:val="0"/>
      <w:marBottom w:val="0"/>
      <w:divBdr>
        <w:top w:val="none" w:sz="0" w:space="0" w:color="auto"/>
        <w:left w:val="none" w:sz="0" w:space="0" w:color="auto"/>
        <w:bottom w:val="none" w:sz="0" w:space="0" w:color="auto"/>
        <w:right w:val="none" w:sz="0" w:space="0" w:color="auto"/>
      </w:divBdr>
    </w:div>
    <w:div w:id="1322196921">
      <w:bodyDiv w:val="1"/>
      <w:marLeft w:val="0"/>
      <w:marRight w:val="0"/>
      <w:marTop w:val="0"/>
      <w:marBottom w:val="0"/>
      <w:divBdr>
        <w:top w:val="none" w:sz="0" w:space="0" w:color="auto"/>
        <w:left w:val="none" w:sz="0" w:space="0" w:color="auto"/>
        <w:bottom w:val="none" w:sz="0" w:space="0" w:color="auto"/>
        <w:right w:val="none" w:sz="0" w:space="0" w:color="auto"/>
      </w:divBdr>
    </w:div>
    <w:div w:id="1322348946">
      <w:bodyDiv w:val="1"/>
      <w:marLeft w:val="0"/>
      <w:marRight w:val="0"/>
      <w:marTop w:val="0"/>
      <w:marBottom w:val="0"/>
      <w:divBdr>
        <w:top w:val="none" w:sz="0" w:space="0" w:color="auto"/>
        <w:left w:val="none" w:sz="0" w:space="0" w:color="auto"/>
        <w:bottom w:val="none" w:sz="0" w:space="0" w:color="auto"/>
        <w:right w:val="none" w:sz="0" w:space="0" w:color="auto"/>
      </w:divBdr>
    </w:div>
    <w:div w:id="1331254046">
      <w:bodyDiv w:val="1"/>
      <w:marLeft w:val="0"/>
      <w:marRight w:val="0"/>
      <w:marTop w:val="0"/>
      <w:marBottom w:val="0"/>
      <w:divBdr>
        <w:top w:val="none" w:sz="0" w:space="0" w:color="auto"/>
        <w:left w:val="none" w:sz="0" w:space="0" w:color="auto"/>
        <w:bottom w:val="none" w:sz="0" w:space="0" w:color="auto"/>
        <w:right w:val="none" w:sz="0" w:space="0" w:color="auto"/>
      </w:divBdr>
    </w:div>
    <w:div w:id="1345018303">
      <w:bodyDiv w:val="1"/>
      <w:marLeft w:val="0"/>
      <w:marRight w:val="0"/>
      <w:marTop w:val="0"/>
      <w:marBottom w:val="0"/>
      <w:divBdr>
        <w:top w:val="none" w:sz="0" w:space="0" w:color="auto"/>
        <w:left w:val="none" w:sz="0" w:space="0" w:color="auto"/>
        <w:bottom w:val="none" w:sz="0" w:space="0" w:color="auto"/>
        <w:right w:val="none" w:sz="0" w:space="0" w:color="auto"/>
      </w:divBdr>
    </w:div>
    <w:div w:id="1358652270">
      <w:bodyDiv w:val="1"/>
      <w:marLeft w:val="0"/>
      <w:marRight w:val="0"/>
      <w:marTop w:val="0"/>
      <w:marBottom w:val="0"/>
      <w:divBdr>
        <w:top w:val="none" w:sz="0" w:space="0" w:color="auto"/>
        <w:left w:val="none" w:sz="0" w:space="0" w:color="auto"/>
        <w:bottom w:val="none" w:sz="0" w:space="0" w:color="auto"/>
        <w:right w:val="none" w:sz="0" w:space="0" w:color="auto"/>
      </w:divBdr>
    </w:div>
    <w:div w:id="1360080857">
      <w:bodyDiv w:val="1"/>
      <w:marLeft w:val="0"/>
      <w:marRight w:val="0"/>
      <w:marTop w:val="0"/>
      <w:marBottom w:val="0"/>
      <w:divBdr>
        <w:top w:val="none" w:sz="0" w:space="0" w:color="auto"/>
        <w:left w:val="none" w:sz="0" w:space="0" w:color="auto"/>
        <w:bottom w:val="none" w:sz="0" w:space="0" w:color="auto"/>
        <w:right w:val="none" w:sz="0" w:space="0" w:color="auto"/>
      </w:divBdr>
    </w:div>
    <w:div w:id="1361784767">
      <w:bodyDiv w:val="1"/>
      <w:marLeft w:val="0"/>
      <w:marRight w:val="0"/>
      <w:marTop w:val="0"/>
      <w:marBottom w:val="0"/>
      <w:divBdr>
        <w:top w:val="none" w:sz="0" w:space="0" w:color="auto"/>
        <w:left w:val="none" w:sz="0" w:space="0" w:color="auto"/>
        <w:bottom w:val="none" w:sz="0" w:space="0" w:color="auto"/>
        <w:right w:val="none" w:sz="0" w:space="0" w:color="auto"/>
      </w:divBdr>
    </w:div>
    <w:div w:id="1363361823">
      <w:bodyDiv w:val="1"/>
      <w:marLeft w:val="0"/>
      <w:marRight w:val="0"/>
      <w:marTop w:val="0"/>
      <w:marBottom w:val="0"/>
      <w:divBdr>
        <w:top w:val="none" w:sz="0" w:space="0" w:color="auto"/>
        <w:left w:val="none" w:sz="0" w:space="0" w:color="auto"/>
        <w:bottom w:val="none" w:sz="0" w:space="0" w:color="auto"/>
        <w:right w:val="none" w:sz="0" w:space="0" w:color="auto"/>
      </w:divBdr>
    </w:div>
    <w:div w:id="1365643156">
      <w:bodyDiv w:val="1"/>
      <w:marLeft w:val="0"/>
      <w:marRight w:val="0"/>
      <w:marTop w:val="0"/>
      <w:marBottom w:val="0"/>
      <w:divBdr>
        <w:top w:val="none" w:sz="0" w:space="0" w:color="auto"/>
        <w:left w:val="none" w:sz="0" w:space="0" w:color="auto"/>
        <w:bottom w:val="none" w:sz="0" w:space="0" w:color="auto"/>
        <w:right w:val="none" w:sz="0" w:space="0" w:color="auto"/>
      </w:divBdr>
    </w:div>
    <w:div w:id="1369721223">
      <w:bodyDiv w:val="1"/>
      <w:marLeft w:val="0"/>
      <w:marRight w:val="0"/>
      <w:marTop w:val="0"/>
      <w:marBottom w:val="0"/>
      <w:divBdr>
        <w:top w:val="none" w:sz="0" w:space="0" w:color="auto"/>
        <w:left w:val="none" w:sz="0" w:space="0" w:color="auto"/>
        <w:bottom w:val="none" w:sz="0" w:space="0" w:color="auto"/>
        <w:right w:val="none" w:sz="0" w:space="0" w:color="auto"/>
      </w:divBdr>
    </w:div>
    <w:div w:id="1373455880">
      <w:bodyDiv w:val="1"/>
      <w:marLeft w:val="0"/>
      <w:marRight w:val="0"/>
      <w:marTop w:val="0"/>
      <w:marBottom w:val="0"/>
      <w:divBdr>
        <w:top w:val="none" w:sz="0" w:space="0" w:color="auto"/>
        <w:left w:val="none" w:sz="0" w:space="0" w:color="auto"/>
        <w:bottom w:val="none" w:sz="0" w:space="0" w:color="auto"/>
        <w:right w:val="none" w:sz="0" w:space="0" w:color="auto"/>
      </w:divBdr>
    </w:div>
    <w:div w:id="1373848034">
      <w:bodyDiv w:val="1"/>
      <w:marLeft w:val="0"/>
      <w:marRight w:val="0"/>
      <w:marTop w:val="0"/>
      <w:marBottom w:val="0"/>
      <w:divBdr>
        <w:top w:val="none" w:sz="0" w:space="0" w:color="auto"/>
        <w:left w:val="none" w:sz="0" w:space="0" w:color="auto"/>
        <w:bottom w:val="none" w:sz="0" w:space="0" w:color="auto"/>
        <w:right w:val="none" w:sz="0" w:space="0" w:color="auto"/>
      </w:divBdr>
    </w:div>
    <w:div w:id="1379164022">
      <w:bodyDiv w:val="1"/>
      <w:marLeft w:val="0"/>
      <w:marRight w:val="0"/>
      <w:marTop w:val="0"/>
      <w:marBottom w:val="0"/>
      <w:divBdr>
        <w:top w:val="none" w:sz="0" w:space="0" w:color="auto"/>
        <w:left w:val="none" w:sz="0" w:space="0" w:color="auto"/>
        <w:bottom w:val="none" w:sz="0" w:space="0" w:color="auto"/>
        <w:right w:val="none" w:sz="0" w:space="0" w:color="auto"/>
      </w:divBdr>
    </w:div>
    <w:div w:id="1382972389">
      <w:bodyDiv w:val="1"/>
      <w:marLeft w:val="0"/>
      <w:marRight w:val="0"/>
      <w:marTop w:val="0"/>
      <w:marBottom w:val="0"/>
      <w:divBdr>
        <w:top w:val="none" w:sz="0" w:space="0" w:color="auto"/>
        <w:left w:val="none" w:sz="0" w:space="0" w:color="auto"/>
        <w:bottom w:val="none" w:sz="0" w:space="0" w:color="auto"/>
        <w:right w:val="none" w:sz="0" w:space="0" w:color="auto"/>
      </w:divBdr>
    </w:div>
    <w:div w:id="1389298758">
      <w:bodyDiv w:val="1"/>
      <w:marLeft w:val="0"/>
      <w:marRight w:val="0"/>
      <w:marTop w:val="0"/>
      <w:marBottom w:val="0"/>
      <w:divBdr>
        <w:top w:val="none" w:sz="0" w:space="0" w:color="auto"/>
        <w:left w:val="none" w:sz="0" w:space="0" w:color="auto"/>
        <w:bottom w:val="none" w:sz="0" w:space="0" w:color="auto"/>
        <w:right w:val="none" w:sz="0" w:space="0" w:color="auto"/>
      </w:divBdr>
    </w:div>
    <w:div w:id="1392070285">
      <w:bodyDiv w:val="1"/>
      <w:marLeft w:val="0"/>
      <w:marRight w:val="0"/>
      <w:marTop w:val="0"/>
      <w:marBottom w:val="0"/>
      <w:divBdr>
        <w:top w:val="none" w:sz="0" w:space="0" w:color="auto"/>
        <w:left w:val="none" w:sz="0" w:space="0" w:color="auto"/>
        <w:bottom w:val="none" w:sz="0" w:space="0" w:color="auto"/>
        <w:right w:val="none" w:sz="0" w:space="0" w:color="auto"/>
      </w:divBdr>
    </w:div>
    <w:div w:id="1396271069">
      <w:bodyDiv w:val="1"/>
      <w:marLeft w:val="0"/>
      <w:marRight w:val="0"/>
      <w:marTop w:val="0"/>
      <w:marBottom w:val="0"/>
      <w:divBdr>
        <w:top w:val="none" w:sz="0" w:space="0" w:color="auto"/>
        <w:left w:val="none" w:sz="0" w:space="0" w:color="auto"/>
        <w:bottom w:val="none" w:sz="0" w:space="0" w:color="auto"/>
        <w:right w:val="none" w:sz="0" w:space="0" w:color="auto"/>
      </w:divBdr>
    </w:div>
    <w:div w:id="1415661384">
      <w:bodyDiv w:val="1"/>
      <w:marLeft w:val="0"/>
      <w:marRight w:val="0"/>
      <w:marTop w:val="0"/>
      <w:marBottom w:val="0"/>
      <w:divBdr>
        <w:top w:val="none" w:sz="0" w:space="0" w:color="auto"/>
        <w:left w:val="none" w:sz="0" w:space="0" w:color="auto"/>
        <w:bottom w:val="none" w:sz="0" w:space="0" w:color="auto"/>
        <w:right w:val="none" w:sz="0" w:space="0" w:color="auto"/>
      </w:divBdr>
    </w:div>
    <w:div w:id="1415929078">
      <w:bodyDiv w:val="1"/>
      <w:marLeft w:val="0"/>
      <w:marRight w:val="0"/>
      <w:marTop w:val="0"/>
      <w:marBottom w:val="0"/>
      <w:divBdr>
        <w:top w:val="none" w:sz="0" w:space="0" w:color="auto"/>
        <w:left w:val="none" w:sz="0" w:space="0" w:color="auto"/>
        <w:bottom w:val="none" w:sz="0" w:space="0" w:color="auto"/>
        <w:right w:val="none" w:sz="0" w:space="0" w:color="auto"/>
      </w:divBdr>
    </w:div>
    <w:div w:id="1424765331">
      <w:bodyDiv w:val="1"/>
      <w:marLeft w:val="0"/>
      <w:marRight w:val="0"/>
      <w:marTop w:val="0"/>
      <w:marBottom w:val="0"/>
      <w:divBdr>
        <w:top w:val="none" w:sz="0" w:space="0" w:color="auto"/>
        <w:left w:val="none" w:sz="0" w:space="0" w:color="auto"/>
        <w:bottom w:val="none" w:sz="0" w:space="0" w:color="auto"/>
        <w:right w:val="none" w:sz="0" w:space="0" w:color="auto"/>
      </w:divBdr>
    </w:div>
    <w:div w:id="1425690705">
      <w:bodyDiv w:val="1"/>
      <w:marLeft w:val="0"/>
      <w:marRight w:val="0"/>
      <w:marTop w:val="0"/>
      <w:marBottom w:val="0"/>
      <w:divBdr>
        <w:top w:val="none" w:sz="0" w:space="0" w:color="auto"/>
        <w:left w:val="none" w:sz="0" w:space="0" w:color="auto"/>
        <w:bottom w:val="none" w:sz="0" w:space="0" w:color="auto"/>
        <w:right w:val="none" w:sz="0" w:space="0" w:color="auto"/>
      </w:divBdr>
    </w:div>
    <w:div w:id="1429236506">
      <w:bodyDiv w:val="1"/>
      <w:marLeft w:val="0"/>
      <w:marRight w:val="0"/>
      <w:marTop w:val="0"/>
      <w:marBottom w:val="0"/>
      <w:divBdr>
        <w:top w:val="none" w:sz="0" w:space="0" w:color="auto"/>
        <w:left w:val="none" w:sz="0" w:space="0" w:color="auto"/>
        <w:bottom w:val="none" w:sz="0" w:space="0" w:color="auto"/>
        <w:right w:val="none" w:sz="0" w:space="0" w:color="auto"/>
      </w:divBdr>
    </w:div>
    <w:div w:id="1431240748">
      <w:bodyDiv w:val="1"/>
      <w:marLeft w:val="0"/>
      <w:marRight w:val="0"/>
      <w:marTop w:val="0"/>
      <w:marBottom w:val="0"/>
      <w:divBdr>
        <w:top w:val="none" w:sz="0" w:space="0" w:color="auto"/>
        <w:left w:val="none" w:sz="0" w:space="0" w:color="auto"/>
        <w:bottom w:val="none" w:sz="0" w:space="0" w:color="auto"/>
        <w:right w:val="none" w:sz="0" w:space="0" w:color="auto"/>
      </w:divBdr>
    </w:div>
    <w:div w:id="1433016430">
      <w:bodyDiv w:val="1"/>
      <w:marLeft w:val="0"/>
      <w:marRight w:val="0"/>
      <w:marTop w:val="0"/>
      <w:marBottom w:val="0"/>
      <w:divBdr>
        <w:top w:val="none" w:sz="0" w:space="0" w:color="auto"/>
        <w:left w:val="none" w:sz="0" w:space="0" w:color="auto"/>
        <w:bottom w:val="none" w:sz="0" w:space="0" w:color="auto"/>
        <w:right w:val="none" w:sz="0" w:space="0" w:color="auto"/>
      </w:divBdr>
    </w:div>
    <w:div w:id="1433818560">
      <w:bodyDiv w:val="1"/>
      <w:marLeft w:val="0"/>
      <w:marRight w:val="0"/>
      <w:marTop w:val="0"/>
      <w:marBottom w:val="0"/>
      <w:divBdr>
        <w:top w:val="none" w:sz="0" w:space="0" w:color="auto"/>
        <w:left w:val="none" w:sz="0" w:space="0" w:color="auto"/>
        <w:bottom w:val="none" w:sz="0" w:space="0" w:color="auto"/>
        <w:right w:val="none" w:sz="0" w:space="0" w:color="auto"/>
      </w:divBdr>
    </w:div>
    <w:div w:id="1438133919">
      <w:bodyDiv w:val="1"/>
      <w:marLeft w:val="0"/>
      <w:marRight w:val="0"/>
      <w:marTop w:val="0"/>
      <w:marBottom w:val="0"/>
      <w:divBdr>
        <w:top w:val="none" w:sz="0" w:space="0" w:color="auto"/>
        <w:left w:val="none" w:sz="0" w:space="0" w:color="auto"/>
        <w:bottom w:val="none" w:sz="0" w:space="0" w:color="auto"/>
        <w:right w:val="none" w:sz="0" w:space="0" w:color="auto"/>
      </w:divBdr>
    </w:div>
    <w:div w:id="1438990621">
      <w:bodyDiv w:val="1"/>
      <w:marLeft w:val="0"/>
      <w:marRight w:val="0"/>
      <w:marTop w:val="0"/>
      <w:marBottom w:val="0"/>
      <w:divBdr>
        <w:top w:val="none" w:sz="0" w:space="0" w:color="auto"/>
        <w:left w:val="none" w:sz="0" w:space="0" w:color="auto"/>
        <w:bottom w:val="none" w:sz="0" w:space="0" w:color="auto"/>
        <w:right w:val="none" w:sz="0" w:space="0" w:color="auto"/>
      </w:divBdr>
    </w:div>
    <w:div w:id="1441678882">
      <w:bodyDiv w:val="1"/>
      <w:marLeft w:val="0"/>
      <w:marRight w:val="0"/>
      <w:marTop w:val="0"/>
      <w:marBottom w:val="0"/>
      <w:divBdr>
        <w:top w:val="none" w:sz="0" w:space="0" w:color="auto"/>
        <w:left w:val="none" w:sz="0" w:space="0" w:color="auto"/>
        <w:bottom w:val="none" w:sz="0" w:space="0" w:color="auto"/>
        <w:right w:val="none" w:sz="0" w:space="0" w:color="auto"/>
      </w:divBdr>
    </w:div>
    <w:div w:id="1444302063">
      <w:bodyDiv w:val="1"/>
      <w:marLeft w:val="0"/>
      <w:marRight w:val="0"/>
      <w:marTop w:val="0"/>
      <w:marBottom w:val="0"/>
      <w:divBdr>
        <w:top w:val="none" w:sz="0" w:space="0" w:color="auto"/>
        <w:left w:val="none" w:sz="0" w:space="0" w:color="auto"/>
        <w:bottom w:val="none" w:sz="0" w:space="0" w:color="auto"/>
        <w:right w:val="none" w:sz="0" w:space="0" w:color="auto"/>
      </w:divBdr>
    </w:div>
    <w:div w:id="1447387550">
      <w:bodyDiv w:val="1"/>
      <w:marLeft w:val="0"/>
      <w:marRight w:val="0"/>
      <w:marTop w:val="0"/>
      <w:marBottom w:val="0"/>
      <w:divBdr>
        <w:top w:val="none" w:sz="0" w:space="0" w:color="auto"/>
        <w:left w:val="none" w:sz="0" w:space="0" w:color="auto"/>
        <w:bottom w:val="none" w:sz="0" w:space="0" w:color="auto"/>
        <w:right w:val="none" w:sz="0" w:space="0" w:color="auto"/>
      </w:divBdr>
    </w:div>
    <w:div w:id="1454136424">
      <w:bodyDiv w:val="1"/>
      <w:marLeft w:val="0"/>
      <w:marRight w:val="0"/>
      <w:marTop w:val="0"/>
      <w:marBottom w:val="0"/>
      <w:divBdr>
        <w:top w:val="none" w:sz="0" w:space="0" w:color="auto"/>
        <w:left w:val="none" w:sz="0" w:space="0" w:color="auto"/>
        <w:bottom w:val="none" w:sz="0" w:space="0" w:color="auto"/>
        <w:right w:val="none" w:sz="0" w:space="0" w:color="auto"/>
      </w:divBdr>
    </w:div>
    <w:div w:id="1455100477">
      <w:bodyDiv w:val="1"/>
      <w:marLeft w:val="0"/>
      <w:marRight w:val="0"/>
      <w:marTop w:val="0"/>
      <w:marBottom w:val="0"/>
      <w:divBdr>
        <w:top w:val="none" w:sz="0" w:space="0" w:color="auto"/>
        <w:left w:val="none" w:sz="0" w:space="0" w:color="auto"/>
        <w:bottom w:val="none" w:sz="0" w:space="0" w:color="auto"/>
        <w:right w:val="none" w:sz="0" w:space="0" w:color="auto"/>
      </w:divBdr>
    </w:div>
    <w:div w:id="1461340505">
      <w:bodyDiv w:val="1"/>
      <w:marLeft w:val="0"/>
      <w:marRight w:val="0"/>
      <w:marTop w:val="0"/>
      <w:marBottom w:val="0"/>
      <w:divBdr>
        <w:top w:val="none" w:sz="0" w:space="0" w:color="auto"/>
        <w:left w:val="none" w:sz="0" w:space="0" w:color="auto"/>
        <w:bottom w:val="none" w:sz="0" w:space="0" w:color="auto"/>
        <w:right w:val="none" w:sz="0" w:space="0" w:color="auto"/>
      </w:divBdr>
    </w:div>
    <w:div w:id="1462503228">
      <w:bodyDiv w:val="1"/>
      <w:marLeft w:val="0"/>
      <w:marRight w:val="0"/>
      <w:marTop w:val="0"/>
      <w:marBottom w:val="0"/>
      <w:divBdr>
        <w:top w:val="none" w:sz="0" w:space="0" w:color="auto"/>
        <w:left w:val="none" w:sz="0" w:space="0" w:color="auto"/>
        <w:bottom w:val="none" w:sz="0" w:space="0" w:color="auto"/>
        <w:right w:val="none" w:sz="0" w:space="0" w:color="auto"/>
      </w:divBdr>
    </w:div>
    <w:div w:id="1465855130">
      <w:bodyDiv w:val="1"/>
      <w:marLeft w:val="0"/>
      <w:marRight w:val="0"/>
      <w:marTop w:val="0"/>
      <w:marBottom w:val="0"/>
      <w:divBdr>
        <w:top w:val="none" w:sz="0" w:space="0" w:color="auto"/>
        <w:left w:val="none" w:sz="0" w:space="0" w:color="auto"/>
        <w:bottom w:val="none" w:sz="0" w:space="0" w:color="auto"/>
        <w:right w:val="none" w:sz="0" w:space="0" w:color="auto"/>
      </w:divBdr>
    </w:div>
    <w:div w:id="1467117520">
      <w:bodyDiv w:val="1"/>
      <w:marLeft w:val="0"/>
      <w:marRight w:val="0"/>
      <w:marTop w:val="0"/>
      <w:marBottom w:val="0"/>
      <w:divBdr>
        <w:top w:val="none" w:sz="0" w:space="0" w:color="auto"/>
        <w:left w:val="none" w:sz="0" w:space="0" w:color="auto"/>
        <w:bottom w:val="none" w:sz="0" w:space="0" w:color="auto"/>
        <w:right w:val="none" w:sz="0" w:space="0" w:color="auto"/>
      </w:divBdr>
    </w:div>
    <w:div w:id="1470435560">
      <w:bodyDiv w:val="1"/>
      <w:marLeft w:val="0"/>
      <w:marRight w:val="0"/>
      <w:marTop w:val="0"/>
      <w:marBottom w:val="0"/>
      <w:divBdr>
        <w:top w:val="none" w:sz="0" w:space="0" w:color="auto"/>
        <w:left w:val="none" w:sz="0" w:space="0" w:color="auto"/>
        <w:bottom w:val="none" w:sz="0" w:space="0" w:color="auto"/>
        <w:right w:val="none" w:sz="0" w:space="0" w:color="auto"/>
      </w:divBdr>
    </w:div>
    <w:div w:id="1472016686">
      <w:bodyDiv w:val="1"/>
      <w:marLeft w:val="0"/>
      <w:marRight w:val="0"/>
      <w:marTop w:val="0"/>
      <w:marBottom w:val="0"/>
      <w:divBdr>
        <w:top w:val="none" w:sz="0" w:space="0" w:color="auto"/>
        <w:left w:val="none" w:sz="0" w:space="0" w:color="auto"/>
        <w:bottom w:val="none" w:sz="0" w:space="0" w:color="auto"/>
        <w:right w:val="none" w:sz="0" w:space="0" w:color="auto"/>
      </w:divBdr>
    </w:div>
    <w:div w:id="1474906833">
      <w:bodyDiv w:val="1"/>
      <w:marLeft w:val="0"/>
      <w:marRight w:val="0"/>
      <w:marTop w:val="0"/>
      <w:marBottom w:val="0"/>
      <w:divBdr>
        <w:top w:val="none" w:sz="0" w:space="0" w:color="auto"/>
        <w:left w:val="none" w:sz="0" w:space="0" w:color="auto"/>
        <w:bottom w:val="none" w:sz="0" w:space="0" w:color="auto"/>
        <w:right w:val="none" w:sz="0" w:space="0" w:color="auto"/>
      </w:divBdr>
    </w:div>
    <w:div w:id="1475289431">
      <w:bodyDiv w:val="1"/>
      <w:marLeft w:val="0"/>
      <w:marRight w:val="0"/>
      <w:marTop w:val="0"/>
      <w:marBottom w:val="0"/>
      <w:divBdr>
        <w:top w:val="none" w:sz="0" w:space="0" w:color="auto"/>
        <w:left w:val="none" w:sz="0" w:space="0" w:color="auto"/>
        <w:bottom w:val="none" w:sz="0" w:space="0" w:color="auto"/>
        <w:right w:val="none" w:sz="0" w:space="0" w:color="auto"/>
      </w:divBdr>
    </w:div>
    <w:div w:id="1478034237">
      <w:bodyDiv w:val="1"/>
      <w:marLeft w:val="0"/>
      <w:marRight w:val="0"/>
      <w:marTop w:val="0"/>
      <w:marBottom w:val="0"/>
      <w:divBdr>
        <w:top w:val="none" w:sz="0" w:space="0" w:color="auto"/>
        <w:left w:val="none" w:sz="0" w:space="0" w:color="auto"/>
        <w:bottom w:val="none" w:sz="0" w:space="0" w:color="auto"/>
        <w:right w:val="none" w:sz="0" w:space="0" w:color="auto"/>
      </w:divBdr>
    </w:div>
    <w:div w:id="1478113413">
      <w:bodyDiv w:val="1"/>
      <w:marLeft w:val="0"/>
      <w:marRight w:val="0"/>
      <w:marTop w:val="0"/>
      <w:marBottom w:val="0"/>
      <w:divBdr>
        <w:top w:val="none" w:sz="0" w:space="0" w:color="auto"/>
        <w:left w:val="none" w:sz="0" w:space="0" w:color="auto"/>
        <w:bottom w:val="none" w:sz="0" w:space="0" w:color="auto"/>
        <w:right w:val="none" w:sz="0" w:space="0" w:color="auto"/>
      </w:divBdr>
    </w:div>
    <w:div w:id="1478450497">
      <w:bodyDiv w:val="1"/>
      <w:marLeft w:val="0"/>
      <w:marRight w:val="0"/>
      <w:marTop w:val="0"/>
      <w:marBottom w:val="0"/>
      <w:divBdr>
        <w:top w:val="none" w:sz="0" w:space="0" w:color="auto"/>
        <w:left w:val="none" w:sz="0" w:space="0" w:color="auto"/>
        <w:bottom w:val="none" w:sz="0" w:space="0" w:color="auto"/>
        <w:right w:val="none" w:sz="0" w:space="0" w:color="auto"/>
      </w:divBdr>
    </w:div>
    <w:div w:id="1496846798">
      <w:bodyDiv w:val="1"/>
      <w:marLeft w:val="0"/>
      <w:marRight w:val="0"/>
      <w:marTop w:val="0"/>
      <w:marBottom w:val="0"/>
      <w:divBdr>
        <w:top w:val="none" w:sz="0" w:space="0" w:color="auto"/>
        <w:left w:val="none" w:sz="0" w:space="0" w:color="auto"/>
        <w:bottom w:val="none" w:sz="0" w:space="0" w:color="auto"/>
        <w:right w:val="none" w:sz="0" w:space="0" w:color="auto"/>
      </w:divBdr>
    </w:div>
    <w:div w:id="1510876399">
      <w:bodyDiv w:val="1"/>
      <w:marLeft w:val="0"/>
      <w:marRight w:val="0"/>
      <w:marTop w:val="0"/>
      <w:marBottom w:val="0"/>
      <w:divBdr>
        <w:top w:val="none" w:sz="0" w:space="0" w:color="auto"/>
        <w:left w:val="none" w:sz="0" w:space="0" w:color="auto"/>
        <w:bottom w:val="none" w:sz="0" w:space="0" w:color="auto"/>
        <w:right w:val="none" w:sz="0" w:space="0" w:color="auto"/>
      </w:divBdr>
    </w:div>
    <w:div w:id="1520780399">
      <w:bodyDiv w:val="1"/>
      <w:marLeft w:val="0"/>
      <w:marRight w:val="0"/>
      <w:marTop w:val="0"/>
      <w:marBottom w:val="0"/>
      <w:divBdr>
        <w:top w:val="none" w:sz="0" w:space="0" w:color="auto"/>
        <w:left w:val="none" w:sz="0" w:space="0" w:color="auto"/>
        <w:bottom w:val="none" w:sz="0" w:space="0" w:color="auto"/>
        <w:right w:val="none" w:sz="0" w:space="0" w:color="auto"/>
      </w:divBdr>
    </w:div>
    <w:div w:id="1526401235">
      <w:bodyDiv w:val="1"/>
      <w:marLeft w:val="0"/>
      <w:marRight w:val="0"/>
      <w:marTop w:val="0"/>
      <w:marBottom w:val="0"/>
      <w:divBdr>
        <w:top w:val="none" w:sz="0" w:space="0" w:color="auto"/>
        <w:left w:val="none" w:sz="0" w:space="0" w:color="auto"/>
        <w:bottom w:val="none" w:sz="0" w:space="0" w:color="auto"/>
        <w:right w:val="none" w:sz="0" w:space="0" w:color="auto"/>
      </w:divBdr>
    </w:div>
    <w:div w:id="1528829862">
      <w:bodyDiv w:val="1"/>
      <w:marLeft w:val="0"/>
      <w:marRight w:val="0"/>
      <w:marTop w:val="0"/>
      <w:marBottom w:val="0"/>
      <w:divBdr>
        <w:top w:val="none" w:sz="0" w:space="0" w:color="auto"/>
        <w:left w:val="none" w:sz="0" w:space="0" w:color="auto"/>
        <w:bottom w:val="none" w:sz="0" w:space="0" w:color="auto"/>
        <w:right w:val="none" w:sz="0" w:space="0" w:color="auto"/>
      </w:divBdr>
    </w:div>
    <w:div w:id="1530794350">
      <w:bodyDiv w:val="1"/>
      <w:marLeft w:val="0"/>
      <w:marRight w:val="0"/>
      <w:marTop w:val="0"/>
      <w:marBottom w:val="0"/>
      <w:divBdr>
        <w:top w:val="none" w:sz="0" w:space="0" w:color="auto"/>
        <w:left w:val="none" w:sz="0" w:space="0" w:color="auto"/>
        <w:bottom w:val="none" w:sz="0" w:space="0" w:color="auto"/>
        <w:right w:val="none" w:sz="0" w:space="0" w:color="auto"/>
      </w:divBdr>
    </w:div>
    <w:div w:id="1533883814">
      <w:bodyDiv w:val="1"/>
      <w:marLeft w:val="0"/>
      <w:marRight w:val="0"/>
      <w:marTop w:val="0"/>
      <w:marBottom w:val="0"/>
      <w:divBdr>
        <w:top w:val="none" w:sz="0" w:space="0" w:color="auto"/>
        <w:left w:val="none" w:sz="0" w:space="0" w:color="auto"/>
        <w:bottom w:val="none" w:sz="0" w:space="0" w:color="auto"/>
        <w:right w:val="none" w:sz="0" w:space="0" w:color="auto"/>
      </w:divBdr>
    </w:div>
    <w:div w:id="1534612649">
      <w:bodyDiv w:val="1"/>
      <w:marLeft w:val="0"/>
      <w:marRight w:val="0"/>
      <w:marTop w:val="0"/>
      <w:marBottom w:val="0"/>
      <w:divBdr>
        <w:top w:val="none" w:sz="0" w:space="0" w:color="auto"/>
        <w:left w:val="none" w:sz="0" w:space="0" w:color="auto"/>
        <w:bottom w:val="none" w:sz="0" w:space="0" w:color="auto"/>
        <w:right w:val="none" w:sz="0" w:space="0" w:color="auto"/>
      </w:divBdr>
    </w:div>
    <w:div w:id="1535997881">
      <w:bodyDiv w:val="1"/>
      <w:marLeft w:val="0"/>
      <w:marRight w:val="0"/>
      <w:marTop w:val="0"/>
      <w:marBottom w:val="0"/>
      <w:divBdr>
        <w:top w:val="none" w:sz="0" w:space="0" w:color="auto"/>
        <w:left w:val="none" w:sz="0" w:space="0" w:color="auto"/>
        <w:bottom w:val="none" w:sz="0" w:space="0" w:color="auto"/>
        <w:right w:val="none" w:sz="0" w:space="0" w:color="auto"/>
      </w:divBdr>
    </w:div>
    <w:div w:id="1538280393">
      <w:bodyDiv w:val="1"/>
      <w:marLeft w:val="0"/>
      <w:marRight w:val="0"/>
      <w:marTop w:val="0"/>
      <w:marBottom w:val="0"/>
      <w:divBdr>
        <w:top w:val="none" w:sz="0" w:space="0" w:color="auto"/>
        <w:left w:val="none" w:sz="0" w:space="0" w:color="auto"/>
        <w:bottom w:val="none" w:sz="0" w:space="0" w:color="auto"/>
        <w:right w:val="none" w:sz="0" w:space="0" w:color="auto"/>
      </w:divBdr>
    </w:div>
    <w:div w:id="1539587899">
      <w:bodyDiv w:val="1"/>
      <w:marLeft w:val="0"/>
      <w:marRight w:val="0"/>
      <w:marTop w:val="0"/>
      <w:marBottom w:val="0"/>
      <w:divBdr>
        <w:top w:val="none" w:sz="0" w:space="0" w:color="auto"/>
        <w:left w:val="none" w:sz="0" w:space="0" w:color="auto"/>
        <w:bottom w:val="none" w:sz="0" w:space="0" w:color="auto"/>
        <w:right w:val="none" w:sz="0" w:space="0" w:color="auto"/>
      </w:divBdr>
    </w:div>
    <w:div w:id="1545219448">
      <w:bodyDiv w:val="1"/>
      <w:marLeft w:val="0"/>
      <w:marRight w:val="0"/>
      <w:marTop w:val="0"/>
      <w:marBottom w:val="0"/>
      <w:divBdr>
        <w:top w:val="none" w:sz="0" w:space="0" w:color="auto"/>
        <w:left w:val="none" w:sz="0" w:space="0" w:color="auto"/>
        <w:bottom w:val="none" w:sz="0" w:space="0" w:color="auto"/>
        <w:right w:val="none" w:sz="0" w:space="0" w:color="auto"/>
      </w:divBdr>
    </w:div>
    <w:div w:id="1548107054">
      <w:bodyDiv w:val="1"/>
      <w:marLeft w:val="0"/>
      <w:marRight w:val="0"/>
      <w:marTop w:val="0"/>
      <w:marBottom w:val="0"/>
      <w:divBdr>
        <w:top w:val="none" w:sz="0" w:space="0" w:color="auto"/>
        <w:left w:val="none" w:sz="0" w:space="0" w:color="auto"/>
        <w:bottom w:val="none" w:sz="0" w:space="0" w:color="auto"/>
        <w:right w:val="none" w:sz="0" w:space="0" w:color="auto"/>
      </w:divBdr>
    </w:div>
    <w:div w:id="1550342670">
      <w:bodyDiv w:val="1"/>
      <w:marLeft w:val="0"/>
      <w:marRight w:val="0"/>
      <w:marTop w:val="0"/>
      <w:marBottom w:val="0"/>
      <w:divBdr>
        <w:top w:val="none" w:sz="0" w:space="0" w:color="auto"/>
        <w:left w:val="none" w:sz="0" w:space="0" w:color="auto"/>
        <w:bottom w:val="none" w:sz="0" w:space="0" w:color="auto"/>
        <w:right w:val="none" w:sz="0" w:space="0" w:color="auto"/>
      </w:divBdr>
    </w:div>
    <w:div w:id="1560090949">
      <w:bodyDiv w:val="1"/>
      <w:marLeft w:val="0"/>
      <w:marRight w:val="0"/>
      <w:marTop w:val="0"/>
      <w:marBottom w:val="0"/>
      <w:divBdr>
        <w:top w:val="none" w:sz="0" w:space="0" w:color="auto"/>
        <w:left w:val="none" w:sz="0" w:space="0" w:color="auto"/>
        <w:bottom w:val="none" w:sz="0" w:space="0" w:color="auto"/>
        <w:right w:val="none" w:sz="0" w:space="0" w:color="auto"/>
      </w:divBdr>
    </w:div>
    <w:div w:id="1565994238">
      <w:bodyDiv w:val="1"/>
      <w:marLeft w:val="0"/>
      <w:marRight w:val="0"/>
      <w:marTop w:val="0"/>
      <w:marBottom w:val="0"/>
      <w:divBdr>
        <w:top w:val="none" w:sz="0" w:space="0" w:color="auto"/>
        <w:left w:val="none" w:sz="0" w:space="0" w:color="auto"/>
        <w:bottom w:val="none" w:sz="0" w:space="0" w:color="auto"/>
        <w:right w:val="none" w:sz="0" w:space="0" w:color="auto"/>
      </w:divBdr>
    </w:div>
    <w:div w:id="1569340604">
      <w:bodyDiv w:val="1"/>
      <w:marLeft w:val="0"/>
      <w:marRight w:val="0"/>
      <w:marTop w:val="0"/>
      <w:marBottom w:val="0"/>
      <w:divBdr>
        <w:top w:val="none" w:sz="0" w:space="0" w:color="auto"/>
        <w:left w:val="none" w:sz="0" w:space="0" w:color="auto"/>
        <w:bottom w:val="none" w:sz="0" w:space="0" w:color="auto"/>
        <w:right w:val="none" w:sz="0" w:space="0" w:color="auto"/>
      </w:divBdr>
    </w:div>
    <w:div w:id="1573388505">
      <w:bodyDiv w:val="1"/>
      <w:marLeft w:val="0"/>
      <w:marRight w:val="0"/>
      <w:marTop w:val="0"/>
      <w:marBottom w:val="0"/>
      <w:divBdr>
        <w:top w:val="none" w:sz="0" w:space="0" w:color="auto"/>
        <w:left w:val="none" w:sz="0" w:space="0" w:color="auto"/>
        <w:bottom w:val="none" w:sz="0" w:space="0" w:color="auto"/>
        <w:right w:val="none" w:sz="0" w:space="0" w:color="auto"/>
      </w:divBdr>
    </w:div>
    <w:div w:id="1573540397">
      <w:bodyDiv w:val="1"/>
      <w:marLeft w:val="0"/>
      <w:marRight w:val="0"/>
      <w:marTop w:val="0"/>
      <w:marBottom w:val="0"/>
      <w:divBdr>
        <w:top w:val="none" w:sz="0" w:space="0" w:color="auto"/>
        <w:left w:val="none" w:sz="0" w:space="0" w:color="auto"/>
        <w:bottom w:val="none" w:sz="0" w:space="0" w:color="auto"/>
        <w:right w:val="none" w:sz="0" w:space="0" w:color="auto"/>
      </w:divBdr>
    </w:div>
    <w:div w:id="1573540505">
      <w:bodyDiv w:val="1"/>
      <w:marLeft w:val="0"/>
      <w:marRight w:val="0"/>
      <w:marTop w:val="0"/>
      <w:marBottom w:val="0"/>
      <w:divBdr>
        <w:top w:val="none" w:sz="0" w:space="0" w:color="auto"/>
        <w:left w:val="none" w:sz="0" w:space="0" w:color="auto"/>
        <w:bottom w:val="none" w:sz="0" w:space="0" w:color="auto"/>
        <w:right w:val="none" w:sz="0" w:space="0" w:color="auto"/>
      </w:divBdr>
    </w:div>
    <w:div w:id="1581789801">
      <w:bodyDiv w:val="1"/>
      <w:marLeft w:val="0"/>
      <w:marRight w:val="0"/>
      <w:marTop w:val="0"/>
      <w:marBottom w:val="0"/>
      <w:divBdr>
        <w:top w:val="none" w:sz="0" w:space="0" w:color="auto"/>
        <w:left w:val="none" w:sz="0" w:space="0" w:color="auto"/>
        <w:bottom w:val="none" w:sz="0" w:space="0" w:color="auto"/>
        <w:right w:val="none" w:sz="0" w:space="0" w:color="auto"/>
      </w:divBdr>
    </w:div>
    <w:div w:id="1588536424">
      <w:bodyDiv w:val="1"/>
      <w:marLeft w:val="0"/>
      <w:marRight w:val="0"/>
      <w:marTop w:val="0"/>
      <w:marBottom w:val="0"/>
      <w:divBdr>
        <w:top w:val="none" w:sz="0" w:space="0" w:color="auto"/>
        <w:left w:val="none" w:sz="0" w:space="0" w:color="auto"/>
        <w:bottom w:val="none" w:sz="0" w:space="0" w:color="auto"/>
        <w:right w:val="none" w:sz="0" w:space="0" w:color="auto"/>
      </w:divBdr>
    </w:div>
    <w:div w:id="1591044191">
      <w:bodyDiv w:val="1"/>
      <w:marLeft w:val="0"/>
      <w:marRight w:val="0"/>
      <w:marTop w:val="0"/>
      <w:marBottom w:val="0"/>
      <w:divBdr>
        <w:top w:val="none" w:sz="0" w:space="0" w:color="auto"/>
        <w:left w:val="none" w:sz="0" w:space="0" w:color="auto"/>
        <w:bottom w:val="none" w:sz="0" w:space="0" w:color="auto"/>
        <w:right w:val="none" w:sz="0" w:space="0" w:color="auto"/>
      </w:divBdr>
    </w:div>
    <w:div w:id="1608922010">
      <w:bodyDiv w:val="1"/>
      <w:marLeft w:val="0"/>
      <w:marRight w:val="0"/>
      <w:marTop w:val="0"/>
      <w:marBottom w:val="0"/>
      <w:divBdr>
        <w:top w:val="none" w:sz="0" w:space="0" w:color="auto"/>
        <w:left w:val="none" w:sz="0" w:space="0" w:color="auto"/>
        <w:bottom w:val="none" w:sz="0" w:space="0" w:color="auto"/>
        <w:right w:val="none" w:sz="0" w:space="0" w:color="auto"/>
      </w:divBdr>
    </w:div>
    <w:div w:id="1613784495">
      <w:bodyDiv w:val="1"/>
      <w:marLeft w:val="0"/>
      <w:marRight w:val="0"/>
      <w:marTop w:val="0"/>
      <w:marBottom w:val="0"/>
      <w:divBdr>
        <w:top w:val="none" w:sz="0" w:space="0" w:color="auto"/>
        <w:left w:val="none" w:sz="0" w:space="0" w:color="auto"/>
        <w:bottom w:val="none" w:sz="0" w:space="0" w:color="auto"/>
        <w:right w:val="none" w:sz="0" w:space="0" w:color="auto"/>
      </w:divBdr>
    </w:div>
    <w:div w:id="1621112175">
      <w:bodyDiv w:val="1"/>
      <w:marLeft w:val="0"/>
      <w:marRight w:val="0"/>
      <w:marTop w:val="0"/>
      <w:marBottom w:val="0"/>
      <w:divBdr>
        <w:top w:val="none" w:sz="0" w:space="0" w:color="auto"/>
        <w:left w:val="none" w:sz="0" w:space="0" w:color="auto"/>
        <w:bottom w:val="none" w:sz="0" w:space="0" w:color="auto"/>
        <w:right w:val="none" w:sz="0" w:space="0" w:color="auto"/>
      </w:divBdr>
    </w:div>
    <w:div w:id="1641955712">
      <w:bodyDiv w:val="1"/>
      <w:marLeft w:val="0"/>
      <w:marRight w:val="0"/>
      <w:marTop w:val="0"/>
      <w:marBottom w:val="0"/>
      <w:divBdr>
        <w:top w:val="none" w:sz="0" w:space="0" w:color="auto"/>
        <w:left w:val="none" w:sz="0" w:space="0" w:color="auto"/>
        <w:bottom w:val="none" w:sz="0" w:space="0" w:color="auto"/>
        <w:right w:val="none" w:sz="0" w:space="0" w:color="auto"/>
      </w:divBdr>
    </w:div>
    <w:div w:id="1661618063">
      <w:bodyDiv w:val="1"/>
      <w:marLeft w:val="0"/>
      <w:marRight w:val="0"/>
      <w:marTop w:val="0"/>
      <w:marBottom w:val="0"/>
      <w:divBdr>
        <w:top w:val="none" w:sz="0" w:space="0" w:color="auto"/>
        <w:left w:val="none" w:sz="0" w:space="0" w:color="auto"/>
        <w:bottom w:val="none" w:sz="0" w:space="0" w:color="auto"/>
        <w:right w:val="none" w:sz="0" w:space="0" w:color="auto"/>
      </w:divBdr>
    </w:div>
    <w:div w:id="1662540275">
      <w:bodyDiv w:val="1"/>
      <w:marLeft w:val="0"/>
      <w:marRight w:val="0"/>
      <w:marTop w:val="0"/>
      <w:marBottom w:val="0"/>
      <w:divBdr>
        <w:top w:val="none" w:sz="0" w:space="0" w:color="auto"/>
        <w:left w:val="none" w:sz="0" w:space="0" w:color="auto"/>
        <w:bottom w:val="none" w:sz="0" w:space="0" w:color="auto"/>
        <w:right w:val="none" w:sz="0" w:space="0" w:color="auto"/>
      </w:divBdr>
    </w:div>
    <w:div w:id="1666590582">
      <w:bodyDiv w:val="1"/>
      <w:marLeft w:val="0"/>
      <w:marRight w:val="0"/>
      <w:marTop w:val="0"/>
      <w:marBottom w:val="0"/>
      <w:divBdr>
        <w:top w:val="none" w:sz="0" w:space="0" w:color="auto"/>
        <w:left w:val="none" w:sz="0" w:space="0" w:color="auto"/>
        <w:bottom w:val="none" w:sz="0" w:space="0" w:color="auto"/>
        <w:right w:val="none" w:sz="0" w:space="0" w:color="auto"/>
      </w:divBdr>
    </w:div>
    <w:div w:id="1676154591">
      <w:bodyDiv w:val="1"/>
      <w:marLeft w:val="0"/>
      <w:marRight w:val="0"/>
      <w:marTop w:val="0"/>
      <w:marBottom w:val="0"/>
      <w:divBdr>
        <w:top w:val="none" w:sz="0" w:space="0" w:color="auto"/>
        <w:left w:val="none" w:sz="0" w:space="0" w:color="auto"/>
        <w:bottom w:val="none" w:sz="0" w:space="0" w:color="auto"/>
        <w:right w:val="none" w:sz="0" w:space="0" w:color="auto"/>
      </w:divBdr>
    </w:div>
    <w:div w:id="1677340522">
      <w:bodyDiv w:val="1"/>
      <w:marLeft w:val="0"/>
      <w:marRight w:val="0"/>
      <w:marTop w:val="0"/>
      <w:marBottom w:val="0"/>
      <w:divBdr>
        <w:top w:val="none" w:sz="0" w:space="0" w:color="auto"/>
        <w:left w:val="none" w:sz="0" w:space="0" w:color="auto"/>
        <w:bottom w:val="none" w:sz="0" w:space="0" w:color="auto"/>
        <w:right w:val="none" w:sz="0" w:space="0" w:color="auto"/>
      </w:divBdr>
    </w:div>
    <w:div w:id="1689601235">
      <w:bodyDiv w:val="1"/>
      <w:marLeft w:val="0"/>
      <w:marRight w:val="0"/>
      <w:marTop w:val="0"/>
      <w:marBottom w:val="0"/>
      <w:divBdr>
        <w:top w:val="none" w:sz="0" w:space="0" w:color="auto"/>
        <w:left w:val="none" w:sz="0" w:space="0" w:color="auto"/>
        <w:bottom w:val="none" w:sz="0" w:space="0" w:color="auto"/>
        <w:right w:val="none" w:sz="0" w:space="0" w:color="auto"/>
      </w:divBdr>
    </w:div>
    <w:div w:id="1691953649">
      <w:bodyDiv w:val="1"/>
      <w:marLeft w:val="0"/>
      <w:marRight w:val="0"/>
      <w:marTop w:val="0"/>
      <w:marBottom w:val="0"/>
      <w:divBdr>
        <w:top w:val="none" w:sz="0" w:space="0" w:color="auto"/>
        <w:left w:val="none" w:sz="0" w:space="0" w:color="auto"/>
        <w:bottom w:val="none" w:sz="0" w:space="0" w:color="auto"/>
        <w:right w:val="none" w:sz="0" w:space="0" w:color="auto"/>
      </w:divBdr>
    </w:div>
    <w:div w:id="1693334401">
      <w:bodyDiv w:val="1"/>
      <w:marLeft w:val="0"/>
      <w:marRight w:val="0"/>
      <w:marTop w:val="0"/>
      <w:marBottom w:val="0"/>
      <w:divBdr>
        <w:top w:val="none" w:sz="0" w:space="0" w:color="auto"/>
        <w:left w:val="none" w:sz="0" w:space="0" w:color="auto"/>
        <w:bottom w:val="none" w:sz="0" w:space="0" w:color="auto"/>
        <w:right w:val="none" w:sz="0" w:space="0" w:color="auto"/>
      </w:divBdr>
    </w:div>
    <w:div w:id="1696493242">
      <w:bodyDiv w:val="1"/>
      <w:marLeft w:val="0"/>
      <w:marRight w:val="0"/>
      <w:marTop w:val="0"/>
      <w:marBottom w:val="0"/>
      <w:divBdr>
        <w:top w:val="none" w:sz="0" w:space="0" w:color="auto"/>
        <w:left w:val="none" w:sz="0" w:space="0" w:color="auto"/>
        <w:bottom w:val="none" w:sz="0" w:space="0" w:color="auto"/>
        <w:right w:val="none" w:sz="0" w:space="0" w:color="auto"/>
      </w:divBdr>
    </w:div>
    <w:div w:id="1712218331">
      <w:bodyDiv w:val="1"/>
      <w:marLeft w:val="0"/>
      <w:marRight w:val="0"/>
      <w:marTop w:val="0"/>
      <w:marBottom w:val="0"/>
      <w:divBdr>
        <w:top w:val="none" w:sz="0" w:space="0" w:color="auto"/>
        <w:left w:val="none" w:sz="0" w:space="0" w:color="auto"/>
        <w:bottom w:val="none" w:sz="0" w:space="0" w:color="auto"/>
        <w:right w:val="none" w:sz="0" w:space="0" w:color="auto"/>
      </w:divBdr>
    </w:div>
    <w:div w:id="1719667673">
      <w:bodyDiv w:val="1"/>
      <w:marLeft w:val="0"/>
      <w:marRight w:val="0"/>
      <w:marTop w:val="0"/>
      <w:marBottom w:val="0"/>
      <w:divBdr>
        <w:top w:val="none" w:sz="0" w:space="0" w:color="auto"/>
        <w:left w:val="none" w:sz="0" w:space="0" w:color="auto"/>
        <w:bottom w:val="none" w:sz="0" w:space="0" w:color="auto"/>
        <w:right w:val="none" w:sz="0" w:space="0" w:color="auto"/>
      </w:divBdr>
    </w:div>
    <w:div w:id="1721705374">
      <w:bodyDiv w:val="1"/>
      <w:marLeft w:val="0"/>
      <w:marRight w:val="0"/>
      <w:marTop w:val="0"/>
      <w:marBottom w:val="0"/>
      <w:divBdr>
        <w:top w:val="none" w:sz="0" w:space="0" w:color="auto"/>
        <w:left w:val="none" w:sz="0" w:space="0" w:color="auto"/>
        <w:bottom w:val="none" w:sz="0" w:space="0" w:color="auto"/>
        <w:right w:val="none" w:sz="0" w:space="0" w:color="auto"/>
      </w:divBdr>
    </w:div>
    <w:div w:id="1734541429">
      <w:bodyDiv w:val="1"/>
      <w:marLeft w:val="0"/>
      <w:marRight w:val="0"/>
      <w:marTop w:val="0"/>
      <w:marBottom w:val="0"/>
      <w:divBdr>
        <w:top w:val="none" w:sz="0" w:space="0" w:color="auto"/>
        <w:left w:val="none" w:sz="0" w:space="0" w:color="auto"/>
        <w:bottom w:val="none" w:sz="0" w:space="0" w:color="auto"/>
        <w:right w:val="none" w:sz="0" w:space="0" w:color="auto"/>
      </w:divBdr>
    </w:div>
    <w:div w:id="1736902197">
      <w:bodyDiv w:val="1"/>
      <w:marLeft w:val="0"/>
      <w:marRight w:val="0"/>
      <w:marTop w:val="0"/>
      <w:marBottom w:val="0"/>
      <w:divBdr>
        <w:top w:val="none" w:sz="0" w:space="0" w:color="auto"/>
        <w:left w:val="none" w:sz="0" w:space="0" w:color="auto"/>
        <w:bottom w:val="none" w:sz="0" w:space="0" w:color="auto"/>
        <w:right w:val="none" w:sz="0" w:space="0" w:color="auto"/>
      </w:divBdr>
    </w:div>
    <w:div w:id="1744371802">
      <w:bodyDiv w:val="1"/>
      <w:marLeft w:val="0"/>
      <w:marRight w:val="0"/>
      <w:marTop w:val="0"/>
      <w:marBottom w:val="0"/>
      <w:divBdr>
        <w:top w:val="none" w:sz="0" w:space="0" w:color="auto"/>
        <w:left w:val="none" w:sz="0" w:space="0" w:color="auto"/>
        <w:bottom w:val="none" w:sz="0" w:space="0" w:color="auto"/>
        <w:right w:val="none" w:sz="0" w:space="0" w:color="auto"/>
      </w:divBdr>
    </w:div>
    <w:div w:id="1744450383">
      <w:bodyDiv w:val="1"/>
      <w:marLeft w:val="0"/>
      <w:marRight w:val="0"/>
      <w:marTop w:val="0"/>
      <w:marBottom w:val="0"/>
      <w:divBdr>
        <w:top w:val="none" w:sz="0" w:space="0" w:color="auto"/>
        <w:left w:val="none" w:sz="0" w:space="0" w:color="auto"/>
        <w:bottom w:val="none" w:sz="0" w:space="0" w:color="auto"/>
        <w:right w:val="none" w:sz="0" w:space="0" w:color="auto"/>
      </w:divBdr>
    </w:div>
    <w:div w:id="1751539061">
      <w:bodyDiv w:val="1"/>
      <w:marLeft w:val="0"/>
      <w:marRight w:val="0"/>
      <w:marTop w:val="0"/>
      <w:marBottom w:val="0"/>
      <w:divBdr>
        <w:top w:val="none" w:sz="0" w:space="0" w:color="auto"/>
        <w:left w:val="none" w:sz="0" w:space="0" w:color="auto"/>
        <w:bottom w:val="none" w:sz="0" w:space="0" w:color="auto"/>
        <w:right w:val="none" w:sz="0" w:space="0" w:color="auto"/>
      </w:divBdr>
    </w:div>
    <w:div w:id="1753043716">
      <w:bodyDiv w:val="1"/>
      <w:marLeft w:val="0"/>
      <w:marRight w:val="0"/>
      <w:marTop w:val="0"/>
      <w:marBottom w:val="0"/>
      <w:divBdr>
        <w:top w:val="none" w:sz="0" w:space="0" w:color="auto"/>
        <w:left w:val="none" w:sz="0" w:space="0" w:color="auto"/>
        <w:bottom w:val="none" w:sz="0" w:space="0" w:color="auto"/>
        <w:right w:val="none" w:sz="0" w:space="0" w:color="auto"/>
      </w:divBdr>
    </w:div>
    <w:div w:id="1771654499">
      <w:bodyDiv w:val="1"/>
      <w:marLeft w:val="0"/>
      <w:marRight w:val="0"/>
      <w:marTop w:val="0"/>
      <w:marBottom w:val="0"/>
      <w:divBdr>
        <w:top w:val="none" w:sz="0" w:space="0" w:color="auto"/>
        <w:left w:val="none" w:sz="0" w:space="0" w:color="auto"/>
        <w:bottom w:val="none" w:sz="0" w:space="0" w:color="auto"/>
        <w:right w:val="none" w:sz="0" w:space="0" w:color="auto"/>
      </w:divBdr>
    </w:div>
    <w:div w:id="1787315368">
      <w:bodyDiv w:val="1"/>
      <w:marLeft w:val="0"/>
      <w:marRight w:val="0"/>
      <w:marTop w:val="0"/>
      <w:marBottom w:val="0"/>
      <w:divBdr>
        <w:top w:val="none" w:sz="0" w:space="0" w:color="auto"/>
        <w:left w:val="none" w:sz="0" w:space="0" w:color="auto"/>
        <w:bottom w:val="none" w:sz="0" w:space="0" w:color="auto"/>
        <w:right w:val="none" w:sz="0" w:space="0" w:color="auto"/>
      </w:divBdr>
    </w:div>
    <w:div w:id="1788893063">
      <w:bodyDiv w:val="1"/>
      <w:marLeft w:val="0"/>
      <w:marRight w:val="0"/>
      <w:marTop w:val="0"/>
      <w:marBottom w:val="0"/>
      <w:divBdr>
        <w:top w:val="none" w:sz="0" w:space="0" w:color="auto"/>
        <w:left w:val="none" w:sz="0" w:space="0" w:color="auto"/>
        <w:bottom w:val="none" w:sz="0" w:space="0" w:color="auto"/>
        <w:right w:val="none" w:sz="0" w:space="0" w:color="auto"/>
      </w:divBdr>
    </w:div>
    <w:div w:id="1806197189">
      <w:bodyDiv w:val="1"/>
      <w:marLeft w:val="0"/>
      <w:marRight w:val="0"/>
      <w:marTop w:val="0"/>
      <w:marBottom w:val="0"/>
      <w:divBdr>
        <w:top w:val="none" w:sz="0" w:space="0" w:color="auto"/>
        <w:left w:val="none" w:sz="0" w:space="0" w:color="auto"/>
        <w:bottom w:val="none" w:sz="0" w:space="0" w:color="auto"/>
        <w:right w:val="none" w:sz="0" w:space="0" w:color="auto"/>
      </w:divBdr>
    </w:div>
    <w:div w:id="1808820819">
      <w:bodyDiv w:val="1"/>
      <w:marLeft w:val="0"/>
      <w:marRight w:val="0"/>
      <w:marTop w:val="0"/>
      <w:marBottom w:val="0"/>
      <w:divBdr>
        <w:top w:val="none" w:sz="0" w:space="0" w:color="auto"/>
        <w:left w:val="none" w:sz="0" w:space="0" w:color="auto"/>
        <w:bottom w:val="none" w:sz="0" w:space="0" w:color="auto"/>
        <w:right w:val="none" w:sz="0" w:space="0" w:color="auto"/>
      </w:divBdr>
    </w:div>
    <w:div w:id="1818260118">
      <w:bodyDiv w:val="1"/>
      <w:marLeft w:val="0"/>
      <w:marRight w:val="0"/>
      <w:marTop w:val="0"/>
      <w:marBottom w:val="0"/>
      <w:divBdr>
        <w:top w:val="none" w:sz="0" w:space="0" w:color="auto"/>
        <w:left w:val="none" w:sz="0" w:space="0" w:color="auto"/>
        <w:bottom w:val="none" w:sz="0" w:space="0" w:color="auto"/>
        <w:right w:val="none" w:sz="0" w:space="0" w:color="auto"/>
      </w:divBdr>
    </w:div>
    <w:div w:id="1847861513">
      <w:bodyDiv w:val="1"/>
      <w:marLeft w:val="0"/>
      <w:marRight w:val="0"/>
      <w:marTop w:val="0"/>
      <w:marBottom w:val="0"/>
      <w:divBdr>
        <w:top w:val="none" w:sz="0" w:space="0" w:color="auto"/>
        <w:left w:val="none" w:sz="0" w:space="0" w:color="auto"/>
        <w:bottom w:val="none" w:sz="0" w:space="0" w:color="auto"/>
        <w:right w:val="none" w:sz="0" w:space="0" w:color="auto"/>
      </w:divBdr>
    </w:div>
    <w:div w:id="1852527031">
      <w:bodyDiv w:val="1"/>
      <w:marLeft w:val="0"/>
      <w:marRight w:val="0"/>
      <w:marTop w:val="0"/>
      <w:marBottom w:val="0"/>
      <w:divBdr>
        <w:top w:val="none" w:sz="0" w:space="0" w:color="auto"/>
        <w:left w:val="none" w:sz="0" w:space="0" w:color="auto"/>
        <w:bottom w:val="none" w:sz="0" w:space="0" w:color="auto"/>
        <w:right w:val="none" w:sz="0" w:space="0" w:color="auto"/>
      </w:divBdr>
    </w:div>
    <w:div w:id="1857378697">
      <w:bodyDiv w:val="1"/>
      <w:marLeft w:val="0"/>
      <w:marRight w:val="0"/>
      <w:marTop w:val="0"/>
      <w:marBottom w:val="0"/>
      <w:divBdr>
        <w:top w:val="none" w:sz="0" w:space="0" w:color="auto"/>
        <w:left w:val="none" w:sz="0" w:space="0" w:color="auto"/>
        <w:bottom w:val="none" w:sz="0" w:space="0" w:color="auto"/>
        <w:right w:val="none" w:sz="0" w:space="0" w:color="auto"/>
      </w:divBdr>
    </w:div>
    <w:div w:id="1860728816">
      <w:bodyDiv w:val="1"/>
      <w:marLeft w:val="0"/>
      <w:marRight w:val="0"/>
      <w:marTop w:val="0"/>
      <w:marBottom w:val="0"/>
      <w:divBdr>
        <w:top w:val="none" w:sz="0" w:space="0" w:color="auto"/>
        <w:left w:val="none" w:sz="0" w:space="0" w:color="auto"/>
        <w:bottom w:val="none" w:sz="0" w:space="0" w:color="auto"/>
        <w:right w:val="none" w:sz="0" w:space="0" w:color="auto"/>
      </w:divBdr>
    </w:div>
    <w:div w:id="1862428827">
      <w:bodyDiv w:val="1"/>
      <w:marLeft w:val="0"/>
      <w:marRight w:val="0"/>
      <w:marTop w:val="0"/>
      <w:marBottom w:val="0"/>
      <w:divBdr>
        <w:top w:val="none" w:sz="0" w:space="0" w:color="auto"/>
        <w:left w:val="none" w:sz="0" w:space="0" w:color="auto"/>
        <w:bottom w:val="none" w:sz="0" w:space="0" w:color="auto"/>
        <w:right w:val="none" w:sz="0" w:space="0" w:color="auto"/>
      </w:divBdr>
    </w:div>
    <w:div w:id="1869681748">
      <w:bodyDiv w:val="1"/>
      <w:marLeft w:val="0"/>
      <w:marRight w:val="0"/>
      <w:marTop w:val="0"/>
      <w:marBottom w:val="0"/>
      <w:divBdr>
        <w:top w:val="none" w:sz="0" w:space="0" w:color="auto"/>
        <w:left w:val="none" w:sz="0" w:space="0" w:color="auto"/>
        <w:bottom w:val="none" w:sz="0" w:space="0" w:color="auto"/>
        <w:right w:val="none" w:sz="0" w:space="0" w:color="auto"/>
      </w:divBdr>
    </w:div>
    <w:div w:id="1870874322">
      <w:bodyDiv w:val="1"/>
      <w:marLeft w:val="0"/>
      <w:marRight w:val="0"/>
      <w:marTop w:val="0"/>
      <w:marBottom w:val="0"/>
      <w:divBdr>
        <w:top w:val="none" w:sz="0" w:space="0" w:color="auto"/>
        <w:left w:val="none" w:sz="0" w:space="0" w:color="auto"/>
        <w:bottom w:val="none" w:sz="0" w:space="0" w:color="auto"/>
        <w:right w:val="none" w:sz="0" w:space="0" w:color="auto"/>
      </w:divBdr>
    </w:div>
    <w:div w:id="1874684781">
      <w:bodyDiv w:val="1"/>
      <w:marLeft w:val="0"/>
      <w:marRight w:val="0"/>
      <w:marTop w:val="0"/>
      <w:marBottom w:val="0"/>
      <w:divBdr>
        <w:top w:val="none" w:sz="0" w:space="0" w:color="auto"/>
        <w:left w:val="none" w:sz="0" w:space="0" w:color="auto"/>
        <w:bottom w:val="none" w:sz="0" w:space="0" w:color="auto"/>
        <w:right w:val="none" w:sz="0" w:space="0" w:color="auto"/>
      </w:divBdr>
    </w:div>
    <w:div w:id="1879704484">
      <w:bodyDiv w:val="1"/>
      <w:marLeft w:val="0"/>
      <w:marRight w:val="0"/>
      <w:marTop w:val="0"/>
      <w:marBottom w:val="0"/>
      <w:divBdr>
        <w:top w:val="none" w:sz="0" w:space="0" w:color="auto"/>
        <w:left w:val="none" w:sz="0" w:space="0" w:color="auto"/>
        <w:bottom w:val="none" w:sz="0" w:space="0" w:color="auto"/>
        <w:right w:val="none" w:sz="0" w:space="0" w:color="auto"/>
      </w:divBdr>
    </w:div>
    <w:div w:id="1907185504">
      <w:bodyDiv w:val="1"/>
      <w:marLeft w:val="0"/>
      <w:marRight w:val="0"/>
      <w:marTop w:val="0"/>
      <w:marBottom w:val="0"/>
      <w:divBdr>
        <w:top w:val="none" w:sz="0" w:space="0" w:color="auto"/>
        <w:left w:val="none" w:sz="0" w:space="0" w:color="auto"/>
        <w:bottom w:val="none" w:sz="0" w:space="0" w:color="auto"/>
        <w:right w:val="none" w:sz="0" w:space="0" w:color="auto"/>
      </w:divBdr>
    </w:div>
    <w:div w:id="1911621237">
      <w:bodyDiv w:val="1"/>
      <w:marLeft w:val="0"/>
      <w:marRight w:val="0"/>
      <w:marTop w:val="0"/>
      <w:marBottom w:val="0"/>
      <w:divBdr>
        <w:top w:val="none" w:sz="0" w:space="0" w:color="auto"/>
        <w:left w:val="none" w:sz="0" w:space="0" w:color="auto"/>
        <w:bottom w:val="none" w:sz="0" w:space="0" w:color="auto"/>
        <w:right w:val="none" w:sz="0" w:space="0" w:color="auto"/>
      </w:divBdr>
    </w:div>
    <w:div w:id="1929073014">
      <w:bodyDiv w:val="1"/>
      <w:marLeft w:val="0"/>
      <w:marRight w:val="0"/>
      <w:marTop w:val="0"/>
      <w:marBottom w:val="0"/>
      <w:divBdr>
        <w:top w:val="none" w:sz="0" w:space="0" w:color="auto"/>
        <w:left w:val="none" w:sz="0" w:space="0" w:color="auto"/>
        <w:bottom w:val="none" w:sz="0" w:space="0" w:color="auto"/>
        <w:right w:val="none" w:sz="0" w:space="0" w:color="auto"/>
      </w:divBdr>
    </w:div>
    <w:div w:id="1932659707">
      <w:bodyDiv w:val="1"/>
      <w:marLeft w:val="0"/>
      <w:marRight w:val="0"/>
      <w:marTop w:val="0"/>
      <w:marBottom w:val="0"/>
      <w:divBdr>
        <w:top w:val="none" w:sz="0" w:space="0" w:color="auto"/>
        <w:left w:val="none" w:sz="0" w:space="0" w:color="auto"/>
        <w:bottom w:val="none" w:sz="0" w:space="0" w:color="auto"/>
        <w:right w:val="none" w:sz="0" w:space="0" w:color="auto"/>
      </w:divBdr>
    </w:div>
    <w:div w:id="1932738499">
      <w:bodyDiv w:val="1"/>
      <w:marLeft w:val="0"/>
      <w:marRight w:val="0"/>
      <w:marTop w:val="0"/>
      <w:marBottom w:val="0"/>
      <w:divBdr>
        <w:top w:val="none" w:sz="0" w:space="0" w:color="auto"/>
        <w:left w:val="none" w:sz="0" w:space="0" w:color="auto"/>
        <w:bottom w:val="none" w:sz="0" w:space="0" w:color="auto"/>
        <w:right w:val="none" w:sz="0" w:space="0" w:color="auto"/>
      </w:divBdr>
    </w:div>
    <w:div w:id="1933664906">
      <w:bodyDiv w:val="1"/>
      <w:marLeft w:val="0"/>
      <w:marRight w:val="0"/>
      <w:marTop w:val="0"/>
      <w:marBottom w:val="0"/>
      <w:divBdr>
        <w:top w:val="none" w:sz="0" w:space="0" w:color="auto"/>
        <w:left w:val="none" w:sz="0" w:space="0" w:color="auto"/>
        <w:bottom w:val="none" w:sz="0" w:space="0" w:color="auto"/>
        <w:right w:val="none" w:sz="0" w:space="0" w:color="auto"/>
      </w:divBdr>
    </w:div>
    <w:div w:id="1935356927">
      <w:bodyDiv w:val="1"/>
      <w:marLeft w:val="0"/>
      <w:marRight w:val="0"/>
      <w:marTop w:val="0"/>
      <w:marBottom w:val="0"/>
      <w:divBdr>
        <w:top w:val="none" w:sz="0" w:space="0" w:color="auto"/>
        <w:left w:val="none" w:sz="0" w:space="0" w:color="auto"/>
        <w:bottom w:val="none" w:sz="0" w:space="0" w:color="auto"/>
        <w:right w:val="none" w:sz="0" w:space="0" w:color="auto"/>
      </w:divBdr>
    </w:div>
    <w:div w:id="1936091674">
      <w:bodyDiv w:val="1"/>
      <w:marLeft w:val="0"/>
      <w:marRight w:val="0"/>
      <w:marTop w:val="0"/>
      <w:marBottom w:val="0"/>
      <w:divBdr>
        <w:top w:val="none" w:sz="0" w:space="0" w:color="auto"/>
        <w:left w:val="none" w:sz="0" w:space="0" w:color="auto"/>
        <w:bottom w:val="none" w:sz="0" w:space="0" w:color="auto"/>
        <w:right w:val="none" w:sz="0" w:space="0" w:color="auto"/>
      </w:divBdr>
    </w:div>
    <w:div w:id="1942183159">
      <w:bodyDiv w:val="1"/>
      <w:marLeft w:val="0"/>
      <w:marRight w:val="0"/>
      <w:marTop w:val="0"/>
      <w:marBottom w:val="0"/>
      <w:divBdr>
        <w:top w:val="none" w:sz="0" w:space="0" w:color="auto"/>
        <w:left w:val="none" w:sz="0" w:space="0" w:color="auto"/>
        <w:bottom w:val="none" w:sz="0" w:space="0" w:color="auto"/>
        <w:right w:val="none" w:sz="0" w:space="0" w:color="auto"/>
      </w:divBdr>
    </w:div>
    <w:div w:id="1947616824">
      <w:bodyDiv w:val="1"/>
      <w:marLeft w:val="0"/>
      <w:marRight w:val="0"/>
      <w:marTop w:val="0"/>
      <w:marBottom w:val="0"/>
      <w:divBdr>
        <w:top w:val="none" w:sz="0" w:space="0" w:color="auto"/>
        <w:left w:val="none" w:sz="0" w:space="0" w:color="auto"/>
        <w:bottom w:val="none" w:sz="0" w:space="0" w:color="auto"/>
        <w:right w:val="none" w:sz="0" w:space="0" w:color="auto"/>
      </w:divBdr>
    </w:div>
    <w:div w:id="1947693735">
      <w:bodyDiv w:val="1"/>
      <w:marLeft w:val="0"/>
      <w:marRight w:val="0"/>
      <w:marTop w:val="0"/>
      <w:marBottom w:val="0"/>
      <w:divBdr>
        <w:top w:val="none" w:sz="0" w:space="0" w:color="auto"/>
        <w:left w:val="none" w:sz="0" w:space="0" w:color="auto"/>
        <w:bottom w:val="none" w:sz="0" w:space="0" w:color="auto"/>
        <w:right w:val="none" w:sz="0" w:space="0" w:color="auto"/>
      </w:divBdr>
    </w:div>
    <w:div w:id="1950308825">
      <w:bodyDiv w:val="1"/>
      <w:marLeft w:val="0"/>
      <w:marRight w:val="0"/>
      <w:marTop w:val="0"/>
      <w:marBottom w:val="0"/>
      <w:divBdr>
        <w:top w:val="none" w:sz="0" w:space="0" w:color="auto"/>
        <w:left w:val="none" w:sz="0" w:space="0" w:color="auto"/>
        <w:bottom w:val="none" w:sz="0" w:space="0" w:color="auto"/>
        <w:right w:val="none" w:sz="0" w:space="0" w:color="auto"/>
      </w:divBdr>
    </w:div>
    <w:div w:id="1950966361">
      <w:bodyDiv w:val="1"/>
      <w:marLeft w:val="0"/>
      <w:marRight w:val="0"/>
      <w:marTop w:val="0"/>
      <w:marBottom w:val="0"/>
      <w:divBdr>
        <w:top w:val="none" w:sz="0" w:space="0" w:color="auto"/>
        <w:left w:val="none" w:sz="0" w:space="0" w:color="auto"/>
        <w:bottom w:val="none" w:sz="0" w:space="0" w:color="auto"/>
        <w:right w:val="none" w:sz="0" w:space="0" w:color="auto"/>
      </w:divBdr>
    </w:div>
    <w:div w:id="1957713804">
      <w:bodyDiv w:val="1"/>
      <w:marLeft w:val="0"/>
      <w:marRight w:val="0"/>
      <w:marTop w:val="0"/>
      <w:marBottom w:val="0"/>
      <w:divBdr>
        <w:top w:val="none" w:sz="0" w:space="0" w:color="auto"/>
        <w:left w:val="none" w:sz="0" w:space="0" w:color="auto"/>
        <w:bottom w:val="none" w:sz="0" w:space="0" w:color="auto"/>
        <w:right w:val="none" w:sz="0" w:space="0" w:color="auto"/>
      </w:divBdr>
    </w:div>
    <w:div w:id="1960797658">
      <w:bodyDiv w:val="1"/>
      <w:marLeft w:val="0"/>
      <w:marRight w:val="0"/>
      <w:marTop w:val="0"/>
      <w:marBottom w:val="0"/>
      <w:divBdr>
        <w:top w:val="none" w:sz="0" w:space="0" w:color="auto"/>
        <w:left w:val="none" w:sz="0" w:space="0" w:color="auto"/>
        <w:bottom w:val="none" w:sz="0" w:space="0" w:color="auto"/>
        <w:right w:val="none" w:sz="0" w:space="0" w:color="auto"/>
      </w:divBdr>
    </w:div>
    <w:div w:id="1963032052">
      <w:bodyDiv w:val="1"/>
      <w:marLeft w:val="0"/>
      <w:marRight w:val="0"/>
      <w:marTop w:val="0"/>
      <w:marBottom w:val="0"/>
      <w:divBdr>
        <w:top w:val="none" w:sz="0" w:space="0" w:color="auto"/>
        <w:left w:val="none" w:sz="0" w:space="0" w:color="auto"/>
        <w:bottom w:val="none" w:sz="0" w:space="0" w:color="auto"/>
        <w:right w:val="none" w:sz="0" w:space="0" w:color="auto"/>
      </w:divBdr>
    </w:div>
    <w:div w:id="1969434447">
      <w:bodyDiv w:val="1"/>
      <w:marLeft w:val="0"/>
      <w:marRight w:val="0"/>
      <w:marTop w:val="0"/>
      <w:marBottom w:val="0"/>
      <w:divBdr>
        <w:top w:val="none" w:sz="0" w:space="0" w:color="auto"/>
        <w:left w:val="none" w:sz="0" w:space="0" w:color="auto"/>
        <w:bottom w:val="none" w:sz="0" w:space="0" w:color="auto"/>
        <w:right w:val="none" w:sz="0" w:space="0" w:color="auto"/>
      </w:divBdr>
    </w:div>
    <w:div w:id="1971665820">
      <w:bodyDiv w:val="1"/>
      <w:marLeft w:val="0"/>
      <w:marRight w:val="0"/>
      <w:marTop w:val="0"/>
      <w:marBottom w:val="0"/>
      <w:divBdr>
        <w:top w:val="none" w:sz="0" w:space="0" w:color="auto"/>
        <w:left w:val="none" w:sz="0" w:space="0" w:color="auto"/>
        <w:bottom w:val="none" w:sz="0" w:space="0" w:color="auto"/>
        <w:right w:val="none" w:sz="0" w:space="0" w:color="auto"/>
      </w:divBdr>
    </w:div>
    <w:div w:id="1973098875">
      <w:bodyDiv w:val="1"/>
      <w:marLeft w:val="0"/>
      <w:marRight w:val="0"/>
      <w:marTop w:val="0"/>
      <w:marBottom w:val="0"/>
      <w:divBdr>
        <w:top w:val="none" w:sz="0" w:space="0" w:color="auto"/>
        <w:left w:val="none" w:sz="0" w:space="0" w:color="auto"/>
        <w:bottom w:val="none" w:sz="0" w:space="0" w:color="auto"/>
        <w:right w:val="none" w:sz="0" w:space="0" w:color="auto"/>
      </w:divBdr>
    </w:div>
    <w:div w:id="1973317374">
      <w:bodyDiv w:val="1"/>
      <w:marLeft w:val="0"/>
      <w:marRight w:val="0"/>
      <w:marTop w:val="0"/>
      <w:marBottom w:val="0"/>
      <w:divBdr>
        <w:top w:val="none" w:sz="0" w:space="0" w:color="auto"/>
        <w:left w:val="none" w:sz="0" w:space="0" w:color="auto"/>
        <w:bottom w:val="none" w:sz="0" w:space="0" w:color="auto"/>
        <w:right w:val="none" w:sz="0" w:space="0" w:color="auto"/>
      </w:divBdr>
    </w:div>
    <w:div w:id="1976595437">
      <w:bodyDiv w:val="1"/>
      <w:marLeft w:val="0"/>
      <w:marRight w:val="0"/>
      <w:marTop w:val="0"/>
      <w:marBottom w:val="0"/>
      <w:divBdr>
        <w:top w:val="none" w:sz="0" w:space="0" w:color="auto"/>
        <w:left w:val="none" w:sz="0" w:space="0" w:color="auto"/>
        <w:bottom w:val="none" w:sz="0" w:space="0" w:color="auto"/>
        <w:right w:val="none" w:sz="0" w:space="0" w:color="auto"/>
      </w:divBdr>
    </w:div>
    <w:div w:id="1982418457">
      <w:bodyDiv w:val="1"/>
      <w:marLeft w:val="0"/>
      <w:marRight w:val="0"/>
      <w:marTop w:val="0"/>
      <w:marBottom w:val="0"/>
      <w:divBdr>
        <w:top w:val="none" w:sz="0" w:space="0" w:color="auto"/>
        <w:left w:val="none" w:sz="0" w:space="0" w:color="auto"/>
        <w:bottom w:val="none" w:sz="0" w:space="0" w:color="auto"/>
        <w:right w:val="none" w:sz="0" w:space="0" w:color="auto"/>
      </w:divBdr>
    </w:div>
    <w:div w:id="1986740935">
      <w:bodyDiv w:val="1"/>
      <w:marLeft w:val="0"/>
      <w:marRight w:val="0"/>
      <w:marTop w:val="0"/>
      <w:marBottom w:val="0"/>
      <w:divBdr>
        <w:top w:val="none" w:sz="0" w:space="0" w:color="auto"/>
        <w:left w:val="none" w:sz="0" w:space="0" w:color="auto"/>
        <w:bottom w:val="none" w:sz="0" w:space="0" w:color="auto"/>
        <w:right w:val="none" w:sz="0" w:space="0" w:color="auto"/>
      </w:divBdr>
    </w:div>
    <w:div w:id="1991523182">
      <w:bodyDiv w:val="1"/>
      <w:marLeft w:val="0"/>
      <w:marRight w:val="0"/>
      <w:marTop w:val="0"/>
      <w:marBottom w:val="0"/>
      <w:divBdr>
        <w:top w:val="none" w:sz="0" w:space="0" w:color="auto"/>
        <w:left w:val="none" w:sz="0" w:space="0" w:color="auto"/>
        <w:bottom w:val="none" w:sz="0" w:space="0" w:color="auto"/>
        <w:right w:val="none" w:sz="0" w:space="0" w:color="auto"/>
      </w:divBdr>
    </w:div>
    <w:div w:id="1995988019">
      <w:bodyDiv w:val="1"/>
      <w:marLeft w:val="0"/>
      <w:marRight w:val="0"/>
      <w:marTop w:val="0"/>
      <w:marBottom w:val="0"/>
      <w:divBdr>
        <w:top w:val="none" w:sz="0" w:space="0" w:color="auto"/>
        <w:left w:val="none" w:sz="0" w:space="0" w:color="auto"/>
        <w:bottom w:val="none" w:sz="0" w:space="0" w:color="auto"/>
        <w:right w:val="none" w:sz="0" w:space="0" w:color="auto"/>
      </w:divBdr>
    </w:div>
    <w:div w:id="2007053412">
      <w:bodyDiv w:val="1"/>
      <w:marLeft w:val="0"/>
      <w:marRight w:val="0"/>
      <w:marTop w:val="0"/>
      <w:marBottom w:val="0"/>
      <w:divBdr>
        <w:top w:val="none" w:sz="0" w:space="0" w:color="auto"/>
        <w:left w:val="none" w:sz="0" w:space="0" w:color="auto"/>
        <w:bottom w:val="none" w:sz="0" w:space="0" w:color="auto"/>
        <w:right w:val="none" w:sz="0" w:space="0" w:color="auto"/>
      </w:divBdr>
    </w:div>
    <w:div w:id="2015066894">
      <w:bodyDiv w:val="1"/>
      <w:marLeft w:val="0"/>
      <w:marRight w:val="0"/>
      <w:marTop w:val="0"/>
      <w:marBottom w:val="0"/>
      <w:divBdr>
        <w:top w:val="none" w:sz="0" w:space="0" w:color="auto"/>
        <w:left w:val="none" w:sz="0" w:space="0" w:color="auto"/>
        <w:bottom w:val="none" w:sz="0" w:space="0" w:color="auto"/>
        <w:right w:val="none" w:sz="0" w:space="0" w:color="auto"/>
      </w:divBdr>
    </w:div>
    <w:div w:id="2022781860">
      <w:bodyDiv w:val="1"/>
      <w:marLeft w:val="0"/>
      <w:marRight w:val="0"/>
      <w:marTop w:val="0"/>
      <w:marBottom w:val="0"/>
      <w:divBdr>
        <w:top w:val="none" w:sz="0" w:space="0" w:color="auto"/>
        <w:left w:val="none" w:sz="0" w:space="0" w:color="auto"/>
        <w:bottom w:val="none" w:sz="0" w:space="0" w:color="auto"/>
        <w:right w:val="none" w:sz="0" w:space="0" w:color="auto"/>
      </w:divBdr>
    </w:div>
    <w:div w:id="2029721065">
      <w:bodyDiv w:val="1"/>
      <w:marLeft w:val="0"/>
      <w:marRight w:val="0"/>
      <w:marTop w:val="0"/>
      <w:marBottom w:val="0"/>
      <w:divBdr>
        <w:top w:val="none" w:sz="0" w:space="0" w:color="auto"/>
        <w:left w:val="none" w:sz="0" w:space="0" w:color="auto"/>
        <w:bottom w:val="none" w:sz="0" w:space="0" w:color="auto"/>
        <w:right w:val="none" w:sz="0" w:space="0" w:color="auto"/>
      </w:divBdr>
    </w:div>
    <w:div w:id="2033915215">
      <w:bodyDiv w:val="1"/>
      <w:marLeft w:val="0"/>
      <w:marRight w:val="0"/>
      <w:marTop w:val="0"/>
      <w:marBottom w:val="0"/>
      <w:divBdr>
        <w:top w:val="none" w:sz="0" w:space="0" w:color="auto"/>
        <w:left w:val="none" w:sz="0" w:space="0" w:color="auto"/>
        <w:bottom w:val="none" w:sz="0" w:space="0" w:color="auto"/>
        <w:right w:val="none" w:sz="0" w:space="0" w:color="auto"/>
      </w:divBdr>
    </w:div>
    <w:div w:id="2034114360">
      <w:bodyDiv w:val="1"/>
      <w:marLeft w:val="0"/>
      <w:marRight w:val="0"/>
      <w:marTop w:val="0"/>
      <w:marBottom w:val="0"/>
      <w:divBdr>
        <w:top w:val="none" w:sz="0" w:space="0" w:color="auto"/>
        <w:left w:val="none" w:sz="0" w:space="0" w:color="auto"/>
        <w:bottom w:val="none" w:sz="0" w:space="0" w:color="auto"/>
        <w:right w:val="none" w:sz="0" w:space="0" w:color="auto"/>
      </w:divBdr>
    </w:div>
    <w:div w:id="2039618505">
      <w:bodyDiv w:val="1"/>
      <w:marLeft w:val="0"/>
      <w:marRight w:val="0"/>
      <w:marTop w:val="0"/>
      <w:marBottom w:val="0"/>
      <w:divBdr>
        <w:top w:val="none" w:sz="0" w:space="0" w:color="auto"/>
        <w:left w:val="none" w:sz="0" w:space="0" w:color="auto"/>
        <w:bottom w:val="none" w:sz="0" w:space="0" w:color="auto"/>
        <w:right w:val="none" w:sz="0" w:space="0" w:color="auto"/>
      </w:divBdr>
    </w:div>
    <w:div w:id="2045278777">
      <w:bodyDiv w:val="1"/>
      <w:marLeft w:val="0"/>
      <w:marRight w:val="0"/>
      <w:marTop w:val="0"/>
      <w:marBottom w:val="0"/>
      <w:divBdr>
        <w:top w:val="none" w:sz="0" w:space="0" w:color="auto"/>
        <w:left w:val="none" w:sz="0" w:space="0" w:color="auto"/>
        <w:bottom w:val="none" w:sz="0" w:space="0" w:color="auto"/>
        <w:right w:val="none" w:sz="0" w:space="0" w:color="auto"/>
      </w:divBdr>
    </w:div>
    <w:div w:id="2046444063">
      <w:bodyDiv w:val="1"/>
      <w:marLeft w:val="0"/>
      <w:marRight w:val="0"/>
      <w:marTop w:val="0"/>
      <w:marBottom w:val="0"/>
      <w:divBdr>
        <w:top w:val="none" w:sz="0" w:space="0" w:color="auto"/>
        <w:left w:val="none" w:sz="0" w:space="0" w:color="auto"/>
        <w:bottom w:val="none" w:sz="0" w:space="0" w:color="auto"/>
        <w:right w:val="none" w:sz="0" w:space="0" w:color="auto"/>
      </w:divBdr>
    </w:div>
    <w:div w:id="2047019499">
      <w:bodyDiv w:val="1"/>
      <w:marLeft w:val="0"/>
      <w:marRight w:val="0"/>
      <w:marTop w:val="0"/>
      <w:marBottom w:val="0"/>
      <w:divBdr>
        <w:top w:val="none" w:sz="0" w:space="0" w:color="auto"/>
        <w:left w:val="none" w:sz="0" w:space="0" w:color="auto"/>
        <w:bottom w:val="none" w:sz="0" w:space="0" w:color="auto"/>
        <w:right w:val="none" w:sz="0" w:space="0" w:color="auto"/>
      </w:divBdr>
    </w:div>
    <w:div w:id="2047171822">
      <w:bodyDiv w:val="1"/>
      <w:marLeft w:val="0"/>
      <w:marRight w:val="0"/>
      <w:marTop w:val="0"/>
      <w:marBottom w:val="0"/>
      <w:divBdr>
        <w:top w:val="none" w:sz="0" w:space="0" w:color="auto"/>
        <w:left w:val="none" w:sz="0" w:space="0" w:color="auto"/>
        <w:bottom w:val="none" w:sz="0" w:space="0" w:color="auto"/>
        <w:right w:val="none" w:sz="0" w:space="0" w:color="auto"/>
      </w:divBdr>
    </w:div>
    <w:div w:id="2049909087">
      <w:bodyDiv w:val="1"/>
      <w:marLeft w:val="0"/>
      <w:marRight w:val="0"/>
      <w:marTop w:val="0"/>
      <w:marBottom w:val="0"/>
      <w:divBdr>
        <w:top w:val="none" w:sz="0" w:space="0" w:color="auto"/>
        <w:left w:val="none" w:sz="0" w:space="0" w:color="auto"/>
        <w:bottom w:val="none" w:sz="0" w:space="0" w:color="auto"/>
        <w:right w:val="none" w:sz="0" w:space="0" w:color="auto"/>
      </w:divBdr>
    </w:div>
    <w:div w:id="2052412317">
      <w:bodyDiv w:val="1"/>
      <w:marLeft w:val="0"/>
      <w:marRight w:val="0"/>
      <w:marTop w:val="0"/>
      <w:marBottom w:val="0"/>
      <w:divBdr>
        <w:top w:val="none" w:sz="0" w:space="0" w:color="auto"/>
        <w:left w:val="none" w:sz="0" w:space="0" w:color="auto"/>
        <w:bottom w:val="none" w:sz="0" w:space="0" w:color="auto"/>
        <w:right w:val="none" w:sz="0" w:space="0" w:color="auto"/>
      </w:divBdr>
    </w:div>
    <w:div w:id="2053069692">
      <w:bodyDiv w:val="1"/>
      <w:marLeft w:val="0"/>
      <w:marRight w:val="0"/>
      <w:marTop w:val="0"/>
      <w:marBottom w:val="0"/>
      <w:divBdr>
        <w:top w:val="none" w:sz="0" w:space="0" w:color="auto"/>
        <w:left w:val="none" w:sz="0" w:space="0" w:color="auto"/>
        <w:bottom w:val="none" w:sz="0" w:space="0" w:color="auto"/>
        <w:right w:val="none" w:sz="0" w:space="0" w:color="auto"/>
      </w:divBdr>
    </w:div>
    <w:div w:id="2057582145">
      <w:bodyDiv w:val="1"/>
      <w:marLeft w:val="0"/>
      <w:marRight w:val="0"/>
      <w:marTop w:val="0"/>
      <w:marBottom w:val="0"/>
      <w:divBdr>
        <w:top w:val="none" w:sz="0" w:space="0" w:color="auto"/>
        <w:left w:val="none" w:sz="0" w:space="0" w:color="auto"/>
        <w:bottom w:val="none" w:sz="0" w:space="0" w:color="auto"/>
        <w:right w:val="none" w:sz="0" w:space="0" w:color="auto"/>
      </w:divBdr>
    </w:div>
    <w:div w:id="2065447842">
      <w:bodyDiv w:val="1"/>
      <w:marLeft w:val="0"/>
      <w:marRight w:val="0"/>
      <w:marTop w:val="0"/>
      <w:marBottom w:val="0"/>
      <w:divBdr>
        <w:top w:val="none" w:sz="0" w:space="0" w:color="auto"/>
        <w:left w:val="none" w:sz="0" w:space="0" w:color="auto"/>
        <w:bottom w:val="none" w:sz="0" w:space="0" w:color="auto"/>
        <w:right w:val="none" w:sz="0" w:space="0" w:color="auto"/>
      </w:divBdr>
    </w:div>
    <w:div w:id="2078435370">
      <w:bodyDiv w:val="1"/>
      <w:marLeft w:val="0"/>
      <w:marRight w:val="0"/>
      <w:marTop w:val="0"/>
      <w:marBottom w:val="0"/>
      <w:divBdr>
        <w:top w:val="none" w:sz="0" w:space="0" w:color="auto"/>
        <w:left w:val="none" w:sz="0" w:space="0" w:color="auto"/>
        <w:bottom w:val="none" w:sz="0" w:space="0" w:color="auto"/>
        <w:right w:val="none" w:sz="0" w:space="0" w:color="auto"/>
      </w:divBdr>
    </w:div>
    <w:div w:id="2088111941">
      <w:bodyDiv w:val="1"/>
      <w:marLeft w:val="0"/>
      <w:marRight w:val="0"/>
      <w:marTop w:val="0"/>
      <w:marBottom w:val="0"/>
      <w:divBdr>
        <w:top w:val="none" w:sz="0" w:space="0" w:color="auto"/>
        <w:left w:val="none" w:sz="0" w:space="0" w:color="auto"/>
        <w:bottom w:val="none" w:sz="0" w:space="0" w:color="auto"/>
        <w:right w:val="none" w:sz="0" w:space="0" w:color="auto"/>
      </w:divBdr>
    </w:div>
    <w:div w:id="2098205916">
      <w:bodyDiv w:val="1"/>
      <w:marLeft w:val="0"/>
      <w:marRight w:val="0"/>
      <w:marTop w:val="0"/>
      <w:marBottom w:val="0"/>
      <w:divBdr>
        <w:top w:val="none" w:sz="0" w:space="0" w:color="auto"/>
        <w:left w:val="none" w:sz="0" w:space="0" w:color="auto"/>
        <w:bottom w:val="none" w:sz="0" w:space="0" w:color="auto"/>
        <w:right w:val="none" w:sz="0" w:space="0" w:color="auto"/>
      </w:divBdr>
    </w:div>
    <w:div w:id="2099936565">
      <w:bodyDiv w:val="1"/>
      <w:marLeft w:val="0"/>
      <w:marRight w:val="0"/>
      <w:marTop w:val="0"/>
      <w:marBottom w:val="0"/>
      <w:divBdr>
        <w:top w:val="none" w:sz="0" w:space="0" w:color="auto"/>
        <w:left w:val="none" w:sz="0" w:space="0" w:color="auto"/>
        <w:bottom w:val="none" w:sz="0" w:space="0" w:color="auto"/>
        <w:right w:val="none" w:sz="0" w:space="0" w:color="auto"/>
      </w:divBdr>
    </w:div>
    <w:div w:id="2112847671">
      <w:bodyDiv w:val="1"/>
      <w:marLeft w:val="0"/>
      <w:marRight w:val="0"/>
      <w:marTop w:val="0"/>
      <w:marBottom w:val="0"/>
      <w:divBdr>
        <w:top w:val="none" w:sz="0" w:space="0" w:color="auto"/>
        <w:left w:val="none" w:sz="0" w:space="0" w:color="auto"/>
        <w:bottom w:val="none" w:sz="0" w:space="0" w:color="auto"/>
        <w:right w:val="none" w:sz="0" w:space="0" w:color="auto"/>
      </w:divBdr>
    </w:div>
    <w:div w:id="2117210454">
      <w:bodyDiv w:val="1"/>
      <w:marLeft w:val="0"/>
      <w:marRight w:val="0"/>
      <w:marTop w:val="0"/>
      <w:marBottom w:val="0"/>
      <w:divBdr>
        <w:top w:val="none" w:sz="0" w:space="0" w:color="auto"/>
        <w:left w:val="none" w:sz="0" w:space="0" w:color="auto"/>
        <w:bottom w:val="none" w:sz="0" w:space="0" w:color="auto"/>
        <w:right w:val="none" w:sz="0" w:space="0" w:color="auto"/>
      </w:divBdr>
    </w:div>
    <w:div w:id="2136826222">
      <w:bodyDiv w:val="1"/>
      <w:marLeft w:val="0"/>
      <w:marRight w:val="0"/>
      <w:marTop w:val="0"/>
      <w:marBottom w:val="0"/>
      <w:divBdr>
        <w:top w:val="none" w:sz="0" w:space="0" w:color="auto"/>
        <w:left w:val="none" w:sz="0" w:space="0" w:color="auto"/>
        <w:bottom w:val="none" w:sz="0" w:space="0" w:color="auto"/>
        <w:right w:val="none" w:sz="0" w:space="0" w:color="auto"/>
      </w:divBdr>
    </w:div>
    <w:div w:id="2138138950">
      <w:bodyDiv w:val="1"/>
      <w:marLeft w:val="0"/>
      <w:marRight w:val="0"/>
      <w:marTop w:val="0"/>
      <w:marBottom w:val="0"/>
      <w:divBdr>
        <w:top w:val="none" w:sz="0" w:space="0" w:color="auto"/>
        <w:left w:val="none" w:sz="0" w:space="0" w:color="auto"/>
        <w:bottom w:val="none" w:sz="0" w:space="0" w:color="auto"/>
        <w:right w:val="none" w:sz="0" w:space="0" w:color="auto"/>
      </w:divBdr>
    </w:div>
    <w:div w:id="214207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8eafc27-e9d1-4899-90cb-5076d0c0d9aa">A7X43KCYNMQZ-1560155326-555</_dlc_DocId>
    <_dlc_DocIdUrl xmlns="78eafc27-e9d1-4899-90cb-5076d0c0d9aa">
      <Url>https://team.fb.vlaanderen.be/DOC/DFBBegroting/BEGR/AB/2019/_layouts/15/DocIdRedir.aspx?ID=A7X43KCYNMQZ-1560155326-555</Url>
      <Description>A7X43KCYNMQZ-1560155326-555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A8D92984272B42901F2D6E5F2D404C" ma:contentTypeVersion="1" ma:contentTypeDescription="Een nieuw document maken." ma:contentTypeScope="" ma:versionID="b47ba7815a10729224df87cf20e1d6ac">
  <xsd:schema xmlns:xsd="http://www.w3.org/2001/XMLSchema" xmlns:xs="http://www.w3.org/2001/XMLSchema" xmlns:p="http://schemas.microsoft.com/office/2006/metadata/properties" xmlns:ns2="78eafc27-e9d1-4899-90cb-5076d0c0d9aa" targetNamespace="http://schemas.microsoft.com/office/2006/metadata/properties" ma:root="true" ma:fieldsID="6b0780a94bea0472bc4970c6e4a803b1" ns2:_="">
    <xsd:import namespace="78eafc27-e9d1-4899-90cb-5076d0c0d9a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eafc27-e9d1-4899-90cb-5076d0c0d9aa"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242E5-9AD5-4B99-9491-F51BAEB600CC}">
  <ds:schemaRefs>
    <ds:schemaRef ds:uri="http://schemas.microsoft.com/office/2006/metadata/properties"/>
    <ds:schemaRef ds:uri="http://schemas.microsoft.com/office/infopath/2007/PartnerControls"/>
    <ds:schemaRef ds:uri="78eafc27-e9d1-4899-90cb-5076d0c0d9aa"/>
  </ds:schemaRefs>
</ds:datastoreItem>
</file>

<file path=customXml/itemProps2.xml><?xml version="1.0" encoding="utf-8"?>
<ds:datastoreItem xmlns:ds="http://schemas.openxmlformats.org/officeDocument/2006/customXml" ds:itemID="{B4A0961C-614F-486C-8943-F66690B46AAA}">
  <ds:schemaRefs>
    <ds:schemaRef ds:uri="http://schemas.microsoft.com/sharepoint/v3/contenttype/forms"/>
  </ds:schemaRefs>
</ds:datastoreItem>
</file>

<file path=customXml/itemProps3.xml><?xml version="1.0" encoding="utf-8"?>
<ds:datastoreItem xmlns:ds="http://schemas.openxmlformats.org/officeDocument/2006/customXml" ds:itemID="{7DFE1BDC-CBF4-4E00-9CA0-7E457D533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eafc27-e9d1-4899-90cb-5076d0c0d9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E4DD6-441B-4100-AC2D-3FA3A74DDFC5}">
  <ds:schemaRefs>
    <ds:schemaRef ds:uri="http://schemas.microsoft.com/sharepoint/events"/>
  </ds:schemaRefs>
</ds:datastoreItem>
</file>

<file path=customXml/itemProps5.xml><?xml version="1.0" encoding="utf-8"?>
<ds:datastoreItem xmlns:ds="http://schemas.openxmlformats.org/officeDocument/2006/customXml" ds:itemID="{D2689B38-141D-40A6-BA7E-6EFA0340F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5640</Words>
  <Characters>31023</Characters>
  <Application>Microsoft Office Word</Application>
  <DocSecurity>0</DocSecurity>
  <Lines>258</Lines>
  <Paragraphs>73</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36590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 Kerckhove, Pieter</dc:creator>
  <cp:lastModifiedBy>Bart Debrabandere</cp:lastModifiedBy>
  <cp:revision>2</cp:revision>
  <cp:lastPrinted>2019-11-26T08:36:00Z</cp:lastPrinted>
  <dcterms:created xsi:type="dcterms:W3CDTF">2020-03-06T08:54:00Z</dcterms:created>
  <dcterms:modified xsi:type="dcterms:W3CDTF">2020-03-06T08:54:00Z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0x01010048A8D92984272B42901F2D6E5F2D404C</vt:lpwstr>
  </property>
  <property fmtid="{D5CDD505-2E9C-101B-9397-08002B2CF9AE}" pid="3" name="_dlc_DocIdItemGuid">
    <vt:lpwstr>901b79e0-4000-4881-b72f-13ba96076171</vt:lpwstr>
  </property>
</Properties>
</file>