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45456" w14:textId="77777777" w:rsidR="00CF50D2" w:rsidRPr="00415C30" w:rsidRDefault="00CF50D2" w:rsidP="00CF50D2">
      <w:pPr>
        <w:rPr>
          <w:rFonts w:eastAsia="Verdana"/>
          <w:u w:val="single"/>
          <w:lang w:val="nl-BE"/>
        </w:rPr>
      </w:pPr>
      <w:bookmarkStart w:id="0" w:name="_GoBack"/>
      <w:bookmarkEnd w:id="0"/>
      <w:r w:rsidRPr="00415C30">
        <w:rPr>
          <w:rFonts w:eastAsia="Verdana"/>
          <w:u w:val="single"/>
          <w:lang w:val="nl-BE"/>
        </w:rPr>
        <w:t>Bijlage 5</w:t>
      </w:r>
      <w:r w:rsidR="00766DCB" w:rsidRPr="00415C30">
        <w:rPr>
          <w:rFonts w:eastAsia="Verdana"/>
          <w:u w:val="single"/>
          <w:lang w:val="nl-BE"/>
        </w:rPr>
        <w:t xml:space="preserve"> - belangen m</w:t>
      </w:r>
      <w:r w:rsidRPr="00415C30">
        <w:rPr>
          <w:rFonts w:eastAsia="Verdana"/>
          <w:u w:val="single"/>
          <w:lang w:val="nl-BE"/>
        </w:rPr>
        <w:t xml:space="preserve">et betrekking tot de onderhandelingen tussen de EU en Australië </w:t>
      </w:r>
      <w:r w:rsidR="00766DCB" w:rsidRPr="00415C30">
        <w:rPr>
          <w:rFonts w:eastAsia="Verdana"/>
          <w:u w:val="single"/>
          <w:lang w:val="nl-BE"/>
        </w:rPr>
        <w:t>waarop Vlaanderen zal inzetten:</w:t>
      </w:r>
    </w:p>
    <w:p w14:paraId="0824674C" w14:textId="77777777" w:rsidR="00766DCB" w:rsidRDefault="00766DCB" w:rsidP="00CF50D2">
      <w:pPr>
        <w:rPr>
          <w:rFonts w:eastAsia="Verdana"/>
          <w:lang w:val="nl-BE"/>
        </w:rPr>
      </w:pPr>
    </w:p>
    <w:p w14:paraId="779B926B" w14:textId="77777777" w:rsidR="00CF50D2" w:rsidRPr="002B113F" w:rsidRDefault="00CF50D2" w:rsidP="00CF50D2">
      <w:pPr>
        <w:pStyle w:val="Lijstalinea"/>
        <w:numPr>
          <w:ilvl w:val="0"/>
          <w:numId w:val="1"/>
        </w:numPr>
        <w:ind w:left="567"/>
        <w:rPr>
          <w:rFonts w:eastAsia="Verdana"/>
          <w:lang w:val="nl-BE"/>
        </w:rPr>
      </w:pPr>
      <w:r w:rsidRPr="002B113F">
        <w:rPr>
          <w:rFonts w:eastAsia="Verdana"/>
        </w:rPr>
        <w:t>volgende offensieve belangen:</w:t>
      </w:r>
    </w:p>
    <w:p w14:paraId="264CFB79" w14:textId="77777777" w:rsidR="00CF50D2" w:rsidRPr="002B113F" w:rsidRDefault="00CF50D2" w:rsidP="00CF50D2">
      <w:pPr>
        <w:pStyle w:val="Lijstalinea"/>
        <w:numPr>
          <w:ilvl w:val="1"/>
          <w:numId w:val="1"/>
        </w:numPr>
        <w:ind w:left="851"/>
        <w:rPr>
          <w:rFonts w:eastAsia="Verdana"/>
        </w:rPr>
      </w:pPr>
      <w:r w:rsidRPr="002B113F">
        <w:rPr>
          <w:rFonts w:eastAsia="Verdana"/>
        </w:rPr>
        <w:t>het verwijderen van tarifaire en niet-tarifaire belemmeringen, wat betreft goederen vooral in de grootste Vlaamse uitvoersectoren 1) farma, 2) machines en elektrisch materieel, 3) optica, 4) wegtransportmaterieel, en 5) organische chemie, alsook voor 6) voeding en dranken, en meer algemeen in de domeinen van de (6) openbare aanbestedingen en (7) de diensten.</w:t>
      </w:r>
    </w:p>
    <w:p w14:paraId="72581A4F" w14:textId="77777777" w:rsidR="00CF50D2" w:rsidRPr="002B113F" w:rsidRDefault="00CF50D2" w:rsidP="00CF50D2">
      <w:pPr>
        <w:pStyle w:val="Lijstalinea"/>
        <w:numPr>
          <w:ilvl w:val="1"/>
          <w:numId w:val="1"/>
        </w:numPr>
        <w:ind w:left="851"/>
        <w:rPr>
          <w:rFonts w:eastAsia="Verdana"/>
        </w:rPr>
      </w:pPr>
      <w:r w:rsidRPr="002B113F">
        <w:rPr>
          <w:rFonts w:eastAsia="Verdana"/>
        </w:rPr>
        <w:t>het sluiten van moderne en gebalanceerde investeringsbepalingen, bij voorkeur opgesplitst cfr. het advies van het HJEU, en met wat betreft markttoegang bijzondere aandacht voor de kansrijke sectoren voor Vlaanderen.</w:t>
      </w:r>
    </w:p>
    <w:p w14:paraId="38F6423C" w14:textId="77777777" w:rsidR="00CF50D2" w:rsidRPr="002B113F" w:rsidRDefault="00CF50D2" w:rsidP="00CF50D2">
      <w:pPr>
        <w:pStyle w:val="Lijstalinea"/>
        <w:numPr>
          <w:ilvl w:val="1"/>
          <w:numId w:val="1"/>
        </w:numPr>
        <w:ind w:left="851"/>
        <w:rPr>
          <w:rFonts w:eastAsia="Verdana"/>
        </w:rPr>
      </w:pPr>
      <w:r w:rsidRPr="002B113F">
        <w:rPr>
          <w:rFonts w:eastAsia="Verdana"/>
        </w:rPr>
        <w:t>regelgevende samenwerking, in het bijzonder voor wat (1) sanitaire en fytosanitaire regels, (2) TBT, (3) NTB en (4) douaneregels betreft.</w:t>
      </w:r>
    </w:p>
    <w:p w14:paraId="5A57C340" w14:textId="77777777" w:rsidR="00CF50D2" w:rsidRPr="002B113F" w:rsidRDefault="00CF50D2" w:rsidP="00CF50D2">
      <w:pPr>
        <w:pStyle w:val="Lijstalinea"/>
        <w:numPr>
          <w:ilvl w:val="1"/>
          <w:numId w:val="1"/>
        </w:numPr>
        <w:ind w:left="851"/>
        <w:rPr>
          <w:rFonts w:eastAsia="Verdana"/>
        </w:rPr>
      </w:pPr>
      <w:r w:rsidRPr="002B113F">
        <w:rPr>
          <w:rFonts w:eastAsia="Verdana"/>
        </w:rPr>
        <w:t>de harmonisering van de regelgeving inzake intellectueel eigendom.</w:t>
      </w:r>
    </w:p>
    <w:p w14:paraId="73EA44B7" w14:textId="77777777" w:rsidR="00CF50D2" w:rsidRPr="002B113F" w:rsidRDefault="00CF50D2" w:rsidP="00CF50D2">
      <w:pPr>
        <w:pStyle w:val="Lijstalinea"/>
        <w:numPr>
          <w:ilvl w:val="1"/>
          <w:numId w:val="1"/>
        </w:numPr>
        <w:ind w:left="851"/>
        <w:rPr>
          <w:rFonts w:eastAsia="Verdana"/>
        </w:rPr>
      </w:pPr>
      <w:r w:rsidRPr="002B113F">
        <w:rPr>
          <w:rFonts w:eastAsia="Verdana"/>
        </w:rPr>
        <w:t xml:space="preserve">het horizontaal faciliteren van de handel voor </w:t>
      </w:r>
      <w:r>
        <w:rPr>
          <w:rFonts w:eastAsia="Verdana"/>
        </w:rPr>
        <w:t>kmo</w:t>
      </w:r>
      <w:r w:rsidRPr="002B113F">
        <w:rPr>
          <w:rFonts w:eastAsia="Verdana"/>
        </w:rPr>
        <w:t>’s.</w:t>
      </w:r>
    </w:p>
    <w:p w14:paraId="7D5B11D8" w14:textId="77777777" w:rsidR="00CF50D2" w:rsidRPr="002B113F" w:rsidRDefault="00CF50D2" w:rsidP="00CF50D2">
      <w:pPr>
        <w:rPr>
          <w:rFonts w:eastAsia="Verdana"/>
        </w:rPr>
      </w:pPr>
    </w:p>
    <w:p w14:paraId="29C884EE" w14:textId="77777777" w:rsidR="00CF50D2" w:rsidRPr="002B113F" w:rsidRDefault="00CF50D2" w:rsidP="00CF50D2">
      <w:pPr>
        <w:pStyle w:val="Lijstalinea"/>
        <w:numPr>
          <w:ilvl w:val="0"/>
          <w:numId w:val="1"/>
        </w:numPr>
        <w:ind w:left="567"/>
        <w:rPr>
          <w:rFonts w:eastAsia="Verdana"/>
        </w:rPr>
      </w:pPr>
      <w:r w:rsidRPr="002B113F">
        <w:rPr>
          <w:rFonts w:eastAsia="Verdana"/>
        </w:rPr>
        <w:t>volgende defensieve belangen:</w:t>
      </w:r>
    </w:p>
    <w:p w14:paraId="0CA062E0" w14:textId="77777777" w:rsidR="00CF50D2" w:rsidRPr="002B113F" w:rsidRDefault="00CF50D2" w:rsidP="00CF50D2">
      <w:pPr>
        <w:pStyle w:val="Lijstalinea"/>
        <w:numPr>
          <w:ilvl w:val="1"/>
          <w:numId w:val="1"/>
        </w:numPr>
        <w:ind w:left="851"/>
        <w:rPr>
          <w:rFonts w:eastAsia="Verdana"/>
        </w:rPr>
      </w:pPr>
      <w:r w:rsidRPr="002B113F">
        <w:rPr>
          <w:rFonts w:eastAsia="Verdana"/>
        </w:rPr>
        <w:t>de gedifferentieerde behandeling van gevoelige landbouwproducten om mogelijke marktverstoring te vermijden, vooral voor rundvlees van hoge kwaliteit.</w:t>
      </w:r>
    </w:p>
    <w:p w14:paraId="7FFDD8A1" w14:textId="77777777" w:rsidR="00CF50D2" w:rsidRPr="002B113F" w:rsidRDefault="00CF50D2" w:rsidP="00CF50D2">
      <w:pPr>
        <w:pStyle w:val="Lijstalinea"/>
        <w:numPr>
          <w:ilvl w:val="1"/>
          <w:numId w:val="1"/>
        </w:numPr>
        <w:ind w:left="851"/>
        <w:rPr>
          <w:rFonts w:eastAsia="Verdana"/>
        </w:rPr>
      </w:pPr>
      <w:r w:rsidRPr="002B113F">
        <w:rPr>
          <w:rFonts w:eastAsia="Verdana"/>
        </w:rPr>
        <w:t>het behouden van de culturele exceptie, zoals ook geformuleerd in het mandaat voor de TTIP onderhandelingen.</w:t>
      </w:r>
    </w:p>
    <w:p w14:paraId="486C8D9A" w14:textId="77777777" w:rsidR="00CF50D2" w:rsidRPr="002B113F" w:rsidRDefault="00CF50D2" w:rsidP="00CF50D2">
      <w:pPr>
        <w:pStyle w:val="Lijstalinea"/>
        <w:numPr>
          <w:ilvl w:val="1"/>
          <w:numId w:val="1"/>
        </w:numPr>
        <w:ind w:left="851"/>
        <w:rPr>
          <w:rFonts w:eastAsia="Verdana"/>
        </w:rPr>
      </w:pPr>
      <w:r w:rsidRPr="002B113F">
        <w:rPr>
          <w:rFonts w:eastAsia="Verdana"/>
        </w:rPr>
        <w:t>de gedifferentieerde behandeling van audiovisuele diensten waarbij Vlaanderen de dubbele natuur erkent van de audiovisuele diensten en op gepaste wijze hieraan bescherming biedt door bijvoorbeeld uitsluiting uit de onderhandelingen, het gebruik van negatieve lijsten waarbij de audiovisuele sector naar een annex II geplaatst wordt, of een andere keuze of methode.</w:t>
      </w:r>
    </w:p>
    <w:p w14:paraId="07812331" w14:textId="77777777" w:rsidR="00CF50D2" w:rsidRPr="002B113F" w:rsidRDefault="00CF50D2" w:rsidP="00CF50D2">
      <w:pPr>
        <w:pStyle w:val="Lijstalinea"/>
        <w:numPr>
          <w:ilvl w:val="1"/>
          <w:numId w:val="1"/>
        </w:numPr>
        <w:ind w:left="851"/>
        <w:rPr>
          <w:rFonts w:eastAsia="Verdana"/>
        </w:rPr>
      </w:pPr>
      <w:r w:rsidRPr="002B113F">
        <w:rPr>
          <w:rFonts w:eastAsia="Verdana"/>
        </w:rPr>
        <w:t>de gedifferentieerde behandeling van openbare diensten en diensten van algemeen belang conform de manier waarop deze ook zijn opgenomen in het TTIP-mandaat.</w:t>
      </w:r>
    </w:p>
    <w:p w14:paraId="002FC4E7" w14:textId="77777777" w:rsidR="00CF50D2" w:rsidRPr="002B113F" w:rsidRDefault="00CF50D2" w:rsidP="00CF50D2">
      <w:pPr>
        <w:pStyle w:val="Lijstalinea"/>
        <w:numPr>
          <w:ilvl w:val="1"/>
          <w:numId w:val="1"/>
        </w:numPr>
        <w:ind w:left="851"/>
        <w:rPr>
          <w:rFonts w:eastAsia="Verdana"/>
        </w:rPr>
      </w:pPr>
      <w:r w:rsidRPr="002B113F">
        <w:rPr>
          <w:rFonts w:eastAsia="Verdana"/>
        </w:rPr>
        <w:t>het behoud van de huidige regels inzake het verblijf op het grondgebied en het verlenen van arbeidskaarten volgens de regels van de bevoegde overheden en het eisen van voorafgaand overleg in het geval bijkomende engagementen zouden overwogen worden dan deze die momenteel in andere, bestaande vrijhandelsakkoorden zijn aangegaan.</w:t>
      </w:r>
    </w:p>
    <w:p w14:paraId="43A18AF0" w14:textId="77777777" w:rsidR="00CF50D2" w:rsidRPr="002B113F" w:rsidRDefault="00CF50D2" w:rsidP="00CF50D2">
      <w:pPr>
        <w:rPr>
          <w:rFonts w:eastAsia="Verdana"/>
        </w:rPr>
      </w:pPr>
    </w:p>
    <w:p w14:paraId="275BFBCC" w14:textId="77777777" w:rsidR="00CF50D2" w:rsidRPr="002B113F" w:rsidRDefault="00CF50D2" w:rsidP="00CF50D2">
      <w:pPr>
        <w:pStyle w:val="Lijstalinea"/>
        <w:numPr>
          <w:ilvl w:val="0"/>
          <w:numId w:val="1"/>
        </w:numPr>
        <w:ind w:left="567"/>
        <w:rPr>
          <w:rFonts w:eastAsia="Verdana"/>
        </w:rPr>
      </w:pPr>
      <w:r w:rsidRPr="002B113F">
        <w:rPr>
          <w:rFonts w:eastAsia="Verdana"/>
        </w:rPr>
        <w:t xml:space="preserve">bij deze onderhandelingen een specifiek luik duurzame ontwikkeling in het mandaat eist waarin milieu-, sociale en arbeidsstandaarden worden opgenomen. </w:t>
      </w:r>
    </w:p>
    <w:p w14:paraId="0ED78479" w14:textId="77777777" w:rsidR="00CF50D2" w:rsidRPr="002B113F" w:rsidRDefault="00CF50D2" w:rsidP="00CF50D2">
      <w:pPr>
        <w:rPr>
          <w:rFonts w:eastAsia="Verdana"/>
        </w:rPr>
      </w:pPr>
    </w:p>
    <w:p w14:paraId="7D01D4BE" w14:textId="77777777" w:rsidR="00CF50D2" w:rsidRDefault="00CF50D2" w:rsidP="00CF50D2">
      <w:pPr>
        <w:pStyle w:val="Lijstalinea"/>
        <w:numPr>
          <w:ilvl w:val="0"/>
          <w:numId w:val="1"/>
        </w:numPr>
        <w:ind w:left="567"/>
        <w:rPr>
          <w:rFonts w:eastAsia="Verdana"/>
        </w:rPr>
      </w:pPr>
      <w:r w:rsidRPr="002B113F">
        <w:rPr>
          <w:rFonts w:eastAsia="Verdana"/>
        </w:rPr>
        <w:t>Bij deze onderhandelingen specifieke aandacht geeft aan de volgende kansrijke sectoren voor Vlaamse bedrijven: de bouw, design, interieur en meubelindustrie, voeding en dranken/agrobusiness, milieu en groene technologie, innovatie en de farmaceutische industrie.</w:t>
      </w:r>
    </w:p>
    <w:p w14:paraId="4A4B8578" w14:textId="77777777" w:rsidR="00CF50D2" w:rsidRPr="002B113F" w:rsidRDefault="00CF50D2" w:rsidP="00CF50D2">
      <w:pPr>
        <w:pStyle w:val="Lijstalinea"/>
        <w:rPr>
          <w:rFonts w:eastAsia="Verdana"/>
        </w:rPr>
      </w:pPr>
    </w:p>
    <w:p w14:paraId="4E4C1D97" w14:textId="77777777" w:rsidR="00CF50D2" w:rsidRDefault="00CF50D2" w:rsidP="00CF50D2">
      <w:pPr>
        <w:rPr>
          <w:rFonts w:eastAsia="Verdana"/>
        </w:rPr>
      </w:pPr>
      <w:r>
        <w:rPr>
          <w:rFonts w:eastAsia="Verdana"/>
        </w:rPr>
        <w:t>Voor wat betreft de onderhandelingen tussen de EU en Nieuw-Zeeland zal Vlaanderen vooral inzetten op:</w:t>
      </w:r>
    </w:p>
    <w:p w14:paraId="59181141" w14:textId="77777777" w:rsidR="00CF50D2" w:rsidRPr="002B113F" w:rsidRDefault="00CF50D2" w:rsidP="00CF50D2">
      <w:pPr>
        <w:pStyle w:val="Lijstalinea"/>
        <w:numPr>
          <w:ilvl w:val="0"/>
          <w:numId w:val="1"/>
        </w:numPr>
        <w:ind w:left="567"/>
        <w:rPr>
          <w:rFonts w:eastAsia="Verdana"/>
          <w:lang w:val="nl-BE"/>
        </w:rPr>
      </w:pPr>
      <w:r w:rsidRPr="002B113F">
        <w:rPr>
          <w:rFonts w:eastAsia="Verdana"/>
        </w:rPr>
        <w:t>volgende offensieve belangen:</w:t>
      </w:r>
    </w:p>
    <w:p w14:paraId="0B5ADDEE" w14:textId="77777777" w:rsidR="00CF50D2" w:rsidRPr="00D44CC3" w:rsidRDefault="00CF50D2" w:rsidP="00CF50D2">
      <w:pPr>
        <w:pStyle w:val="Lijstalinea"/>
        <w:numPr>
          <w:ilvl w:val="1"/>
          <w:numId w:val="1"/>
        </w:numPr>
        <w:ind w:left="851"/>
        <w:rPr>
          <w:rFonts w:eastAsia="Verdana"/>
        </w:rPr>
      </w:pPr>
      <w:r w:rsidRPr="00D44CC3">
        <w:rPr>
          <w:rFonts w:eastAsia="Verdana"/>
        </w:rPr>
        <w:t>het verwijderen van tarifaire en niet-tarifaire belemmeringen, wat betreft goederen vooral in de grootste Vlaamse uitvoersectoren 1) farmaceutische producten, 2) machines en werktuigen, 3) voertuigen voor vervoer over land, 4) optica en 5) kunststof en toepassingen, alsook voor (6) voeding en (7) textiel, en meer in het algemeen (8) de diensten.</w:t>
      </w:r>
    </w:p>
    <w:p w14:paraId="3800BBD8" w14:textId="77777777" w:rsidR="00CF50D2" w:rsidRPr="00D44CC3" w:rsidRDefault="00CF50D2" w:rsidP="00CF50D2">
      <w:pPr>
        <w:pStyle w:val="Lijstalinea"/>
        <w:numPr>
          <w:ilvl w:val="1"/>
          <w:numId w:val="1"/>
        </w:numPr>
        <w:ind w:left="851"/>
        <w:rPr>
          <w:rFonts w:eastAsia="Verdana"/>
        </w:rPr>
      </w:pPr>
      <w:r w:rsidRPr="00D44CC3">
        <w:rPr>
          <w:rFonts w:eastAsia="Verdana"/>
        </w:rPr>
        <w:t>het sluiten van moderne en gebalanceerde investeringsbepalingen, bij voorkeur opgesplitst cfr. het advies van het HJEU, en met wat betreft markttoegang bijzondere aandacht voor de kansrijke sectoren voor Vlaanderen.</w:t>
      </w:r>
    </w:p>
    <w:p w14:paraId="0F3312C8" w14:textId="77777777" w:rsidR="00CF50D2" w:rsidRPr="00D44CC3" w:rsidRDefault="00CF50D2" w:rsidP="00CF50D2">
      <w:pPr>
        <w:pStyle w:val="Lijstalinea"/>
        <w:numPr>
          <w:ilvl w:val="1"/>
          <w:numId w:val="1"/>
        </w:numPr>
        <w:ind w:left="851"/>
        <w:rPr>
          <w:rFonts w:eastAsia="Verdana"/>
        </w:rPr>
      </w:pPr>
      <w:r w:rsidRPr="00D44CC3">
        <w:rPr>
          <w:rFonts w:eastAsia="Verdana"/>
        </w:rPr>
        <w:t>regelgevende samenwerking, in het bijzonder voor wat (1) sanitaire en fytosanitaire regels, (2) TBT, (3) NTB en (4) douaneregels betreft.</w:t>
      </w:r>
    </w:p>
    <w:p w14:paraId="356436CF" w14:textId="77777777" w:rsidR="00CF50D2" w:rsidRDefault="00CF50D2" w:rsidP="00CF50D2">
      <w:pPr>
        <w:pStyle w:val="Lijstalinea"/>
        <w:numPr>
          <w:ilvl w:val="1"/>
          <w:numId w:val="1"/>
        </w:numPr>
        <w:ind w:left="851"/>
        <w:rPr>
          <w:rFonts w:eastAsia="Verdana"/>
        </w:rPr>
      </w:pPr>
      <w:r w:rsidRPr="00D44CC3">
        <w:rPr>
          <w:rFonts w:eastAsia="Verdana"/>
        </w:rPr>
        <w:lastRenderedPageBreak/>
        <w:t>horizontaal de handel voor KMO’s faciliteren.</w:t>
      </w:r>
    </w:p>
    <w:p w14:paraId="609766DC" w14:textId="77777777" w:rsidR="00CF50D2" w:rsidRDefault="00CF50D2" w:rsidP="00CF50D2">
      <w:pPr>
        <w:rPr>
          <w:rFonts w:eastAsia="Verdana"/>
        </w:rPr>
      </w:pPr>
    </w:p>
    <w:p w14:paraId="2B51E096" w14:textId="77777777" w:rsidR="00CF50D2" w:rsidRDefault="00CF50D2" w:rsidP="00CF50D2">
      <w:pPr>
        <w:rPr>
          <w:rFonts w:eastAsia="Verdana"/>
        </w:rPr>
      </w:pPr>
      <w:r>
        <w:rPr>
          <w:rFonts w:eastAsia="Verdana"/>
        </w:rPr>
        <w:t>Volgende defensieve belangen:</w:t>
      </w:r>
    </w:p>
    <w:p w14:paraId="7F21AC16" w14:textId="77777777" w:rsidR="00CF50D2" w:rsidRPr="00D44CC3" w:rsidRDefault="00CF50D2" w:rsidP="00CF50D2">
      <w:pPr>
        <w:pStyle w:val="Lijstalinea"/>
        <w:numPr>
          <w:ilvl w:val="1"/>
          <w:numId w:val="1"/>
        </w:numPr>
        <w:ind w:left="851"/>
        <w:rPr>
          <w:rFonts w:eastAsia="Verdana"/>
        </w:rPr>
      </w:pPr>
      <w:r w:rsidRPr="00D44CC3">
        <w:rPr>
          <w:rFonts w:eastAsia="Verdana"/>
        </w:rPr>
        <w:t>De gedifferentieerde behandeling van gevoelige landbouwproducten om mogelijke marktverstoring te vermijden, vooral voor zuivel en fruit.</w:t>
      </w:r>
    </w:p>
    <w:p w14:paraId="49D3C0C7" w14:textId="77777777" w:rsidR="00CF50D2" w:rsidRPr="00D44CC3" w:rsidRDefault="00CF50D2" w:rsidP="00CF50D2">
      <w:pPr>
        <w:pStyle w:val="Lijstalinea"/>
        <w:numPr>
          <w:ilvl w:val="1"/>
          <w:numId w:val="1"/>
        </w:numPr>
        <w:ind w:left="851"/>
        <w:rPr>
          <w:rFonts w:eastAsia="Verdana"/>
        </w:rPr>
      </w:pPr>
      <w:r w:rsidRPr="00D44CC3">
        <w:rPr>
          <w:rFonts w:eastAsia="Verdana"/>
        </w:rPr>
        <w:t>het behouden van de culturele exceptie, zoals ook geformuleerd in het mandaat voor de TTIP onderhandelingen.</w:t>
      </w:r>
    </w:p>
    <w:p w14:paraId="5B9764A3" w14:textId="77777777" w:rsidR="00CF50D2" w:rsidRPr="00D44CC3" w:rsidRDefault="00CF50D2" w:rsidP="00CF50D2">
      <w:pPr>
        <w:pStyle w:val="Lijstalinea"/>
        <w:numPr>
          <w:ilvl w:val="1"/>
          <w:numId w:val="1"/>
        </w:numPr>
        <w:ind w:left="851"/>
        <w:rPr>
          <w:rFonts w:eastAsia="Verdana"/>
        </w:rPr>
      </w:pPr>
      <w:r w:rsidRPr="00D44CC3">
        <w:rPr>
          <w:rFonts w:eastAsia="Verdana"/>
        </w:rPr>
        <w:t>de gedifferentieerde behandeling van audiovisuele diensten waarbij Vlaanderen de dubbele natuur erkent van de audiovisuele diensten en op gepaste wijze hieraan bescherming biedt door bijvoorbeeld uitsluiting uit de onderhandelingen, het gebruik van negatieve lijsten waarbij de audiovisuele sector naar een annex II geplaatst wordt, of een andere keuze of methode.</w:t>
      </w:r>
    </w:p>
    <w:p w14:paraId="59FCB2F4" w14:textId="77777777" w:rsidR="00CF50D2" w:rsidRPr="00D44CC3" w:rsidRDefault="00CF50D2" w:rsidP="00CF50D2">
      <w:pPr>
        <w:pStyle w:val="Lijstalinea"/>
        <w:numPr>
          <w:ilvl w:val="1"/>
          <w:numId w:val="1"/>
        </w:numPr>
        <w:ind w:left="851"/>
        <w:rPr>
          <w:rFonts w:eastAsia="Verdana"/>
        </w:rPr>
      </w:pPr>
      <w:r w:rsidRPr="00D44CC3">
        <w:rPr>
          <w:rFonts w:eastAsia="Verdana"/>
        </w:rPr>
        <w:t>de gedifferentieerde behandeling van openbare diensten en diensten van algemeen belang conform de manier waarop deze ook zijn opgenomen in het TTIP-mandaat.</w:t>
      </w:r>
    </w:p>
    <w:p w14:paraId="4E6A3081" w14:textId="77777777" w:rsidR="00CF50D2" w:rsidRDefault="00CF50D2" w:rsidP="00CF50D2">
      <w:pPr>
        <w:pStyle w:val="Lijstalinea"/>
        <w:numPr>
          <w:ilvl w:val="1"/>
          <w:numId w:val="1"/>
        </w:numPr>
        <w:ind w:left="851"/>
        <w:rPr>
          <w:rFonts w:eastAsia="Verdana"/>
        </w:rPr>
      </w:pPr>
      <w:r w:rsidRPr="00D44CC3">
        <w:rPr>
          <w:rFonts w:eastAsia="Verdana"/>
        </w:rPr>
        <w:t>het behoud van de huidige regels inzake het verblijf op het grondgebied en het verlenen van arbeidskaarten volgens de regels van de bevoegde overheden en het eisen van voorafgaand overleg in het geval bijkomende engagementen zouden overwogen worden dan deze die momenteel in andere, bestaande vrijhandelsakkoorden zijn aangegaan;</w:t>
      </w:r>
    </w:p>
    <w:p w14:paraId="5AD393FC" w14:textId="77777777" w:rsidR="00CF50D2" w:rsidRPr="00D44CC3" w:rsidRDefault="00CF50D2" w:rsidP="00CF50D2">
      <w:pPr>
        <w:pStyle w:val="Lijstalinea"/>
        <w:ind w:left="851"/>
        <w:rPr>
          <w:rFonts w:eastAsia="Verdana"/>
        </w:rPr>
      </w:pPr>
    </w:p>
    <w:p w14:paraId="01E1238F" w14:textId="77777777" w:rsidR="00CF50D2" w:rsidRPr="00D44CC3" w:rsidRDefault="00CF50D2" w:rsidP="00CF50D2">
      <w:pPr>
        <w:pStyle w:val="Lijstalinea"/>
        <w:numPr>
          <w:ilvl w:val="0"/>
          <w:numId w:val="1"/>
        </w:numPr>
        <w:spacing w:after="160" w:line="259" w:lineRule="auto"/>
      </w:pPr>
      <w:r w:rsidRPr="00D44CC3">
        <w:t xml:space="preserve">bij deze onderhandelingen een specifiek luik duurzame ontwikkeling in het mandaat eist waarin milieu-, sociale en arbeidsstandaarden worden in opgenomen. </w:t>
      </w:r>
    </w:p>
    <w:p w14:paraId="351DE5D7" w14:textId="77777777" w:rsidR="00CF50D2" w:rsidRPr="00D44CC3" w:rsidRDefault="00CF50D2" w:rsidP="00CF50D2">
      <w:pPr>
        <w:pStyle w:val="Lijstalinea"/>
      </w:pPr>
    </w:p>
    <w:p w14:paraId="5707281F" w14:textId="77777777" w:rsidR="00CF50D2" w:rsidRPr="00D44CC3" w:rsidRDefault="00CF50D2" w:rsidP="00CF50D2">
      <w:pPr>
        <w:pStyle w:val="Lijstalinea"/>
        <w:numPr>
          <w:ilvl w:val="0"/>
          <w:numId w:val="1"/>
        </w:numPr>
        <w:spacing w:after="160" w:line="259" w:lineRule="auto"/>
        <w:sectPr w:rsidR="00CF50D2" w:rsidRPr="00D44CC3" w:rsidSect="00CF50D2">
          <w:pgSz w:w="11906" w:h="16838"/>
          <w:pgMar w:top="1417" w:right="1417" w:bottom="1417" w:left="1417" w:header="708" w:footer="708" w:gutter="0"/>
          <w:cols w:space="708"/>
          <w:docGrid w:linePitch="360"/>
        </w:sectPr>
      </w:pPr>
      <w:r w:rsidRPr="00D44CC3">
        <w:t>Bij deze onderhandelingen specifieke aandacht geeft aan de volgende kansrijke sectoren voor Vlaamse bedrijven: de bouw, land- en tuinbouw, biotech en lifesciences, voeding en dranken, chemische en farmaceutische industrie, milieu en groene technologie, toerisme en de hippische sector.</w:t>
      </w:r>
    </w:p>
    <w:p w14:paraId="489B14E3" w14:textId="77777777" w:rsidR="00CF50D2" w:rsidRPr="00D44CC3" w:rsidRDefault="00CF50D2" w:rsidP="00CF50D2">
      <w:pPr>
        <w:rPr>
          <w:rFonts w:eastAsia="Verdana"/>
        </w:rPr>
      </w:pPr>
      <w:r>
        <w:rPr>
          <w:rFonts w:eastAsia="Verdana"/>
        </w:rPr>
        <w:t>Zoals steeds worden deze Vlaamse belangen meegenomen in de Belgische belangenstudie die de basis vormt voor de evaluatie van de onderhandelingsresultaten voor België. Voor Vlaanderen zal de Vlaamse WEHIB-nota de basis vormen voor de evaluatie, alsook voor tussenkomsten en commentaren op (voorlopige) teksten tijdens het onderhandelingsproces. Vertegenwoordigers van het Vlaams departement Buitenlandse Zaken nemen hiertoe deel aan intra-Belgische coördinatievergaderingen, alsook aan technische expertenvergaderingen van de Europese Commissie. Indien relevant zal ik de Vlaamse belangen ook zelf aanbrengen in mijn gesprekken met de Europese Commissie (en desgevallend met Australië en Nieuw-Zeeland).</w:t>
      </w:r>
    </w:p>
    <w:p w14:paraId="007D2A53" w14:textId="77777777" w:rsidR="00B617CF" w:rsidRDefault="000C31A0"/>
    <w:sectPr w:rsidR="00B617CF" w:rsidSect="00D07EAC">
      <w:headerReference w:type="even" r:id="rId10"/>
      <w:footerReference w:type="even" r:id="rId11"/>
      <w:footerReference w:type="default" r:id="rId12"/>
      <w:headerReference w:type="first" r:id="rId13"/>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9016A" w14:textId="77777777" w:rsidR="00000000" w:rsidRDefault="000C31A0">
      <w:r>
        <w:separator/>
      </w:r>
    </w:p>
  </w:endnote>
  <w:endnote w:type="continuationSeparator" w:id="0">
    <w:p w14:paraId="24BF3EEC" w14:textId="77777777" w:rsidR="00000000" w:rsidRDefault="000C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5FE4" w14:textId="77777777" w:rsidR="00D75FB1" w:rsidRDefault="00415C3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D1A83C5" w14:textId="77777777" w:rsidR="00D75FB1" w:rsidRDefault="000C31A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CED3" w14:textId="77777777" w:rsidR="00D75FB1" w:rsidRDefault="000C31A0" w:rsidP="001A6DC6">
    <w:pPr>
      <w:pStyle w:val="Voettekst"/>
      <w:framePr w:wrap="around" w:vAnchor="text" w:hAnchor="margin" w:xAlign="right" w:y="1"/>
      <w:rPr>
        <w:rStyle w:val="Paginanummer"/>
      </w:rPr>
    </w:pPr>
  </w:p>
  <w:p w14:paraId="3C202F66" w14:textId="77777777" w:rsidR="00D75FB1" w:rsidRDefault="000C31A0" w:rsidP="00D75FB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546B" w14:textId="77777777" w:rsidR="00000000" w:rsidRDefault="000C31A0">
      <w:r>
        <w:separator/>
      </w:r>
    </w:p>
  </w:footnote>
  <w:footnote w:type="continuationSeparator" w:id="0">
    <w:p w14:paraId="66FC8312" w14:textId="77777777" w:rsidR="00000000" w:rsidRDefault="000C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3E99" w14:textId="77777777" w:rsidR="0088108E" w:rsidRDefault="00415C3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D75776" w14:textId="77777777" w:rsidR="0088108E" w:rsidRDefault="000C31A0" w:rsidP="0088108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8B2E" w14:textId="77777777" w:rsidR="00FC415D" w:rsidRDefault="00415C30">
    <w:pPr>
      <w:pStyle w:val="Koptekst"/>
    </w:pPr>
    <w:r>
      <w:rPr>
        <w:noProof/>
        <w:lang w:val="nl-BE" w:eastAsia="nl-BE"/>
      </w:rPr>
      <w:drawing>
        <wp:anchor distT="0" distB="0" distL="114300" distR="114300" simplePos="0" relativeHeight="251659264" behindDoc="1" locked="1" layoutInCell="1" allowOverlap="1" wp14:anchorId="3AC6B17B" wp14:editId="73939DE9">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F1518"/>
    <w:multiLevelType w:val="hybridMultilevel"/>
    <w:tmpl w:val="C16A79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0D2"/>
    <w:rsid w:val="000C31A0"/>
    <w:rsid w:val="00415C30"/>
    <w:rsid w:val="005E1D2E"/>
    <w:rsid w:val="00766DCB"/>
    <w:rsid w:val="009C1840"/>
    <w:rsid w:val="00CF50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34FC"/>
  <w15:chartTrackingRefBased/>
  <w15:docId w15:val="{ACF000B8-3A53-4136-8BCA-3E0439D0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50D2"/>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CF50D2"/>
    <w:pPr>
      <w:tabs>
        <w:tab w:val="center" w:pos="4536"/>
        <w:tab w:val="right" w:pos="9072"/>
      </w:tabs>
    </w:pPr>
  </w:style>
  <w:style w:type="character" w:customStyle="1" w:styleId="KoptekstChar">
    <w:name w:val="Koptekst Char"/>
    <w:basedOn w:val="Standaardalinea-lettertype"/>
    <w:link w:val="Koptekst"/>
    <w:uiPriority w:val="99"/>
    <w:rsid w:val="00CF50D2"/>
    <w:rPr>
      <w:rFonts w:ascii="Verdana" w:eastAsia="Times New Roman" w:hAnsi="Verdana" w:cs="Times New Roman"/>
      <w:sz w:val="20"/>
      <w:szCs w:val="20"/>
      <w:lang w:val="nl-NL" w:eastAsia="nl-NL"/>
    </w:rPr>
  </w:style>
  <w:style w:type="paragraph" w:styleId="Voettekst">
    <w:name w:val="footer"/>
    <w:basedOn w:val="Standaard"/>
    <w:link w:val="VoettekstChar"/>
    <w:rsid w:val="00CF50D2"/>
    <w:pPr>
      <w:tabs>
        <w:tab w:val="center" w:pos="4536"/>
        <w:tab w:val="right" w:pos="9072"/>
      </w:tabs>
    </w:pPr>
  </w:style>
  <w:style w:type="character" w:customStyle="1" w:styleId="VoettekstChar">
    <w:name w:val="Voettekst Char"/>
    <w:basedOn w:val="Standaardalinea-lettertype"/>
    <w:link w:val="Voettekst"/>
    <w:rsid w:val="00CF50D2"/>
    <w:rPr>
      <w:rFonts w:ascii="Verdana" w:eastAsia="Times New Roman" w:hAnsi="Verdana" w:cs="Times New Roman"/>
      <w:sz w:val="20"/>
      <w:szCs w:val="20"/>
      <w:lang w:val="nl-NL" w:eastAsia="nl-NL"/>
    </w:rPr>
  </w:style>
  <w:style w:type="character" w:styleId="Paginanummer">
    <w:name w:val="page number"/>
    <w:basedOn w:val="Standaardalinea-lettertype"/>
    <w:rsid w:val="00CF50D2"/>
  </w:style>
  <w:style w:type="paragraph" w:styleId="Lijstalinea">
    <w:name w:val="List Paragraph"/>
    <w:basedOn w:val="Standaard"/>
    <w:uiPriority w:val="34"/>
    <w:qFormat/>
    <w:rsid w:val="00CF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92A284-006B-4A0D-890A-D9E8D08BD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5B8834-36AE-4D31-B89F-328643A725BC}">
  <ds:schemaRefs>
    <ds:schemaRef ds:uri="http://schemas.microsoft.com/sharepoint/v3/contenttype/forms"/>
  </ds:schemaRefs>
</ds:datastoreItem>
</file>

<file path=customXml/itemProps3.xml><?xml version="1.0" encoding="utf-8"?>
<ds:datastoreItem xmlns:ds="http://schemas.openxmlformats.org/officeDocument/2006/customXml" ds:itemID="{5EEA9A85-67B1-4DFD-B3E5-836E9919825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4824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Franckaert, Eline</dc:creator>
  <cp:keywords/>
  <dc:description/>
  <cp:lastModifiedBy>D'Hanis Denis</cp:lastModifiedBy>
  <cp:revision>2</cp:revision>
  <dcterms:created xsi:type="dcterms:W3CDTF">2018-06-08T12:09:00Z</dcterms:created>
  <dcterms:modified xsi:type="dcterms:W3CDTF">2018-06-08T12:09:00Z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