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B3F" w:rsidRDefault="00E8169E" w:rsidP="00F5434E">
      <w:pPr>
        <w:rPr>
          <w:rFonts w:ascii="Verdana" w:hAnsi="Verdana"/>
          <w:b/>
          <w:sz w:val="20"/>
          <w:szCs w:val="20"/>
          <w:lang w:val="nl-NL"/>
        </w:rPr>
      </w:pPr>
      <w:r>
        <w:rPr>
          <w:rFonts w:ascii="Verdana" w:hAnsi="Verdana"/>
          <w:b/>
          <w:sz w:val="20"/>
          <w:szCs w:val="20"/>
        </w:rPr>
        <w:t>P</w:t>
      </w:r>
      <w:bookmarkStart w:id="0" w:name="_GoBack"/>
      <w:bookmarkEnd w:id="0"/>
      <w:r w:rsidR="0087646D" w:rsidRPr="00F5434E">
        <w:rPr>
          <w:rFonts w:ascii="Verdana" w:hAnsi="Verdana"/>
          <w:b/>
          <w:sz w:val="20"/>
          <w:szCs w:val="20"/>
        </w:rPr>
        <w:t xml:space="preserve">V 403 – bijlage 2 </w:t>
      </w:r>
      <w:r w:rsidR="004A1B3F">
        <w:rPr>
          <w:rFonts w:ascii="Verdana" w:hAnsi="Verdana"/>
          <w:b/>
          <w:sz w:val="20"/>
          <w:szCs w:val="20"/>
          <w:lang w:val="nl-NL"/>
        </w:rPr>
        <w:t>o</w:t>
      </w:r>
      <w:r w:rsidR="004A1B3F" w:rsidRPr="004A1B3F">
        <w:rPr>
          <w:rFonts w:ascii="Verdana" w:hAnsi="Verdana"/>
          <w:b/>
          <w:sz w:val="20"/>
          <w:szCs w:val="20"/>
          <w:lang w:val="nl-NL"/>
        </w:rPr>
        <w:t xml:space="preserve">verzicht van het aantal beslissingen, de gemiddelde doorlooptijd en afhandelingstermijn </w:t>
      </w:r>
    </w:p>
    <w:p w:rsidR="00F5434E" w:rsidRDefault="00F5434E" w:rsidP="00F5434E">
      <w:pPr>
        <w:rPr>
          <w:rFonts w:ascii="Verdana" w:hAnsi="Verdana"/>
          <w:b/>
          <w:sz w:val="20"/>
          <w:szCs w:val="20"/>
        </w:rPr>
      </w:pPr>
      <w:r w:rsidRPr="00F5434E">
        <w:rPr>
          <w:rFonts w:ascii="Verdana" w:hAnsi="Verdana"/>
          <w:b/>
          <w:sz w:val="20"/>
          <w:szCs w:val="20"/>
        </w:rPr>
        <w:t>Definities ter duiding bij de</w:t>
      </w:r>
      <w:r w:rsidR="005B3BE0">
        <w:rPr>
          <w:rFonts w:ascii="Verdana" w:hAnsi="Verdana"/>
          <w:b/>
          <w:sz w:val="20"/>
          <w:szCs w:val="20"/>
        </w:rPr>
        <w:t>ze</w:t>
      </w:r>
      <w:r w:rsidRPr="00F5434E">
        <w:rPr>
          <w:rFonts w:ascii="Verdana" w:hAnsi="Verdana"/>
          <w:b/>
          <w:sz w:val="20"/>
          <w:szCs w:val="20"/>
        </w:rPr>
        <w:t xml:space="preserve"> cijfers  </w:t>
      </w:r>
    </w:p>
    <w:p w:rsidR="00F5434E" w:rsidRPr="00F5434E" w:rsidRDefault="00F5434E" w:rsidP="005F7744">
      <w:pPr>
        <w:pStyle w:val="Lijstalinea"/>
        <w:numPr>
          <w:ilvl w:val="0"/>
          <w:numId w:val="9"/>
        </w:numPr>
        <w:spacing w:after="0"/>
        <w:ind w:left="357" w:hanging="357"/>
        <w:jc w:val="both"/>
        <w:rPr>
          <w:rFonts w:ascii="Verdana" w:hAnsi="Verdana"/>
          <w:sz w:val="20"/>
          <w:szCs w:val="20"/>
        </w:rPr>
      </w:pPr>
      <w:r w:rsidRPr="00F5434E">
        <w:rPr>
          <w:rFonts w:ascii="Verdana" w:hAnsi="Verdana"/>
          <w:sz w:val="20"/>
          <w:szCs w:val="20"/>
          <w:u w:val="single"/>
        </w:rPr>
        <w:t>Een beslissing</w:t>
      </w:r>
      <w:r w:rsidRPr="00F5434E">
        <w:rPr>
          <w:rFonts w:ascii="Verdana" w:hAnsi="Verdana"/>
          <w:sz w:val="20"/>
          <w:szCs w:val="20"/>
        </w:rPr>
        <w:t xml:space="preserve"> betekent dat NARIC effectief een uitspraak deed over de gelijkwaardigheid van een buitenlands studiebewijs: </w:t>
      </w:r>
    </w:p>
    <w:p w:rsidR="00F5434E" w:rsidRPr="00F5434E" w:rsidRDefault="00F5434E" w:rsidP="005F7744">
      <w:pPr>
        <w:numPr>
          <w:ilvl w:val="1"/>
          <w:numId w:val="9"/>
        </w:numPr>
        <w:spacing w:after="0"/>
        <w:jc w:val="both"/>
        <w:rPr>
          <w:rFonts w:ascii="Verdana" w:hAnsi="Verdana"/>
          <w:sz w:val="20"/>
          <w:szCs w:val="20"/>
        </w:rPr>
      </w:pPr>
      <w:r w:rsidRPr="00F5434E">
        <w:rPr>
          <w:rFonts w:ascii="Verdana" w:hAnsi="Verdana"/>
          <w:bCs/>
          <w:sz w:val="20"/>
          <w:szCs w:val="20"/>
          <w:u w:val="single"/>
        </w:rPr>
        <w:t>Positief</w:t>
      </w:r>
      <w:r w:rsidRPr="00F5434E">
        <w:rPr>
          <w:rFonts w:ascii="Verdana" w:hAnsi="Verdana"/>
          <w:bCs/>
          <w:sz w:val="20"/>
          <w:szCs w:val="20"/>
        </w:rPr>
        <w:t>:</w:t>
      </w:r>
      <w:r w:rsidRPr="00F5434E">
        <w:rPr>
          <w:rFonts w:ascii="Verdana" w:hAnsi="Verdana"/>
          <w:sz w:val="20"/>
          <w:szCs w:val="20"/>
        </w:rPr>
        <w:t xml:space="preserve"> de aanvrager kreeg effectief de gelijkwaardigheid waarnaar hij gevraagd heeft of waarvoor het dossier initieel onderzocht werd. </w:t>
      </w:r>
    </w:p>
    <w:p w:rsidR="00F5434E" w:rsidRPr="00F5434E" w:rsidRDefault="00F5434E" w:rsidP="005F7744">
      <w:pPr>
        <w:numPr>
          <w:ilvl w:val="1"/>
          <w:numId w:val="9"/>
        </w:numPr>
        <w:spacing w:after="0"/>
        <w:jc w:val="both"/>
        <w:rPr>
          <w:rFonts w:ascii="Verdana" w:hAnsi="Verdana"/>
          <w:sz w:val="20"/>
          <w:szCs w:val="20"/>
        </w:rPr>
      </w:pPr>
      <w:r w:rsidRPr="00F5434E">
        <w:rPr>
          <w:rFonts w:ascii="Verdana" w:hAnsi="Verdana"/>
          <w:bCs/>
          <w:sz w:val="20"/>
          <w:szCs w:val="20"/>
          <w:u w:val="single"/>
        </w:rPr>
        <w:t>Negatief</w:t>
      </w:r>
      <w:r w:rsidRPr="00F5434E">
        <w:rPr>
          <w:rFonts w:ascii="Verdana" w:hAnsi="Verdana"/>
          <w:bCs/>
          <w:sz w:val="20"/>
          <w:szCs w:val="20"/>
        </w:rPr>
        <w:t>:</w:t>
      </w:r>
      <w:r w:rsidRPr="00F5434E">
        <w:rPr>
          <w:rFonts w:ascii="Verdana" w:hAnsi="Verdana"/>
          <w:sz w:val="20"/>
          <w:szCs w:val="20"/>
        </w:rPr>
        <w:t xml:space="preserve"> NARIC verleende geen gelijkwaardigheid. </w:t>
      </w:r>
    </w:p>
    <w:p w:rsidR="00F5434E" w:rsidRPr="00F5434E" w:rsidRDefault="00F5434E" w:rsidP="005F7744">
      <w:pPr>
        <w:numPr>
          <w:ilvl w:val="1"/>
          <w:numId w:val="9"/>
        </w:numPr>
        <w:spacing w:after="0"/>
        <w:jc w:val="both"/>
        <w:rPr>
          <w:rFonts w:ascii="Verdana" w:hAnsi="Verdana"/>
          <w:sz w:val="20"/>
          <w:szCs w:val="20"/>
        </w:rPr>
      </w:pPr>
      <w:r w:rsidRPr="00F5434E">
        <w:rPr>
          <w:rFonts w:ascii="Verdana" w:hAnsi="Verdana"/>
          <w:bCs/>
          <w:sz w:val="20"/>
          <w:szCs w:val="20"/>
          <w:u w:val="single"/>
        </w:rPr>
        <w:t>Andere</w:t>
      </w:r>
      <w:r w:rsidRPr="00F5434E">
        <w:rPr>
          <w:rFonts w:ascii="Verdana" w:hAnsi="Verdana"/>
          <w:bCs/>
          <w:sz w:val="20"/>
          <w:szCs w:val="20"/>
        </w:rPr>
        <w:t>:</w:t>
      </w:r>
      <w:r w:rsidRPr="00F5434E">
        <w:rPr>
          <w:rFonts w:ascii="Verdana" w:hAnsi="Verdana"/>
          <w:sz w:val="20"/>
          <w:szCs w:val="20"/>
        </w:rPr>
        <w:t xml:space="preserve"> de aanvrager kreeg een gelijkwaardigheid met een ander studiebewijs of een andere graad dan initieel aangevraagd of onderzocht. Iemand vraagt bijvoorbeeld een gelijkwaardigheid met een master, maar krijgt een gelijkwaardigheid met een bachelor.</w:t>
      </w:r>
    </w:p>
    <w:p w:rsidR="00F5434E" w:rsidRPr="00F5434E" w:rsidRDefault="00F5434E" w:rsidP="005F7744">
      <w:pPr>
        <w:pStyle w:val="Lijstalinea"/>
        <w:numPr>
          <w:ilvl w:val="0"/>
          <w:numId w:val="8"/>
        </w:numPr>
        <w:spacing w:after="0" w:line="256" w:lineRule="auto"/>
        <w:ind w:left="357" w:hanging="357"/>
        <w:jc w:val="both"/>
        <w:rPr>
          <w:rFonts w:ascii="Verdana" w:hAnsi="Verdana"/>
          <w:sz w:val="20"/>
          <w:szCs w:val="20"/>
        </w:rPr>
      </w:pPr>
      <w:r w:rsidRPr="00F5434E">
        <w:rPr>
          <w:rFonts w:ascii="Verdana" w:hAnsi="Verdana"/>
          <w:sz w:val="20"/>
          <w:szCs w:val="20"/>
          <w:u w:val="single"/>
        </w:rPr>
        <w:t>Afhandelingstermijn</w:t>
      </w:r>
      <w:r w:rsidRPr="00F5434E">
        <w:rPr>
          <w:rFonts w:ascii="Verdana" w:hAnsi="Verdana"/>
          <w:sz w:val="20"/>
          <w:szCs w:val="20"/>
        </w:rPr>
        <w:t>: periode waarbinnen NARIC een dossier behandelt. Bij het berekenen van de afhandelingstermijnen laten we de wachtperiodes buiten beschouwing. Dit is zo bepaald in de regelgeving, zoals hieronder uitgelegd.</w:t>
      </w:r>
    </w:p>
    <w:p w:rsidR="00F5434E" w:rsidRPr="00F5434E" w:rsidRDefault="00F5434E" w:rsidP="005F7744">
      <w:pPr>
        <w:pStyle w:val="Lijstalinea"/>
        <w:numPr>
          <w:ilvl w:val="0"/>
          <w:numId w:val="8"/>
        </w:numPr>
        <w:spacing w:after="0" w:line="256" w:lineRule="auto"/>
        <w:ind w:left="357" w:hanging="357"/>
        <w:jc w:val="both"/>
        <w:rPr>
          <w:rFonts w:ascii="Verdana" w:hAnsi="Verdana"/>
          <w:sz w:val="20"/>
          <w:szCs w:val="20"/>
        </w:rPr>
      </w:pPr>
      <w:r w:rsidRPr="00F5434E">
        <w:rPr>
          <w:rFonts w:ascii="Verdana" w:hAnsi="Verdana"/>
          <w:sz w:val="20"/>
          <w:szCs w:val="20"/>
          <w:u w:val="single"/>
        </w:rPr>
        <w:t>Wachtperiode</w:t>
      </w:r>
      <w:r w:rsidRPr="00F5434E">
        <w:rPr>
          <w:rFonts w:ascii="Verdana" w:hAnsi="Verdana"/>
          <w:sz w:val="20"/>
          <w:szCs w:val="20"/>
        </w:rPr>
        <w:t>: periode waarin het dossier van een aanvrager stilligt, omdat NARIC wacht op een actie van de aanvrager zelf.</w:t>
      </w:r>
    </w:p>
    <w:p w:rsidR="00F5434E" w:rsidRPr="00F5434E" w:rsidRDefault="00F5434E" w:rsidP="005F7744">
      <w:pPr>
        <w:pStyle w:val="Lijstalinea"/>
        <w:numPr>
          <w:ilvl w:val="0"/>
          <w:numId w:val="8"/>
        </w:numPr>
        <w:spacing w:after="0" w:line="256" w:lineRule="auto"/>
        <w:ind w:left="357" w:hanging="357"/>
        <w:jc w:val="both"/>
        <w:rPr>
          <w:rFonts w:ascii="Verdana" w:hAnsi="Verdana"/>
          <w:sz w:val="20"/>
          <w:szCs w:val="20"/>
        </w:rPr>
      </w:pPr>
      <w:r w:rsidRPr="00F5434E">
        <w:rPr>
          <w:rFonts w:ascii="Verdana" w:hAnsi="Verdana"/>
          <w:sz w:val="20"/>
          <w:szCs w:val="20"/>
          <w:u w:val="single"/>
        </w:rPr>
        <w:t>Doorlooptijd</w:t>
      </w:r>
      <w:r w:rsidRPr="00F5434E">
        <w:rPr>
          <w:rFonts w:ascii="Verdana" w:hAnsi="Verdana"/>
          <w:sz w:val="20"/>
          <w:szCs w:val="20"/>
        </w:rPr>
        <w:t>: afhandelingstermijn plus de wachtperiodes. De doorlooptijd geeft een beeld van hoe lang de procedure effectief duurt voor de aanvrager vanaf het indienen van het dossier tot het ontvangen van de beslissing. Op de doorlooptijden heeft NARIC minder controle omdat er actie vereist is van de aanvrager zelf of van een derde partij.</w:t>
      </w:r>
    </w:p>
    <w:p w:rsidR="00F5434E" w:rsidRPr="00F5434E" w:rsidRDefault="00F5434E" w:rsidP="00F5434E">
      <w:pPr>
        <w:pStyle w:val="Lijstalinea"/>
        <w:spacing w:line="256" w:lineRule="auto"/>
        <w:ind w:left="360"/>
        <w:rPr>
          <w:rFonts w:ascii="Verdana" w:hAnsi="Verdana"/>
          <w:sz w:val="20"/>
          <w:szCs w:val="20"/>
        </w:rPr>
      </w:pPr>
    </w:p>
    <w:p w:rsidR="00AF69D8" w:rsidRPr="00F5434E" w:rsidRDefault="00AF69D8" w:rsidP="005B3BE0">
      <w:pPr>
        <w:pBdr>
          <w:bottom w:val="single" w:sz="4" w:space="1" w:color="auto"/>
        </w:pBdr>
        <w:spacing w:after="0"/>
        <w:rPr>
          <w:rFonts w:ascii="Verdana" w:hAnsi="Verdana"/>
          <w:b/>
          <w:sz w:val="20"/>
          <w:szCs w:val="20"/>
        </w:rPr>
      </w:pPr>
      <w:r w:rsidRPr="00F5434E">
        <w:rPr>
          <w:rFonts w:ascii="Verdana" w:hAnsi="Verdana"/>
          <w:b/>
          <w:sz w:val="20"/>
          <w:szCs w:val="20"/>
        </w:rPr>
        <w:t>2018</w:t>
      </w:r>
    </w:p>
    <w:tbl>
      <w:tblPr>
        <w:tblW w:w="5280" w:type="dxa"/>
        <w:tblInd w:w="-70" w:type="dxa"/>
        <w:tblCellMar>
          <w:left w:w="70" w:type="dxa"/>
          <w:right w:w="70" w:type="dxa"/>
        </w:tblCellMar>
        <w:tblLook w:val="04A0" w:firstRow="1" w:lastRow="0" w:firstColumn="1" w:lastColumn="0" w:noHBand="0" w:noVBand="1"/>
      </w:tblPr>
      <w:tblGrid>
        <w:gridCol w:w="2680"/>
        <w:gridCol w:w="2600"/>
      </w:tblGrid>
      <w:tr w:rsidR="00AF69D8" w:rsidRPr="00F5434E" w:rsidTr="00F5434E">
        <w:trPr>
          <w:trHeight w:val="288"/>
        </w:trPr>
        <w:tc>
          <w:tcPr>
            <w:tcW w:w="268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Andere</w:t>
            </w:r>
          </w:p>
        </w:tc>
        <w:tc>
          <w:tcPr>
            <w:tcW w:w="260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jc w:val="right"/>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32</w:t>
            </w:r>
          </w:p>
        </w:tc>
      </w:tr>
      <w:tr w:rsidR="00AF69D8" w:rsidRPr="00F5434E" w:rsidTr="00F5434E">
        <w:trPr>
          <w:trHeight w:val="288"/>
        </w:trPr>
        <w:tc>
          <w:tcPr>
            <w:tcW w:w="268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Negatief</w:t>
            </w:r>
          </w:p>
        </w:tc>
        <w:tc>
          <w:tcPr>
            <w:tcW w:w="260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jc w:val="right"/>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3</w:t>
            </w:r>
          </w:p>
        </w:tc>
      </w:tr>
      <w:tr w:rsidR="00AF69D8" w:rsidRPr="00F5434E" w:rsidTr="00F5434E">
        <w:trPr>
          <w:trHeight w:val="288"/>
        </w:trPr>
        <w:tc>
          <w:tcPr>
            <w:tcW w:w="268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Positief</w:t>
            </w:r>
          </w:p>
        </w:tc>
        <w:tc>
          <w:tcPr>
            <w:tcW w:w="260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jc w:val="right"/>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29</w:t>
            </w:r>
          </w:p>
        </w:tc>
      </w:tr>
      <w:tr w:rsidR="00AF69D8" w:rsidRPr="00F5434E" w:rsidTr="00F5434E">
        <w:trPr>
          <w:trHeight w:val="288"/>
        </w:trPr>
        <w:tc>
          <w:tcPr>
            <w:tcW w:w="2680" w:type="dxa"/>
            <w:tcBorders>
              <w:top w:val="single" w:sz="4" w:space="0" w:color="366092"/>
              <w:left w:val="nil"/>
              <w:bottom w:val="single" w:sz="8" w:space="0" w:color="366092"/>
              <w:right w:val="nil"/>
            </w:tcBorders>
            <w:shd w:val="clear" w:color="auto" w:fill="auto"/>
            <w:noWrap/>
            <w:vAlign w:val="bottom"/>
            <w:hideMark/>
          </w:tcPr>
          <w:p w:rsidR="00AF69D8" w:rsidRPr="00F5434E" w:rsidRDefault="00AF69D8" w:rsidP="005B3BE0">
            <w:pPr>
              <w:spacing w:after="0" w:line="240" w:lineRule="auto"/>
              <w:rPr>
                <w:rFonts w:ascii="Verdana" w:eastAsia="Times New Roman" w:hAnsi="Verdana" w:cs="Times New Roman"/>
                <w:b/>
                <w:bCs/>
                <w:color w:val="000000"/>
                <w:sz w:val="20"/>
                <w:szCs w:val="20"/>
                <w:lang w:eastAsia="nl-BE"/>
              </w:rPr>
            </w:pPr>
            <w:r w:rsidRPr="00F5434E">
              <w:rPr>
                <w:rFonts w:ascii="Verdana" w:eastAsia="Times New Roman" w:hAnsi="Verdana" w:cs="Times New Roman"/>
                <w:b/>
                <w:bCs/>
                <w:color w:val="000000"/>
                <w:sz w:val="20"/>
                <w:szCs w:val="20"/>
                <w:lang w:eastAsia="nl-BE"/>
              </w:rPr>
              <w:t>Eindtotaal</w:t>
            </w:r>
          </w:p>
        </w:tc>
        <w:tc>
          <w:tcPr>
            <w:tcW w:w="2600" w:type="dxa"/>
            <w:tcBorders>
              <w:top w:val="single" w:sz="4" w:space="0" w:color="366092"/>
              <w:left w:val="nil"/>
              <w:bottom w:val="single" w:sz="8" w:space="0" w:color="366092"/>
              <w:right w:val="nil"/>
            </w:tcBorders>
            <w:shd w:val="clear" w:color="auto" w:fill="auto"/>
            <w:noWrap/>
            <w:vAlign w:val="bottom"/>
            <w:hideMark/>
          </w:tcPr>
          <w:p w:rsidR="00AF69D8" w:rsidRPr="00F5434E" w:rsidRDefault="00AF69D8" w:rsidP="005B3BE0">
            <w:pPr>
              <w:spacing w:after="0" w:line="240" w:lineRule="auto"/>
              <w:jc w:val="right"/>
              <w:rPr>
                <w:rFonts w:ascii="Verdana" w:eastAsia="Times New Roman" w:hAnsi="Verdana" w:cs="Times New Roman"/>
                <w:b/>
                <w:bCs/>
                <w:color w:val="000000"/>
                <w:sz w:val="20"/>
                <w:szCs w:val="20"/>
                <w:lang w:eastAsia="nl-BE"/>
              </w:rPr>
            </w:pPr>
            <w:r w:rsidRPr="00F5434E">
              <w:rPr>
                <w:rFonts w:ascii="Verdana" w:eastAsia="Times New Roman" w:hAnsi="Verdana" w:cs="Times New Roman"/>
                <w:b/>
                <w:bCs/>
                <w:color w:val="000000"/>
                <w:sz w:val="20"/>
                <w:szCs w:val="20"/>
                <w:lang w:eastAsia="nl-BE"/>
              </w:rPr>
              <w:t>64</w:t>
            </w:r>
          </w:p>
        </w:tc>
      </w:tr>
    </w:tbl>
    <w:p w:rsidR="00F5434E" w:rsidRDefault="00F5434E" w:rsidP="005B3BE0">
      <w:pPr>
        <w:spacing w:after="0"/>
        <w:rPr>
          <w:rFonts w:ascii="Verdana" w:hAnsi="Verdana"/>
          <w:sz w:val="20"/>
          <w:szCs w:val="20"/>
        </w:rPr>
      </w:pPr>
    </w:p>
    <w:p w:rsidR="00733321" w:rsidRPr="00F5434E" w:rsidRDefault="00733321" w:rsidP="005B3BE0">
      <w:pPr>
        <w:spacing w:after="0"/>
        <w:rPr>
          <w:rFonts w:ascii="Verdana" w:hAnsi="Verdana"/>
          <w:sz w:val="20"/>
          <w:szCs w:val="20"/>
        </w:rPr>
      </w:pPr>
      <w:r w:rsidRPr="00F5434E">
        <w:rPr>
          <w:rFonts w:ascii="Verdana" w:hAnsi="Verdana"/>
          <w:sz w:val="20"/>
          <w:szCs w:val="20"/>
        </w:rPr>
        <w:t xml:space="preserve">261 dagen </w:t>
      </w:r>
      <w:r w:rsidR="00F5434E">
        <w:rPr>
          <w:rFonts w:ascii="Verdana" w:hAnsi="Verdana"/>
          <w:sz w:val="20"/>
          <w:szCs w:val="20"/>
        </w:rPr>
        <w:t xml:space="preserve">gemiddelde </w:t>
      </w:r>
      <w:r w:rsidRPr="00F5434E">
        <w:rPr>
          <w:rFonts w:ascii="Verdana" w:hAnsi="Verdana"/>
          <w:sz w:val="20"/>
          <w:szCs w:val="20"/>
        </w:rPr>
        <w:t xml:space="preserve">doorlooptijd </w:t>
      </w:r>
    </w:p>
    <w:p w:rsidR="00864A9E" w:rsidRDefault="00B60CB7" w:rsidP="005B3BE0">
      <w:pPr>
        <w:spacing w:after="0"/>
        <w:rPr>
          <w:rFonts w:ascii="Verdana" w:hAnsi="Verdana"/>
          <w:sz w:val="20"/>
          <w:szCs w:val="20"/>
        </w:rPr>
      </w:pPr>
      <w:r w:rsidRPr="00F5434E">
        <w:rPr>
          <w:rFonts w:ascii="Verdana" w:hAnsi="Verdana"/>
          <w:sz w:val="20"/>
          <w:szCs w:val="20"/>
        </w:rPr>
        <w:t xml:space="preserve">144 dagen </w:t>
      </w:r>
      <w:r w:rsidR="00F5434E">
        <w:rPr>
          <w:rFonts w:ascii="Verdana" w:hAnsi="Verdana"/>
          <w:sz w:val="20"/>
          <w:szCs w:val="20"/>
        </w:rPr>
        <w:t xml:space="preserve">gemiddelde </w:t>
      </w:r>
      <w:r w:rsidRPr="00F5434E">
        <w:rPr>
          <w:rFonts w:ascii="Verdana" w:hAnsi="Verdana"/>
          <w:sz w:val="20"/>
          <w:szCs w:val="20"/>
        </w:rPr>
        <w:t>afhandelingstermijn</w:t>
      </w:r>
    </w:p>
    <w:p w:rsidR="00F5434E" w:rsidRPr="00F5434E" w:rsidRDefault="00F5434E" w:rsidP="005B3BE0">
      <w:pPr>
        <w:spacing w:after="0"/>
        <w:rPr>
          <w:rFonts w:ascii="Verdana" w:hAnsi="Verdana"/>
          <w:sz w:val="20"/>
          <w:szCs w:val="20"/>
        </w:rPr>
      </w:pPr>
    </w:p>
    <w:p w:rsidR="003C5BA8" w:rsidRPr="00F5434E" w:rsidRDefault="00AF69D8" w:rsidP="005B3BE0">
      <w:pPr>
        <w:pBdr>
          <w:bottom w:val="single" w:sz="4" w:space="1" w:color="auto"/>
        </w:pBdr>
        <w:spacing w:after="0"/>
        <w:rPr>
          <w:rFonts w:ascii="Verdana" w:hAnsi="Verdana"/>
          <w:b/>
          <w:sz w:val="20"/>
          <w:szCs w:val="20"/>
        </w:rPr>
      </w:pPr>
      <w:r w:rsidRPr="00F5434E">
        <w:rPr>
          <w:rFonts w:ascii="Verdana" w:hAnsi="Verdana"/>
          <w:b/>
          <w:sz w:val="20"/>
          <w:szCs w:val="20"/>
        </w:rPr>
        <w:t xml:space="preserve">2017 </w:t>
      </w:r>
    </w:p>
    <w:tbl>
      <w:tblPr>
        <w:tblW w:w="5280" w:type="dxa"/>
        <w:tblInd w:w="-70" w:type="dxa"/>
        <w:tblCellMar>
          <w:left w:w="70" w:type="dxa"/>
          <w:right w:w="70" w:type="dxa"/>
        </w:tblCellMar>
        <w:tblLook w:val="04A0" w:firstRow="1" w:lastRow="0" w:firstColumn="1" w:lastColumn="0" w:noHBand="0" w:noVBand="1"/>
      </w:tblPr>
      <w:tblGrid>
        <w:gridCol w:w="2680"/>
        <w:gridCol w:w="2600"/>
      </w:tblGrid>
      <w:tr w:rsidR="00AF69D8" w:rsidRPr="00F5434E" w:rsidTr="00F5434E">
        <w:trPr>
          <w:trHeight w:val="288"/>
        </w:trPr>
        <w:tc>
          <w:tcPr>
            <w:tcW w:w="268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Andere</w:t>
            </w:r>
          </w:p>
        </w:tc>
        <w:tc>
          <w:tcPr>
            <w:tcW w:w="260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jc w:val="right"/>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30</w:t>
            </w:r>
          </w:p>
        </w:tc>
      </w:tr>
      <w:tr w:rsidR="00AF69D8" w:rsidRPr="00F5434E" w:rsidTr="00F5434E">
        <w:trPr>
          <w:trHeight w:val="288"/>
        </w:trPr>
        <w:tc>
          <w:tcPr>
            <w:tcW w:w="268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Negatief</w:t>
            </w:r>
          </w:p>
        </w:tc>
        <w:tc>
          <w:tcPr>
            <w:tcW w:w="260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jc w:val="right"/>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2</w:t>
            </w:r>
          </w:p>
        </w:tc>
      </w:tr>
      <w:tr w:rsidR="00AF69D8" w:rsidRPr="00F5434E" w:rsidTr="00F5434E">
        <w:trPr>
          <w:trHeight w:val="288"/>
        </w:trPr>
        <w:tc>
          <w:tcPr>
            <w:tcW w:w="268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Positief</w:t>
            </w:r>
          </w:p>
        </w:tc>
        <w:tc>
          <w:tcPr>
            <w:tcW w:w="260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jc w:val="right"/>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27</w:t>
            </w:r>
          </w:p>
        </w:tc>
      </w:tr>
      <w:tr w:rsidR="00AF69D8" w:rsidRPr="00F5434E" w:rsidTr="00F5434E">
        <w:trPr>
          <w:trHeight w:val="288"/>
        </w:trPr>
        <w:tc>
          <w:tcPr>
            <w:tcW w:w="2680" w:type="dxa"/>
            <w:tcBorders>
              <w:top w:val="single" w:sz="4" w:space="0" w:color="366092"/>
              <w:left w:val="nil"/>
              <w:bottom w:val="single" w:sz="8" w:space="0" w:color="366092"/>
              <w:right w:val="nil"/>
            </w:tcBorders>
            <w:shd w:val="clear" w:color="auto" w:fill="auto"/>
            <w:noWrap/>
            <w:vAlign w:val="bottom"/>
            <w:hideMark/>
          </w:tcPr>
          <w:p w:rsidR="00AF69D8" w:rsidRPr="00F5434E" w:rsidRDefault="00AF69D8" w:rsidP="005B3BE0">
            <w:pPr>
              <w:spacing w:after="0" w:line="240" w:lineRule="auto"/>
              <w:rPr>
                <w:rFonts w:ascii="Verdana" w:eastAsia="Times New Roman" w:hAnsi="Verdana" w:cs="Times New Roman"/>
                <w:b/>
                <w:bCs/>
                <w:color w:val="000000"/>
                <w:sz w:val="20"/>
                <w:szCs w:val="20"/>
                <w:lang w:eastAsia="nl-BE"/>
              </w:rPr>
            </w:pPr>
            <w:r w:rsidRPr="00F5434E">
              <w:rPr>
                <w:rFonts w:ascii="Verdana" w:eastAsia="Times New Roman" w:hAnsi="Verdana" w:cs="Times New Roman"/>
                <w:b/>
                <w:bCs/>
                <w:color w:val="000000"/>
                <w:sz w:val="20"/>
                <w:szCs w:val="20"/>
                <w:lang w:eastAsia="nl-BE"/>
              </w:rPr>
              <w:t>Eindtotaal</w:t>
            </w:r>
          </w:p>
        </w:tc>
        <w:tc>
          <w:tcPr>
            <w:tcW w:w="2600" w:type="dxa"/>
            <w:tcBorders>
              <w:top w:val="single" w:sz="4" w:space="0" w:color="366092"/>
              <w:left w:val="nil"/>
              <w:bottom w:val="single" w:sz="8" w:space="0" w:color="366092"/>
              <w:right w:val="nil"/>
            </w:tcBorders>
            <w:shd w:val="clear" w:color="auto" w:fill="auto"/>
            <w:noWrap/>
            <w:vAlign w:val="bottom"/>
            <w:hideMark/>
          </w:tcPr>
          <w:p w:rsidR="00AF69D8" w:rsidRPr="00F5434E" w:rsidRDefault="00AF69D8" w:rsidP="005B3BE0">
            <w:pPr>
              <w:spacing w:after="0" w:line="240" w:lineRule="auto"/>
              <w:jc w:val="right"/>
              <w:rPr>
                <w:rFonts w:ascii="Verdana" w:eastAsia="Times New Roman" w:hAnsi="Verdana" w:cs="Times New Roman"/>
                <w:b/>
                <w:bCs/>
                <w:color w:val="000000"/>
                <w:sz w:val="20"/>
                <w:szCs w:val="20"/>
                <w:lang w:eastAsia="nl-BE"/>
              </w:rPr>
            </w:pPr>
            <w:r w:rsidRPr="00F5434E">
              <w:rPr>
                <w:rFonts w:ascii="Verdana" w:eastAsia="Times New Roman" w:hAnsi="Verdana" w:cs="Times New Roman"/>
                <w:b/>
                <w:bCs/>
                <w:color w:val="000000"/>
                <w:sz w:val="20"/>
                <w:szCs w:val="20"/>
                <w:lang w:eastAsia="nl-BE"/>
              </w:rPr>
              <w:t>59</w:t>
            </w:r>
          </w:p>
        </w:tc>
      </w:tr>
    </w:tbl>
    <w:p w:rsidR="00F5434E" w:rsidRDefault="00F5434E" w:rsidP="005B3BE0">
      <w:pPr>
        <w:spacing w:after="0"/>
        <w:rPr>
          <w:rFonts w:ascii="Verdana" w:hAnsi="Verdana"/>
          <w:sz w:val="20"/>
          <w:szCs w:val="20"/>
        </w:rPr>
      </w:pPr>
    </w:p>
    <w:p w:rsidR="00AF69D8" w:rsidRPr="00F5434E" w:rsidRDefault="008C4191" w:rsidP="005B3BE0">
      <w:pPr>
        <w:spacing w:after="0"/>
        <w:rPr>
          <w:rFonts w:ascii="Verdana" w:hAnsi="Verdana"/>
          <w:sz w:val="20"/>
          <w:szCs w:val="20"/>
        </w:rPr>
      </w:pPr>
      <w:r w:rsidRPr="00F5434E">
        <w:rPr>
          <w:rFonts w:ascii="Verdana" w:hAnsi="Verdana"/>
          <w:sz w:val="20"/>
          <w:szCs w:val="20"/>
        </w:rPr>
        <w:t xml:space="preserve">211 dagen </w:t>
      </w:r>
      <w:r w:rsidR="00F5434E">
        <w:rPr>
          <w:rFonts w:ascii="Verdana" w:hAnsi="Verdana"/>
          <w:sz w:val="20"/>
          <w:szCs w:val="20"/>
        </w:rPr>
        <w:t xml:space="preserve">gemiddelde </w:t>
      </w:r>
      <w:r w:rsidRPr="00F5434E">
        <w:rPr>
          <w:rFonts w:ascii="Verdana" w:hAnsi="Verdana"/>
          <w:sz w:val="20"/>
          <w:szCs w:val="20"/>
        </w:rPr>
        <w:t>doorlooptijd</w:t>
      </w:r>
    </w:p>
    <w:p w:rsidR="00355229" w:rsidRDefault="001F5D55" w:rsidP="005B3BE0">
      <w:pPr>
        <w:spacing w:after="0"/>
        <w:rPr>
          <w:rFonts w:ascii="Verdana" w:hAnsi="Verdana"/>
          <w:sz w:val="20"/>
          <w:szCs w:val="20"/>
        </w:rPr>
      </w:pPr>
      <w:r w:rsidRPr="00F5434E">
        <w:rPr>
          <w:rFonts w:ascii="Verdana" w:hAnsi="Verdana"/>
          <w:sz w:val="20"/>
          <w:szCs w:val="20"/>
        </w:rPr>
        <w:t xml:space="preserve">140 dagen </w:t>
      </w:r>
      <w:r w:rsidR="00F5434E">
        <w:rPr>
          <w:rFonts w:ascii="Verdana" w:hAnsi="Verdana"/>
          <w:sz w:val="20"/>
          <w:szCs w:val="20"/>
        </w:rPr>
        <w:t xml:space="preserve">gemiddelde </w:t>
      </w:r>
      <w:r w:rsidRPr="00F5434E">
        <w:rPr>
          <w:rFonts w:ascii="Verdana" w:hAnsi="Verdana"/>
          <w:sz w:val="20"/>
          <w:szCs w:val="20"/>
        </w:rPr>
        <w:t>afhandelingstermijn</w:t>
      </w:r>
    </w:p>
    <w:p w:rsidR="00F5434E" w:rsidRPr="00F5434E" w:rsidRDefault="00F5434E" w:rsidP="005B3BE0">
      <w:pPr>
        <w:spacing w:after="0"/>
        <w:rPr>
          <w:rFonts w:ascii="Verdana" w:hAnsi="Verdana"/>
          <w:sz w:val="20"/>
          <w:szCs w:val="20"/>
        </w:rPr>
      </w:pPr>
    </w:p>
    <w:p w:rsidR="00AF69D8" w:rsidRPr="00F5434E" w:rsidRDefault="00AF69D8" w:rsidP="005B3BE0">
      <w:pPr>
        <w:pBdr>
          <w:bottom w:val="single" w:sz="4" w:space="1" w:color="auto"/>
        </w:pBdr>
        <w:spacing w:after="0"/>
        <w:rPr>
          <w:rFonts w:ascii="Verdana" w:hAnsi="Verdana"/>
          <w:b/>
          <w:sz w:val="20"/>
          <w:szCs w:val="20"/>
        </w:rPr>
      </w:pPr>
      <w:r w:rsidRPr="00F5434E">
        <w:rPr>
          <w:rFonts w:ascii="Verdana" w:hAnsi="Verdana"/>
          <w:b/>
          <w:sz w:val="20"/>
          <w:szCs w:val="20"/>
        </w:rPr>
        <w:t xml:space="preserve">2016 </w:t>
      </w:r>
    </w:p>
    <w:tbl>
      <w:tblPr>
        <w:tblW w:w="5280" w:type="dxa"/>
        <w:tblInd w:w="-70" w:type="dxa"/>
        <w:tblCellMar>
          <w:left w:w="70" w:type="dxa"/>
          <w:right w:w="70" w:type="dxa"/>
        </w:tblCellMar>
        <w:tblLook w:val="04A0" w:firstRow="1" w:lastRow="0" w:firstColumn="1" w:lastColumn="0" w:noHBand="0" w:noVBand="1"/>
      </w:tblPr>
      <w:tblGrid>
        <w:gridCol w:w="2680"/>
        <w:gridCol w:w="2600"/>
      </w:tblGrid>
      <w:tr w:rsidR="00AF69D8" w:rsidRPr="00F5434E" w:rsidTr="00F5434E">
        <w:trPr>
          <w:trHeight w:val="288"/>
        </w:trPr>
        <w:tc>
          <w:tcPr>
            <w:tcW w:w="268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Andere</w:t>
            </w:r>
          </w:p>
        </w:tc>
        <w:tc>
          <w:tcPr>
            <w:tcW w:w="260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jc w:val="right"/>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38</w:t>
            </w:r>
          </w:p>
        </w:tc>
      </w:tr>
      <w:tr w:rsidR="00AF69D8" w:rsidRPr="00F5434E" w:rsidTr="00F5434E">
        <w:trPr>
          <w:trHeight w:val="288"/>
        </w:trPr>
        <w:tc>
          <w:tcPr>
            <w:tcW w:w="268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Negatief</w:t>
            </w:r>
          </w:p>
        </w:tc>
        <w:tc>
          <w:tcPr>
            <w:tcW w:w="260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jc w:val="right"/>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9</w:t>
            </w:r>
          </w:p>
        </w:tc>
      </w:tr>
      <w:tr w:rsidR="00AF69D8" w:rsidRPr="00F5434E" w:rsidTr="00F5434E">
        <w:trPr>
          <w:trHeight w:val="288"/>
        </w:trPr>
        <w:tc>
          <w:tcPr>
            <w:tcW w:w="268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Positief</w:t>
            </w:r>
          </w:p>
        </w:tc>
        <w:tc>
          <w:tcPr>
            <w:tcW w:w="2600" w:type="dxa"/>
            <w:tcBorders>
              <w:top w:val="nil"/>
              <w:left w:val="nil"/>
              <w:bottom w:val="nil"/>
              <w:right w:val="nil"/>
            </w:tcBorders>
            <w:shd w:val="clear" w:color="auto" w:fill="auto"/>
            <w:noWrap/>
            <w:vAlign w:val="bottom"/>
            <w:hideMark/>
          </w:tcPr>
          <w:p w:rsidR="00AF69D8" w:rsidRPr="00F5434E" w:rsidRDefault="00AF69D8" w:rsidP="005B3BE0">
            <w:pPr>
              <w:spacing w:after="0" w:line="240" w:lineRule="auto"/>
              <w:jc w:val="right"/>
              <w:rPr>
                <w:rFonts w:ascii="Verdana" w:eastAsia="Times New Roman" w:hAnsi="Verdana" w:cs="Times New Roman"/>
                <w:color w:val="000000"/>
                <w:sz w:val="20"/>
                <w:szCs w:val="20"/>
                <w:lang w:eastAsia="nl-BE"/>
              </w:rPr>
            </w:pPr>
            <w:r w:rsidRPr="00F5434E">
              <w:rPr>
                <w:rFonts w:ascii="Verdana" w:eastAsia="Times New Roman" w:hAnsi="Verdana" w:cs="Times New Roman"/>
                <w:color w:val="000000"/>
                <w:sz w:val="20"/>
                <w:szCs w:val="20"/>
                <w:lang w:eastAsia="nl-BE"/>
              </w:rPr>
              <w:t>28</w:t>
            </w:r>
          </w:p>
        </w:tc>
      </w:tr>
      <w:tr w:rsidR="00AF69D8" w:rsidRPr="00F5434E" w:rsidTr="00F5434E">
        <w:trPr>
          <w:trHeight w:val="288"/>
        </w:trPr>
        <w:tc>
          <w:tcPr>
            <w:tcW w:w="2680" w:type="dxa"/>
            <w:tcBorders>
              <w:top w:val="single" w:sz="4" w:space="0" w:color="366092"/>
              <w:left w:val="nil"/>
              <w:bottom w:val="single" w:sz="8" w:space="0" w:color="366092"/>
              <w:right w:val="nil"/>
            </w:tcBorders>
            <w:shd w:val="clear" w:color="auto" w:fill="auto"/>
            <w:noWrap/>
            <w:vAlign w:val="bottom"/>
            <w:hideMark/>
          </w:tcPr>
          <w:p w:rsidR="00AF69D8" w:rsidRPr="00F5434E" w:rsidRDefault="00AF69D8" w:rsidP="005B3BE0">
            <w:pPr>
              <w:spacing w:after="0" w:line="240" w:lineRule="auto"/>
              <w:rPr>
                <w:rFonts w:ascii="Verdana" w:eastAsia="Times New Roman" w:hAnsi="Verdana" w:cs="Times New Roman"/>
                <w:b/>
                <w:bCs/>
                <w:color w:val="000000"/>
                <w:sz w:val="20"/>
                <w:szCs w:val="20"/>
                <w:lang w:eastAsia="nl-BE"/>
              </w:rPr>
            </w:pPr>
            <w:r w:rsidRPr="00F5434E">
              <w:rPr>
                <w:rFonts w:ascii="Verdana" w:eastAsia="Times New Roman" w:hAnsi="Verdana" w:cs="Times New Roman"/>
                <w:b/>
                <w:bCs/>
                <w:color w:val="000000"/>
                <w:sz w:val="20"/>
                <w:szCs w:val="20"/>
                <w:lang w:eastAsia="nl-BE"/>
              </w:rPr>
              <w:t>Eindtotaal</w:t>
            </w:r>
          </w:p>
        </w:tc>
        <w:tc>
          <w:tcPr>
            <w:tcW w:w="2600" w:type="dxa"/>
            <w:tcBorders>
              <w:top w:val="single" w:sz="4" w:space="0" w:color="366092"/>
              <w:left w:val="nil"/>
              <w:bottom w:val="single" w:sz="8" w:space="0" w:color="366092"/>
              <w:right w:val="nil"/>
            </w:tcBorders>
            <w:shd w:val="clear" w:color="auto" w:fill="auto"/>
            <w:noWrap/>
            <w:vAlign w:val="bottom"/>
            <w:hideMark/>
          </w:tcPr>
          <w:p w:rsidR="00AF69D8" w:rsidRPr="00F5434E" w:rsidRDefault="00AF69D8" w:rsidP="005B3BE0">
            <w:pPr>
              <w:spacing w:after="0" w:line="240" w:lineRule="auto"/>
              <w:jc w:val="right"/>
              <w:rPr>
                <w:rFonts w:ascii="Verdana" w:eastAsia="Times New Roman" w:hAnsi="Verdana" w:cs="Times New Roman"/>
                <w:b/>
                <w:bCs/>
                <w:color w:val="000000"/>
                <w:sz w:val="20"/>
                <w:szCs w:val="20"/>
                <w:lang w:eastAsia="nl-BE"/>
              </w:rPr>
            </w:pPr>
            <w:r w:rsidRPr="00F5434E">
              <w:rPr>
                <w:rFonts w:ascii="Verdana" w:eastAsia="Times New Roman" w:hAnsi="Verdana" w:cs="Times New Roman"/>
                <w:b/>
                <w:bCs/>
                <w:color w:val="000000"/>
                <w:sz w:val="20"/>
                <w:szCs w:val="20"/>
                <w:lang w:eastAsia="nl-BE"/>
              </w:rPr>
              <w:t>75</w:t>
            </w:r>
          </w:p>
        </w:tc>
      </w:tr>
    </w:tbl>
    <w:p w:rsidR="00F5434E" w:rsidRDefault="00F5434E" w:rsidP="005B3BE0">
      <w:pPr>
        <w:spacing w:after="0"/>
        <w:rPr>
          <w:rFonts w:ascii="Verdana" w:hAnsi="Verdana"/>
          <w:sz w:val="20"/>
          <w:szCs w:val="20"/>
        </w:rPr>
      </w:pPr>
    </w:p>
    <w:p w:rsidR="00AF69D8" w:rsidRPr="00F5434E" w:rsidRDefault="008C4191" w:rsidP="005B3BE0">
      <w:pPr>
        <w:spacing w:after="0"/>
        <w:rPr>
          <w:rFonts w:ascii="Verdana" w:hAnsi="Verdana"/>
          <w:sz w:val="20"/>
          <w:szCs w:val="20"/>
        </w:rPr>
      </w:pPr>
      <w:r w:rsidRPr="00F5434E">
        <w:rPr>
          <w:rFonts w:ascii="Verdana" w:hAnsi="Verdana"/>
          <w:sz w:val="20"/>
          <w:szCs w:val="20"/>
        </w:rPr>
        <w:t xml:space="preserve">275 dagen </w:t>
      </w:r>
      <w:r w:rsidR="00F5434E">
        <w:rPr>
          <w:rFonts w:ascii="Verdana" w:hAnsi="Verdana"/>
          <w:sz w:val="20"/>
          <w:szCs w:val="20"/>
        </w:rPr>
        <w:t xml:space="preserve">gemiddelde </w:t>
      </w:r>
      <w:r w:rsidRPr="00F5434E">
        <w:rPr>
          <w:rFonts w:ascii="Verdana" w:hAnsi="Verdana"/>
          <w:sz w:val="20"/>
          <w:szCs w:val="20"/>
        </w:rPr>
        <w:t>doorlooptijd</w:t>
      </w:r>
    </w:p>
    <w:p w:rsidR="00355229" w:rsidRPr="00F5434E" w:rsidRDefault="00355229" w:rsidP="005B3BE0">
      <w:pPr>
        <w:spacing w:after="0"/>
        <w:rPr>
          <w:rFonts w:ascii="Verdana" w:hAnsi="Verdana"/>
          <w:sz w:val="20"/>
          <w:szCs w:val="20"/>
        </w:rPr>
      </w:pPr>
      <w:r w:rsidRPr="00F5434E">
        <w:rPr>
          <w:rFonts w:ascii="Verdana" w:hAnsi="Verdana"/>
          <w:sz w:val="20"/>
          <w:szCs w:val="20"/>
        </w:rPr>
        <w:t xml:space="preserve">187 dagen </w:t>
      </w:r>
      <w:r w:rsidR="00F5434E">
        <w:rPr>
          <w:rFonts w:ascii="Verdana" w:hAnsi="Verdana"/>
          <w:sz w:val="20"/>
          <w:szCs w:val="20"/>
        </w:rPr>
        <w:t xml:space="preserve">gemiddelde </w:t>
      </w:r>
      <w:r w:rsidRPr="00F5434E">
        <w:rPr>
          <w:rFonts w:ascii="Verdana" w:hAnsi="Verdana"/>
          <w:sz w:val="20"/>
          <w:szCs w:val="20"/>
        </w:rPr>
        <w:t>afhandelingstermijn</w:t>
      </w:r>
    </w:p>
    <w:sectPr w:rsidR="00355229" w:rsidRPr="00F54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2E7"/>
    <w:multiLevelType w:val="multilevel"/>
    <w:tmpl w:val="1BBC3CC0"/>
    <w:lvl w:ilvl="0">
      <w:start w:val="4"/>
      <w:numFmt w:val="bullet"/>
      <w:lvlText w:val="-"/>
      <w:lvlJc w:val="left"/>
      <w:pPr>
        <w:tabs>
          <w:tab w:val="num" w:pos="360"/>
        </w:tabs>
        <w:ind w:left="360" w:hanging="360"/>
      </w:pPr>
      <w:rPr>
        <w:rFonts w:ascii="Verdana" w:eastAsiaTheme="minorHAnsi" w:hAnsi="Verdana" w:cstheme="minorBidi"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ED32B3E"/>
    <w:multiLevelType w:val="hybridMultilevel"/>
    <w:tmpl w:val="2D381064"/>
    <w:lvl w:ilvl="0" w:tplc="FCB8B86A">
      <w:start w:val="201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E0530B"/>
    <w:multiLevelType w:val="hybridMultilevel"/>
    <w:tmpl w:val="06A8CDAA"/>
    <w:lvl w:ilvl="0" w:tplc="B59257B6">
      <w:start w:val="4"/>
      <w:numFmt w:val="bullet"/>
      <w:lvlText w:val="-"/>
      <w:lvlJc w:val="left"/>
      <w:pPr>
        <w:ind w:left="36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39A2829"/>
    <w:multiLevelType w:val="hybridMultilevel"/>
    <w:tmpl w:val="A4E20496"/>
    <w:lvl w:ilvl="0" w:tplc="125CB836">
      <w:start w:val="201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64F5A4D"/>
    <w:multiLevelType w:val="hybridMultilevel"/>
    <w:tmpl w:val="8AEE654E"/>
    <w:lvl w:ilvl="0" w:tplc="A184BC26">
      <w:start w:val="201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2C33198"/>
    <w:multiLevelType w:val="multilevel"/>
    <w:tmpl w:val="B6AA0B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9AB24E1"/>
    <w:multiLevelType w:val="hybridMultilevel"/>
    <w:tmpl w:val="7BB2EDD2"/>
    <w:lvl w:ilvl="0" w:tplc="B59257B6">
      <w:start w:val="4"/>
      <w:numFmt w:val="bullet"/>
      <w:lvlText w:val="-"/>
      <w:lvlJc w:val="left"/>
      <w:pPr>
        <w:ind w:left="360" w:hanging="360"/>
      </w:pPr>
      <w:rPr>
        <w:rFonts w:ascii="Verdana" w:eastAsiaTheme="minorHAnsi" w:hAnsi="Verdana"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77567A14"/>
    <w:multiLevelType w:val="hybridMultilevel"/>
    <w:tmpl w:val="C7BE5D14"/>
    <w:lvl w:ilvl="0" w:tplc="E7CC14A8">
      <w:start w:val="201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6"/>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D8"/>
    <w:rsid w:val="001D0FE2"/>
    <w:rsid w:val="001F5D55"/>
    <w:rsid w:val="00355229"/>
    <w:rsid w:val="003C5BA8"/>
    <w:rsid w:val="004A1B3F"/>
    <w:rsid w:val="005B3BE0"/>
    <w:rsid w:val="005F7744"/>
    <w:rsid w:val="00675613"/>
    <w:rsid w:val="00733321"/>
    <w:rsid w:val="00807F23"/>
    <w:rsid w:val="00864A9E"/>
    <w:rsid w:val="0087646D"/>
    <w:rsid w:val="008C4191"/>
    <w:rsid w:val="0096627D"/>
    <w:rsid w:val="00AF69D8"/>
    <w:rsid w:val="00B60CB7"/>
    <w:rsid w:val="00BC5153"/>
    <w:rsid w:val="00C172AD"/>
    <w:rsid w:val="00D040B8"/>
    <w:rsid w:val="00D214A0"/>
    <w:rsid w:val="00D44923"/>
    <w:rsid w:val="00E8169E"/>
    <w:rsid w:val="00F543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CA95"/>
  <w15:chartTrackingRefBased/>
  <w15:docId w15:val="{2D63B09C-2150-4386-AC46-F8559562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0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40506">
      <w:bodyDiv w:val="1"/>
      <w:marLeft w:val="0"/>
      <w:marRight w:val="0"/>
      <w:marTop w:val="0"/>
      <w:marBottom w:val="0"/>
      <w:divBdr>
        <w:top w:val="none" w:sz="0" w:space="0" w:color="auto"/>
        <w:left w:val="none" w:sz="0" w:space="0" w:color="auto"/>
        <w:bottom w:val="none" w:sz="0" w:space="0" w:color="auto"/>
        <w:right w:val="none" w:sz="0" w:space="0" w:color="auto"/>
      </w:divBdr>
    </w:div>
    <w:div w:id="760954555">
      <w:bodyDiv w:val="1"/>
      <w:marLeft w:val="0"/>
      <w:marRight w:val="0"/>
      <w:marTop w:val="0"/>
      <w:marBottom w:val="0"/>
      <w:divBdr>
        <w:top w:val="none" w:sz="0" w:space="0" w:color="auto"/>
        <w:left w:val="none" w:sz="0" w:space="0" w:color="auto"/>
        <w:bottom w:val="none" w:sz="0" w:space="0" w:color="auto"/>
        <w:right w:val="none" w:sz="0" w:space="0" w:color="auto"/>
      </w:divBdr>
      <w:divsChild>
        <w:div w:id="1242715820">
          <w:marLeft w:val="0"/>
          <w:marRight w:val="0"/>
          <w:marTop w:val="0"/>
          <w:marBottom w:val="0"/>
          <w:divBdr>
            <w:top w:val="none" w:sz="0" w:space="0" w:color="auto"/>
            <w:left w:val="none" w:sz="0" w:space="0" w:color="auto"/>
            <w:bottom w:val="none" w:sz="0" w:space="0" w:color="auto"/>
            <w:right w:val="none" w:sz="0" w:space="0" w:color="auto"/>
          </w:divBdr>
        </w:div>
      </w:divsChild>
    </w:div>
    <w:div w:id="774012254">
      <w:bodyDiv w:val="1"/>
      <w:marLeft w:val="0"/>
      <w:marRight w:val="0"/>
      <w:marTop w:val="0"/>
      <w:marBottom w:val="0"/>
      <w:divBdr>
        <w:top w:val="none" w:sz="0" w:space="0" w:color="auto"/>
        <w:left w:val="none" w:sz="0" w:space="0" w:color="auto"/>
        <w:bottom w:val="none" w:sz="0" w:space="0" w:color="auto"/>
        <w:right w:val="none" w:sz="0" w:space="0" w:color="auto"/>
      </w:divBdr>
    </w:div>
    <w:div w:id="831026988">
      <w:bodyDiv w:val="1"/>
      <w:marLeft w:val="0"/>
      <w:marRight w:val="0"/>
      <w:marTop w:val="0"/>
      <w:marBottom w:val="0"/>
      <w:divBdr>
        <w:top w:val="none" w:sz="0" w:space="0" w:color="auto"/>
        <w:left w:val="none" w:sz="0" w:space="0" w:color="auto"/>
        <w:bottom w:val="none" w:sz="0" w:space="0" w:color="auto"/>
        <w:right w:val="none" w:sz="0" w:space="0" w:color="auto"/>
      </w:divBdr>
    </w:div>
    <w:div w:id="1007446027">
      <w:bodyDiv w:val="1"/>
      <w:marLeft w:val="0"/>
      <w:marRight w:val="0"/>
      <w:marTop w:val="0"/>
      <w:marBottom w:val="0"/>
      <w:divBdr>
        <w:top w:val="none" w:sz="0" w:space="0" w:color="auto"/>
        <w:left w:val="none" w:sz="0" w:space="0" w:color="auto"/>
        <w:bottom w:val="none" w:sz="0" w:space="0" w:color="auto"/>
        <w:right w:val="none" w:sz="0" w:space="0" w:color="auto"/>
      </w:divBdr>
    </w:div>
    <w:div w:id="1161114540">
      <w:bodyDiv w:val="1"/>
      <w:marLeft w:val="0"/>
      <w:marRight w:val="0"/>
      <w:marTop w:val="0"/>
      <w:marBottom w:val="0"/>
      <w:divBdr>
        <w:top w:val="none" w:sz="0" w:space="0" w:color="auto"/>
        <w:left w:val="none" w:sz="0" w:space="0" w:color="auto"/>
        <w:bottom w:val="none" w:sz="0" w:space="0" w:color="auto"/>
        <w:right w:val="none" w:sz="0" w:space="0" w:color="auto"/>
      </w:divBdr>
    </w:div>
    <w:div w:id="1540781913">
      <w:bodyDiv w:val="1"/>
      <w:marLeft w:val="0"/>
      <w:marRight w:val="0"/>
      <w:marTop w:val="0"/>
      <w:marBottom w:val="0"/>
      <w:divBdr>
        <w:top w:val="none" w:sz="0" w:space="0" w:color="auto"/>
        <w:left w:val="none" w:sz="0" w:space="0" w:color="auto"/>
        <w:bottom w:val="none" w:sz="0" w:space="0" w:color="auto"/>
        <w:right w:val="none" w:sz="0" w:space="0" w:color="auto"/>
      </w:divBdr>
    </w:div>
    <w:div w:id="1550073506">
      <w:bodyDiv w:val="1"/>
      <w:marLeft w:val="0"/>
      <w:marRight w:val="0"/>
      <w:marTop w:val="0"/>
      <w:marBottom w:val="0"/>
      <w:divBdr>
        <w:top w:val="none" w:sz="0" w:space="0" w:color="auto"/>
        <w:left w:val="none" w:sz="0" w:space="0" w:color="auto"/>
        <w:bottom w:val="none" w:sz="0" w:space="0" w:color="auto"/>
        <w:right w:val="none" w:sz="0" w:space="0" w:color="auto"/>
      </w:divBdr>
    </w:div>
    <w:div w:id="1664355160">
      <w:bodyDiv w:val="1"/>
      <w:marLeft w:val="0"/>
      <w:marRight w:val="0"/>
      <w:marTop w:val="0"/>
      <w:marBottom w:val="0"/>
      <w:divBdr>
        <w:top w:val="none" w:sz="0" w:space="0" w:color="auto"/>
        <w:left w:val="none" w:sz="0" w:space="0" w:color="auto"/>
        <w:bottom w:val="none" w:sz="0" w:space="0" w:color="auto"/>
        <w:right w:val="none" w:sz="0" w:space="0" w:color="auto"/>
      </w:divBdr>
    </w:div>
    <w:div w:id="2122921198">
      <w:bodyDiv w:val="1"/>
      <w:marLeft w:val="0"/>
      <w:marRight w:val="0"/>
      <w:marTop w:val="0"/>
      <w:marBottom w:val="0"/>
      <w:divBdr>
        <w:top w:val="none" w:sz="0" w:space="0" w:color="auto"/>
        <w:left w:val="none" w:sz="0" w:space="0" w:color="auto"/>
        <w:bottom w:val="none" w:sz="0" w:space="0" w:color="auto"/>
        <w:right w:val="none" w:sz="0" w:space="0" w:color="auto"/>
      </w:divBdr>
    </w:div>
    <w:div w:id="2137483525">
      <w:bodyDiv w:val="1"/>
      <w:marLeft w:val="0"/>
      <w:marRight w:val="0"/>
      <w:marTop w:val="0"/>
      <w:marBottom w:val="0"/>
      <w:divBdr>
        <w:top w:val="none" w:sz="0" w:space="0" w:color="auto"/>
        <w:left w:val="none" w:sz="0" w:space="0" w:color="auto"/>
        <w:bottom w:val="none" w:sz="0" w:space="0" w:color="auto"/>
        <w:right w:val="none" w:sz="0" w:space="0" w:color="auto"/>
      </w:divBdr>
      <w:divsChild>
        <w:div w:id="1632008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Hoof Pieter-Jan</dc:creator>
  <cp:keywords/>
  <dc:description/>
  <cp:lastModifiedBy>Tytgat, Caroline</cp:lastModifiedBy>
  <cp:revision>2</cp:revision>
  <dcterms:created xsi:type="dcterms:W3CDTF">2018-05-28T13:23:00Z</dcterms:created>
  <dcterms:modified xsi:type="dcterms:W3CDTF">2018-05-28T13:23:00Z</dcterms:modified>
</cp:coreProperties>
</file>