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3AFF" w14:textId="7EE3354A" w:rsidR="00F204C1" w:rsidRPr="00F204C1" w:rsidRDefault="00F204C1" w:rsidP="00F204C1">
      <w:pPr>
        <w:spacing w:after="0"/>
        <w:jc w:val="right"/>
        <w:rPr>
          <w:u w:val="single"/>
        </w:rPr>
      </w:pPr>
      <w:r w:rsidRPr="00F204C1">
        <w:rPr>
          <w:u w:val="single"/>
        </w:rPr>
        <w:t>Bij</w:t>
      </w:r>
      <w:r w:rsidR="000064B0" w:rsidRPr="00F204C1">
        <w:rPr>
          <w:u w:val="single"/>
        </w:rPr>
        <w:t>lage</w:t>
      </w:r>
    </w:p>
    <w:p w14:paraId="2462689D" w14:textId="77777777" w:rsidR="00F204C1" w:rsidRPr="001F0D89" w:rsidRDefault="00F204C1" w:rsidP="0060336F">
      <w:pPr>
        <w:spacing w:after="0"/>
        <w:rPr>
          <w:rFonts w:ascii="Verdana" w:hAnsi="Verdana"/>
          <w:sz w:val="20"/>
          <w:szCs w:val="20"/>
        </w:rPr>
      </w:pPr>
    </w:p>
    <w:p w14:paraId="6D80443A" w14:textId="77777777" w:rsidR="00F204C1" w:rsidRPr="001F0D89" w:rsidRDefault="00F204C1" w:rsidP="0060336F">
      <w:pPr>
        <w:spacing w:after="0"/>
        <w:rPr>
          <w:rFonts w:ascii="Verdana" w:hAnsi="Verdana"/>
          <w:sz w:val="20"/>
          <w:szCs w:val="20"/>
        </w:rPr>
      </w:pPr>
    </w:p>
    <w:p w14:paraId="272BEBCF" w14:textId="43092257" w:rsidR="00CF232B" w:rsidRPr="001F0D89" w:rsidRDefault="00F204C1" w:rsidP="00F204C1">
      <w:pPr>
        <w:spacing w:after="0"/>
        <w:jc w:val="center"/>
        <w:rPr>
          <w:rFonts w:ascii="Verdana" w:hAnsi="Verdana"/>
          <w:b/>
          <w:sz w:val="24"/>
          <w:szCs w:val="24"/>
        </w:rPr>
      </w:pPr>
      <w:r w:rsidRPr="001F0D89">
        <w:rPr>
          <w:rFonts w:ascii="Verdana" w:hAnsi="Verdana"/>
          <w:b/>
          <w:sz w:val="24"/>
          <w:szCs w:val="24"/>
        </w:rPr>
        <w:t>Statistiek Vlaanderen : toelichting over het projectiemechanisme bij de Vlaamse gemeentelijke demografische vooruitzichten</w:t>
      </w:r>
    </w:p>
    <w:p w14:paraId="5B023E09" w14:textId="77777777" w:rsidR="00CF232B" w:rsidRPr="0060336F" w:rsidRDefault="00CF232B" w:rsidP="0060336F">
      <w:pPr>
        <w:spacing w:after="0"/>
        <w:rPr>
          <w:rFonts w:ascii="Verdana" w:hAnsi="Verdana"/>
          <w:sz w:val="20"/>
          <w:szCs w:val="20"/>
          <w:u w:val="single"/>
        </w:rPr>
      </w:pPr>
    </w:p>
    <w:p w14:paraId="0626839E" w14:textId="65FD28DA" w:rsidR="00F204C1" w:rsidRPr="0060336F" w:rsidRDefault="00F204C1" w:rsidP="0060336F">
      <w:pPr>
        <w:spacing w:after="0"/>
        <w:rPr>
          <w:rFonts w:ascii="Verdana" w:hAnsi="Verdana"/>
          <w:sz w:val="20"/>
          <w:szCs w:val="20"/>
          <w:u w:val="single"/>
        </w:rPr>
      </w:pPr>
    </w:p>
    <w:p w14:paraId="0F490CBF" w14:textId="0061C5A1" w:rsidR="00F204C1" w:rsidRPr="0060336F" w:rsidRDefault="00F204C1" w:rsidP="00F204C1">
      <w:pPr>
        <w:jc w:val="both"/>
        <w:rPr>
          <w:rFonts w:ascii="Verdana" w:hAnsi="Verdana"/>
          <w:sz w:val="20"/>
          <w:szCs w:val="20"/>
        </w:rPr>
      </w:pPr>
      <w:r w:rsidRPr="001F0D89">
        <w:rPr>
          <w:rFonts w:ascii="Verdana" w:hAnsi="Verdana"/>
          <w:sz w:val="20"/>
          <w:szCs w:val="20"/>
        </w:rPr>
        <w:t>Metadata van de jong</w:t>
      </w:r>
      <w:bookmarkStart w:id="0" w:name="_GoBack"/>
      <w:bookmarkEnd w:id="0"/>
      <w:r w:rsidRPr="001F0D89">
        <w:rPr>
          <w:rFonts w:ascii="Verdana" w:hAnsi="Verdana"/>
          <w:sz w:val="20"/>
          <w:szCs w:val="20"/>
        </w:rPr>
        <w:t xml:space="preserve">ste Vlaamse gemeentelijke demografische vooruitzichten kunnen geraadpleegd worden op de publieke website van Statistiek Vlaanderen (Lodewijckx, Pelfrene &amp; Schockaert, 2018): </w:t>
      </w:r>
      <w:hyperlink r:id="rId11" w:history="1">
        <w:r w:rsidRPr="001F0D89">
          <w:rPr>
            <w:rStyle w:val="Hyperlink"/>
            <w:rFonts w:ascii="Verdana" w:hAnsi="Verdana"/>
            <w:sz w:val="20"/>
            <w:szCs w:val="20"/>
          </w:rPr>
          <w:t>http://www.statistiekvlaanderen.be/vlaamse-gemeentelijke-demografische-vooruitzichten--2018-2035</w:t>
        </w:r>
      </w:hyperlink>
      <w:r w:rsidRPr="0060336F">
        <w:rPr>
          <w:rFonts w:ascii="Verdana" w:hAnsi="Verdana"/>
          <w:sz w:val="20"/>
          <w:szCs w:val="20"/>
        </w:rPr>
        <w:t>.</w:t>
      </w:r>
    </w:p>
    <w:p w14:paraId="34142B5B" w14:textId="77777777" w:rsidR="00F204C1" w:rsidRPr="001F0D89" w:rsidRDefault="00F204C1" w:rsidP="00F204C1">
      <w:pPr>
        <w:pStyle w:val="Default"/>
        <w:spacing w:line="276" w:lineRule="auto"/>
        <w:ind w:left="708"/>
        <w:jc w:val="both"/>
        <w:rPr>
          <w:rFonts w:ascii="Verdana" w:hAnsi="Verdana"/>
          <w:sz w:val="20"/>
          <w:szCs w:val="20"/>
        </w:rPr>
      </w:pPr>
      <w:r w:rsidRPr="0060336F">
        <w:rPr>
          <w:rFonts w:ascii="Verdana" w:hAnsi="Verdana"/>
          <w:color w:val="auto"/>
          <w:sz w:val="20"/>
          <w:szCs w:val="20"/>
        </w:rPr>
        <w:t>Voor de bevolkingsvooruitzichten, zie ‘Metada</w:t>
      </w:r>
      <w:r w:rsidRPr="001F0D89">
        <w:rPr>
          <w:rFonts w:ascii="Verdana" w:hAnsi="Verdana"/>
          <w:sz w:val="20"/>
          <w:szCs w:val="20"/>
        </w:rPr>
        <w:t>ta’ onder ‘Vooruitberekening bevolking’ (of ‘loop bevolking’), getiteld: Vlaamse gemeentelijke demografische vooruitzichten 2018-2035. Deel 1. Bevolkingsvooruitzichten: hypotheses en werkwijzen.</w:t>
      </w:r>
    </w:p>
    <w:p w14:paraId="04D02498" w14:textId="77777777" w:rsidR="00F204C1" w:rsidRPr="001F0D89" w:rsidRDefault="00F204C1" w:rsidP="00F204C1">
      <w:pPr>
        <w:pStyle w:val="Default"/>
        <w:spacing w:line="276" w:lineRule="auto"/>
        <w:ind w:left="708"/>
        <w:jc w:val="both"/>
        <w:rPr>
          <w:rFonts w:ascii="Verdana" w:hAnsi="Verdana"/>
          <w:sz w:val="20"/>
          <w:szCs w:val="20"/>
        </w:rPr>
      </w:pPr>
    </w:p>
    <w:p w14:paraId="4018893A" w14:textId="77777777" w:rsidR="00F204C1" w:rsidRPr="001F0D89" w:rsidRDefault="00F204C1" w:rsidP="00F204C1">
      <w:pPr>
        <w:pStyle w:val="Default"/>
        <w:spacing w:line="276" w:lineRule="auto"/>
        <w:ind w:left="708"/>
        <w:jc w:val="both"/>
        <w:rPr>
          <w:rFonts w:ascii="Verdana" w:hAnsi="Verdana"/>
          <w:sz w:val="20"/>
          <w:szCs w:val="20"/>
        </w:rPr>
      </w:pPr>
      <w:r w:rsidRPr="001F0D89">
        <w:rPr>
          <w:rFonts w:ascii="Verdana" w:hAnsi="Verdana"/>
          <w:sz w:val="20"/>
          <w:szCs w:val="20"/>
        </w:rPr>
        <w:t>Voor de huishoudensvooruitzichten, zie ‘Metadata’ onder ‘Vooruitberekening huishoudens’, getiteld: Vlaamse gemeentelijke demografische vooruitzichten 2018-2035. Deel 2. Huishoudensvooruitzichten: hypotheses en werkwijzen.</w:t>
      </w:r>
    </w:p>
    <w:p w14:paraId="08553DC8" w14:textId="77777777" w:rsidR="00F204C1" w:rsidRPr="001F0D89" w:rsidRDefault="00F204C1" w:rsidP="00F204C1">
      <w:pPr>
        <w:spacing w:after="0"/>
        <w:rPr>
          <w:rFonts w:ascii="Verdana" w:hAnsi="Verdana"/>
          <w:sz w:val="20"/>
          <w:szCs w:val="20"/>
        </w:rPr>
      </w:pPr>
    </w:p>
    <w:p w14:paraId="492FCE9D" w14:textId="77777777" w:rsidR="00F204C1" w:rsidRPr="001F0D89" w:rsidRDefault="00F204C1" w:rsidP="00F204C1">
      <w:pPr>
        <w:spacing w:after="0"/>
        <w:rPr>
          <w:rFonts w:ascii="Verdana" w:hAnsi="Verdana"/>
          <w:sz w:val="20"/>
          <w:szCs w:val="20"/>
        </w:rPr>
      </w:pPr>
    </w:p>
    <w:p w14:paraId="4A163646" w14:textId="77777777" w:rsidR="00F204C1" w:rsidRPr="001F0D89" w:rsidRDefault="00F204C1" w:rsidP="00F204C1">
      <w:pPr>
        <w:pStyle w:val="Lijstalinea"/>
        <w:numPr>
          <w:ilvl w:val="0"/>
          <w:numId w:val="5"/>
        </w:numPr>
        <w:spacing w:after="200" w:line="276" w:lineRule="auto"/>
        <w:contextualSpacing/>
        <w:rPr>
          <w:rFonts w:ascii="Verdana" w:hAnsi="Verdana"/>
          <w:sz w:val="20"/>
          <w:szCs w:val="20"/>
        </w:rPr>
      </w:pPr>
      <w:r w:rsidRPr="001F0D89">
        <w:rPr>
          <w:rFonts w:ascii="Verdana" w:hAnsi="Verdana"/>
          <w:sz w:val="20"/>
          <w:szCs w:val="20"/>
        </w:rPr>
        <w:t>Cohort-component methode</w:t>
      </w:r>
    </w:p>
    <w:p w14:paraId="512D0215" w14:textId="77777777" w:rsidR="00F204C1" w:rsidRPr="001F0D89" w:rsidRDefault="00F204C1" w:rsidP="00F204C1">
      <w:pPr>
        <w:pStyle w:val="Default"/>
        <w:spacing w:line="276" w:lineRule="auto"/>
        <w:jc w:val="both"/>
        <w:rPr>
          <w:rFonts w:ascii="Verdana" w:hAnsi="Verdana"/>
          <w:sz w:val="20"/>
          <w:szCs w:val="20"/>
        </w:rPr>
      </w:pPr>
      <w:r w:rsidRPr="001F0D89">
        <w:rPr>
          <w:rFonts w:ascii="Verdana" w:hAnsi="Verdana"/>
          <w:sz w:val="20"/>
          <w:szCs w:val="20"/>
        </w:rPr>
        <w:t>Het document met metadata van de bevolkingsvooruitzichten geeft uitleg hoe de diverse jaarlijkse bewegingen van de bevolking in steden en gemeenten in rekening zijn gebracht:</w:t>
      </w:r>
    </w:p>
    <w:p w14:paraId="46B5B3A0" w14:textId="77777777" w:rsidR="00F204C1" w:rsidRPr="001F0D89" w:rsidRDefault="00F204C1" w:rsidP="00F204C1">
      <w:pPr>
        <w:pStyle w:val="Default"/>
        <w:jc w:val="both"/>
        <w:rPr>
          <w:rFonts w:ascii="Verdana" w:hAnsi="Verdana"/>
          <w:sz w:val="20"/>
          <w:szCs w:val="20"/>
        </w:rPr>
      </w:pPr>
    </w:p>
    <w:p w14:paraId="43B8CC5A" w14:textId="77777777" w:rsidR="00F204C1" w:rsidRPr="001F0D89" w:rsidRDefault="00F204C1" w:rsidP="00F204C1">
      <w:pPr>
        <w:pStyle w:val="Default"/>
        <w:jc w:val="both"/>
        <w:rPr>
          <w:rFonts w:ascii="Verdana" w:hAnsi="Verdana"/>
          <w:sz w:val="20"/>
          <w:szCs w:val="20"/>
        </w:rPr>
      </w:pPr>
      <w:r w:rsidRPr="001F0D89">
        <w:rPr>
          <w:rFonts w:ascii="Verdana" w:hAnsi="Verdana"/>
          <w:sz w:val="20"/>
          <w:szCs w:val="20"/>
        </w:rPr>
        <w:t>“Een eenvoudige methode voor het maken van een bevolkingsprojectie is de ‘cohort-component’-methode (UN, 1956). Die bestaat erin de bevolkingsaantallen in de toekomst te schatten aan de hand van de huidige bevolking en door rekening te houden met de kansen om te overlijden en te emigreren aan de ene kant (uitstroom) en met de geboorten en de immigraties aan de andere kant (instroom). Op deze manier wordt de bevolking telkens een jaar verder in de tijd geprojecteerd.” (p.7).</w:t>
      </w:r>
    </w:p>
    <w:p w14:paraId="2384809F" w14:textId="77777777" w:rsidR="00F204C1" w:rsidRPr="001F0D89" w:rsidRDefault="00F204C1" w:rsidP="00F204C1">
      <w:pPr>
        <w:pStyle w:val="Default"/>
        <w:jc w:val="both"/>
        <w:rPr>
          <w:rFonts w:ascii="Verdana" w:hAnsi="Verdana"/>
          <w:sz w:val="20"/>
          <w:szCs w:val="20"/>
        </w:rPr>
      </w:pPr>
    </w:p>
    <w:p w14:paraId="2D472B21" w14:textId="77777777" w:rsidR="00F204C1" w:rsidRPr="001F0D89" w:rsidRDefault="00F204C1" w:rsidP="00F204C1">
      <w:pPr>
        <w:pStyle w:val="Default"/>
        <w:spacing w:line="276" w:lineRule="auto"/>
        <w:jc w:val="both"/>
        <w:rPr>
          <w:rFonts w:ascii="Verdana" w:hAnsi="Verdana"/>
          <w:sz w:val="20"/>
          <w:szCs w:val="20"/>
        </w:rPr>
      </w:pPr>
      <w:r w:rsidRPr="001F0D89">
        <w:rPr>
          <w:rFonts w:ascii="Verdana" w:hAnsi="Verdana"/>
          <w:sz w:val="20"/>
          <w:szCs w:val="20"/>
        </w:rPr>
        <w:t>De kansen op geboorte van een kind, de overlijdenskansen, de emigratiekansen en de immigraties zijn bepaald per leeftijd, geslacht en gemeente.</w:t>
      </w:r>
    </w:p>
    <w:p w14:paraId="1E4E62E3" w14:textId="77777777" w:rsidR="00F204C1" w:rsidRPr="001F0D89" w:rsidRDefault="00F204C1" w:rsidP="00F204C1">
      <w:pPr>
        <w:pStyle w:val="Default"/>
        <w:spacing w:line="276" w:lineRule="auto"/>
        <w:jc w:val="both"/>
        <w:rPr>
          <w:rFonts w:ascii="Verdana" w:hAnsi="Verdana"/>
          <w:sz w:val="20"/>
          <w:szCs w:val="20"/>
        </w:rPr>
      </w:pPr>
    </w:p>
    <w:p w14:paraId="40346665" w14:textId="77777777" w:rsidR="00F204C1" w:rsidRPr="001F0D89" w:rsidRDefault="00F204C1" w:rsidP="00F204C1">
      <w:pPr>
        <w:pStyle w:val="Default"/>
        <w:spacing w:line="276" w:lineRule="auto"/>
        <w:jc w:val="both"/>
        <w:rPr>
          <w:rFonts w:ascii="Verdana" w:hAnsi="Verdana"/>
          <w:sz w:val="20"/>
          <w:szCs w:val="20"/>
        </w:rPr>
      </w:pPr>
    </w:p>
    <w:p w14:paraId="354918EB" w14:textId="745A7E3E" w:rsidR="00F204C1" w:rsidRPr="001F0D89" w:rsidRDefault="00BC3B7E" w:rsidP="00F204C1">
      <w:pPr>
        <w:pStyle w:val="Default"/>
        <w:numPr>
          <w:ilvl w:val="0"/>
          <w:numId w:val="5"/>
        </w:numPr>
        <w:spacing w:line="276" w:lineRule="auto"/>
        <w:jc w:val="both"/>
        <w:rPr>
          <w:rFonts w:ascii="Verdana" w:hAnsi="Verdana"/>
          <w:sz w:val="20"/>
          <w:szCs w:val="20"/>
        </w:rPr>
      </w:pPr>
      <w:r w:rsidRPr="001F0D89">
        <w:rPr>
          <w:rFonts w:ascii="Verdana" w:hAnsi="Verdana"/>
          <w:sz w:val="20"/>
          <w:szCs w:val="20"/>
        </w:rPr>
        <w:t>M</w:t>
      </w:r>
      <w:r w:rsidR="00F204C1" w:rsidRPr="001F0D89">
        <w:rPr>
          <w:rFonts w:ascii="Verdana" w:hAnsi="Verdana"/>
          <w:sz w:val="20"/>
          <w:szCs w:val="20"/>
        </w:rPr>
        <w:t>igraties</w:t>
      </w:r>
    </w:p>
    <w:p w14:paraId="504DBC3F" w14:textId="77777777" w:rsidR="00F204C1" w:rsidRPr="001F0D89" w:rsidRDefault="00F204C1" w:rsidP="00F204C1">
      <w:pPr>
        <w:pStyle w:val="Default"/>
        <w:spacing w:line="276" w:lineRule="auto"/>
        <w:jc w:val="both"/>
        <w:rPr>
          <w:rFonts w:ascii="Verdana" w:hAnsi="Verdana"/>
          <w:sz w:val="20"/>
          <w:szCs w:val="20"/>
        </w:rPr>
      </w:pPr>
    </w:p>
    <w:p w14:paraId="513BA4A9" w14:textId="77777777" w:rsidR="00F204C1" w:rsidRPr="001F0D89" w:rsidRDefault="00F204C1" w:rsidP="00F204C1">
      <w:pPr>
        <w:pStyle w:val="Default"/>
        <w:spacing w:line="276" w:lineRule="auto"/>
        <w:jc w:val="both"/>
        <w:rPr>
          <w:rFonts w:ascii="Verdana" w:hAnsi="Verdana"/>
          <w:sz w:val="20"/>
          <w:szCs w:val="20"/>
        </w:rPr>
      </w:pPr>
      <w:r w:rsidRPr="001F0D89">
        <w:rPr>
          <w:rFonts w:ascii="Verdana" w:hAnsi="Verdana"/>
          <w:sz w:val="20"/>
          <w:szCs w:val="20"/>
        </w:rPr>
        <w:t>Bij de migraties wordt onderscheid gemaakt tussen de internationale migraties en de interne/binnenlandse migraties.</w:t>
      </w:r>
    </w:p>
    <w:p w14:paraId="7828D72F" w14:textId="77777777" w:rsidR="00F204C1" w:rsidRPr="001F0D89" w:rsidRDefault="00F204C1" w:rsidP="00F204C1">
      <w:pPr>
        <w:pStyle w:val="Default"/>
        <w:spacing w:line="276" w:lineRule="auto"/>
        <w:jc w:val="both"/>
        <w:rPr>
          <w:rFonts w:ascii="Verdana" w:hAnsi="Verdana"/>
          <w:sz w:val="20"/>
          <w:szCs w:val="20"/>
        </w:rPr>
      </w:pPr>
    </w:p>
    <w:p w14:paraId="0E932235" w14:textId="4B6DB516" w:rsidR="00F204C1" w:rsidRPr="001F0D89" w:rsidRDefault="00F204C1" w:rsidP="00F204C1">
      <w:pPr>
        <w:pStyle w:val="Default"/>
        <w:spacing w:line="276" w:lineRule="auto"/>
        <w:jc w:val="both"/>
        <w:rPr>
          <w:rFonts w:ascii="Verdana" w:hAnsi="Verdana"/>
          <w:sz w:val="20"/>
          <w:szCs w:val="20"/>
        </w:rPr>
      </w:pPr>
      <w:r w:rsidRPr="001F0D89">
        <w:rPr>
          <w:rFonts w:ascii="Verdana" w:hAnsi="Verdana"/>
          <w:sz w:val="20"/>
          <w:szCs w:val="20"/>
        </w:rPr>
        <w:t xml:space="preserve">De interne of binnenlandse migraties betreffen het geheel van migraties tussen steden en gemeenten binnen België (volgens de gangbare definitie van de nationale bevolkingsstatistieken). </w:t>
      </w:r>
      <w:r w:rsidR="00BC3B7E" w:rsidRPr="001F0D89">
        <w:rPr>
          <w:rFonts w:ascii="Verdana" w:hAnsi="Verdana"/>
          <w:sz w:val="20"/>
          <w:szCs w:val="20"/>
        </w:rPr>
        <w:t xml:space="preserve">Er wordt een </w:t>
      </w:r>
      <w:r w:rsidRPr="001F0D89">
        <w:rPr>
          <w:rFonts w:ascii="Verdana" w:hAnsi="Verdana"/>
          <w:sz w:val="20"/>
          <w:szCs w:val="20"/>
        </w:rPr>
        <w:t xml:space="preserve">onderscheid </w:t>
      </w:r>
      <w:r w:rsidR="00BC3B7E" w:rsidRPr="001F0D89">
        <w:rPr>
          <w:rFonts w:ascii="Verdana" w:hAnsi="Verdana"/>
          <w:sz w:val="20"/>
          <w:szCs w:val="20"/>
        </w:rPr>
        <w:t xml:space="preserve">gemaakt </w:t>
      </w:r>
      <w:r w:rsidRPr="001F0D89">
        <w:rPr>
          <w:rFonts w:ascii="Verdana" w:hAnsi="Verdana"/>
          <w:sz w:val="20"/>
          <w:szCs w:val="20"/>
        </w:rPr>
        <w:t xml:space="preserve">tussen interne immigratie (inwijking vanuit een andere stad of gemeente van België) en </w:t>
      </w:r>
      <w:r w:rsidR="0060336F">
        <w:rPr>
          <w:rFonts w:ascii="Verdana" w:hAnsi="Verdana"/>
          <w:sz w:val="20"/>
          <w:szCs w:val="20"/>
        </w:rPr>
        <w:t>in</w:t>
      </w:r>
      <w:r w:rsidRPr="001F0D89">
        <w:rPr>
          <w:rFonts w:ascii="Verdana" w:hAnsi="Verdana"/>
          <w:sz w:val="20"/>
          <w:szCs w:val="20"/>
        </w:rPr>
        <w:t>terne emigratie (uitwijking naar een andere stad of gemeente van België).</w:t>
      </w:r>
      <w:r w:rsidR="00BC3B7E" w:rsidRPr="001F0D89">
        <w:rPr>
          <w:rFonts w:ascii="Verdana" w:hAnsi="Verdana"/>
          <w:sz w:val="20"/>
          <w:szCs w:val="20"/>
        </w:rPr>
        <w:t xml:space="preserve"> </w:t>
      </w:r>
      <w:r w:rsidRPr="001F0D89">
        <w:rPr>
          <w:rFonts w:ascii="Verdana" w:hAnsi="Verdana"/>
          <w:sz w:val="20"/>
          <w:szCs w:val="20"/>
        </w:rPr>
        <w:t>Hoofdstuk 6 van de metadata bevolking geeft daarover verslag.</w:t>
      </w:r>
    </w:p>
    <w:p w14:paraId="730D2D2E" w14:textId="32BB32CF" w:rsidR="00F204C1" w:rsidRPr="001F0D89" w:rsidRDefault="00BC3B7E" w:rsidP="00F204C1">
      <w:pPr>
        <w:pStyle w:val="Default"/>
        <w:spacing w:line="276" w:lineRule="auto"/>
        <w:jc w:val="both"/>
        <w:rPr>
          <w:rFonts w:ascii="Verdana" w:hAnsi="Verdana"/>
          <w:sz w:val="20"/>
          <w:szCs w:val="20"/>
        </w:rPr>
      </w:pPr>
      <w:r w:rsidRPr="001F0D89">
        <w:rPr>
          <w:rFonts w:ascii="Verdana" w:hAnsi="Verdana"/>
          <w:sz w:val="20"/>
          <w:szCs w:val="20"/>
        </w:rPr>
        <w:t>D</w:t>
      </w:r>
      <w:r w:rsidR="00F204C1" w:rsidRPr="001F0D89">
        <w:rPr>
          <w:rFonts w:ascii="Verdana" w:hAnsi="Verdana"/>
          <w:sz w:val="20"/>
          <w:szCs w:val="20"/>
        </w:rPr>
        <w:t xml:space="preserve">aarbij </w:t>
      </w:r>
      <w:r w:rsidRPr="001F0D89">
        <w:rPr>
          <w:rFonts w:ascii="Verdana" w:hAnsi="Verdana"/>
          <w:sz w:val="20"/>
          <w:szCs w:val="20"/>
        </w:rPr>
        <w:t xml:space="preserve">is een </w:t>
      </w:r>
      <w:r w:rsidR="00F204C1" w:rsidRPr="001F0D89">
        <w:rPr>
          <w:rFonts w:ascii="Verdana" w:hAnsi="Verdana"/>
          <w:sz w:val="20"/>
          <w:szCs w:val="20"/>
        </w:rPr>
        <w:t>onderscheid gemaakt tussen migraties tussen Vlaamse gemeenten enerzijds en intergewestelijke migraties.</w:t>
      </w:r>
    </w:p>
    <w:p w14:paraId="5B8B24D0" w14:textId="77777777" w:rsidR="00F204C1" w:rsidRPr="001F0D89" w:rsidRDefault="00F204C1" w:rsidP="00F204C1">
      <w:pPr>
        <w:pStyle w:val="Default"/>
        <w:spacing w:line="276" w:lineRule="auto"/>
        <w:jc w:val="both"/>
        <w:rPr>
          <w:rFonts w:ascii="Verdana" w:hAnsi="Verdana"/>
          <w:sz w:val="20"/>
          <w:szCs w:val="20"/>
        </w:rPr>
      </w:pPr>
    </w:p>
    <w:p w14:paraId="4C5814E9" w14:textId="77777777" w:rsidR="00F204C1" w:rsidRPr="001F0D89" w:rsidRDefault="00F204C1" w:rsidP="00F204C1">
      <w:pPr>
        <w:pStyle w:val="Default"/>
        <w:spacing w:line="276" w:lineRule="auto"/>
        <w:jc w:val="both"/>
        <w:rPr>
          <w:rFonts w:ascii="Verdana" w:hAnsi="Verdana"/>
          <w:sz w:val="20"/>
          <w:szCs w:val="20"/>
        </w:rPr>
      </w:pPr>
    </w:p>
    <w:p w14:paraId="6A2707CF" w14:textId="3A593759" w:rsidR="00F204C1" w:rsidRPr="001F0D89" w:rsidRDefault="00BC3B7E" w:rsidP="00F204C1">
      <w:pPr>
        <w:pStyle w:val="Default"/>
        <w:spacing w:line="276" w:lineRule="auto"/>
        <w:jc w:val="both"/>
        <w:rPr>
          <w:rFonts w:ascii="Verdana" w:hAnsi="Verdana"/>
          <w:sz w:val="20"/>
          <w:szCs w:val="20"/>
        </w:rPr>
      </w:pPr>
      <w:r w:rsidRPr="001F0D89">
        <w:rPr>
          <w:rFonts w:ascii="Verdana" w:hAnsi="Verdana"/>
          <w:sz w:val="20"/>
          <w:szCs w:val="20"/>
        </w:rPr>
        <w:t xml:space="preserve">De spill-over van Brussel naar Vlaanderen heeft betrekking op de intergewestelijke migratie van het Brussels Hoofdstedelijk Gewest naar het Vlaams Gewest. </w:t>
      </w:r>
      <w:r w:rsidR="00F204C1" w:rsidRPr="001F0D89">
        <w:rPr>
          <w:rFonts w:ascii="Verdana" w:hAnsi="Verdana"/>
          <w:sz w:val="20"/>
          <w:szCs w:val="20"/>
        </w:rPr>
        <w:t>Die aantallen konden niet bepaald worden voor de interne immigratie vanuit het Brussels Hoofdstedelijk Gewest</w:t>
      </w:r>
      <w:r w:rsidR="009A214F" w:rsidRPr="001F0D89">
        <w:rPr>
          <w:rFonts w:ascii="Verdana" w:hAnsi="Verdana"/>
          <w:sz w:val="20"/>
          <w:szCs w:val="20"/>
        </w:rPr>
        <w:t xml:space="preserve"> (en evenmin vanuit het Waals Gewest) </w:t>
      </w:r>
      <w:r w:rsidR="00F204C1" w:rsidRPr="001F0D89">
        <w:rPr>
          <w:rFonts w:ascii="Verdana" w:hAnsi="Verdana"/>
          <w:sz w:val="20"/>
          <w:szCs w:val="20"/>
        </w:rPr>
        <w:t>omdat daartoe ten enenmale een eigen projectie van de bevolking in die gewesten (tot 2035) ontbreekt. Die is met name vereist om gebeurlijk geprojecteerde emigratiekansen vanuit die beide gewesten naar een Vlaamse stad of gemeente te kunnen omzetten in geprojecteerde aantallen.</w:t>
      </w:r>
    </w:p>
    <w:p w14:paraId="76636FE1" w14:textId="77777777" w:rsidR="00F204C1" w:rsidRPr="001F0D89" w:rsidRDefault="00F204C1" w:rsidP="00F204C1">
      <w:pPr>
        <w:pStyle w:val="Default"/>
        <w:spacing w:line="276" w:lineRule="auto"/>
        <w:jc w:val="both"/>
        <w:rPr>
          <w:rFonts w:ascii="Verdana" w:hAnsi="Verdana"/>
          <w:sz w:val="20"/>
          <w:szCs w:val="20"/>
        </w:rPr>
      </w:pPr>
    </w:p>
    <w:p w14:paraId="5FC80937" w14:textId="6D6880C5" w:rsidR="00F204C1" w:rsidRPr="001F0D89" w:rsidRDefault="00F204C1" w:rsidP="00F204C1">
      <w:pPr>
        <w:pStyle w:val="Default"/>
        <w:spacing w:line="276" w:lineRule="auto"/>
        <w:jc w:val="both"/>
        <w:rPr>
          <w:rFonts w:ascii="Verdana" w:hAnsi="Verdana"/>
          <w:sz w:val="20"/>
          <w:szCs w:val="20"/>
        </w:rPr>
      </w:pPr>
      <w:r w:rsidRPr="001F0D89">
        <w:rPr>
          <w:rFonts w:ascii="Verdana" w:hAnsi="Verdana"/>
          <w:sz w:val="20"/>
          <w:szCs w:val="20"/>
        </w:rPr>
        <w:t xml:space="preserve">Er is bijgevolg gezocht naar een goede alternatieve invulling. De gepubliceerde metadata bevolking bieden daarover </w:t>
      </w:r>
      <w:r w:rsidR="009A214F" w:rsidRPr="001F0D89">
        <w:rPr>
          <w:rFonts w:ascii="Verdana" w:hAnsi="Verdana"/>
          <w:sz w:val="20"/>
          <w:szCs w:val="20"/>
        </w:rPr>
        <w:t xml:space="preserve">de </w:t>
      </w:r>
      <w:r w:rsidRPr="001F0D89">
        <w:rPr>
          <w:rFonts w:ascii="Verdana" w:hAnsi="Verdana"/>
          <w:sz w:val="20"/>
          <w:szCs w:val="20"/>
        </w:rPr>
        <w:t>volgende toelichting (p. 20):</w:t>
      </w:r>
    </w:p>
    <w:p w14:paraId="18167433" w14:textId="77777777" w:rsidR="00F204C1" w:rsidRPr="001F0D89" w:rsidRDefault="00F204C1" w:rsidP="00F204C1">
      <w:pPr>
        <w:pStyle w:val="Default"/>
        <w:jc w:val="both"/>
        <w:rPr>
          <w:rFonts w:ascii="Verdana" w:hAnsi="Verdana"/>
          <w:sz w:val="20"/>
          <w:szCs w:val="20"/>
        </w:rPr>
      </w:pPr>
    </w:p>
    <w:p w14:paraId="01C2CDF2" w14:textId="38BD6C5F" w:rsidR="00617EA1" w:rsidRPr="001F0D89" w:rsidRDefault="00F204C1" w:rsidP="001F0D89">
      <w:pPr>
        <w:pStyle w:val="Default"/>
        <w:spacing w:line="276" w:lineRule="auto"/>
        <w:jc w:val="both"/>
        <w:rPr>
          <w:rFonts w:ascii="Verdana" w:hAnsi="Verdana"/>
          <w:sz w:val="20"/>
          <w:szCs w:val="20"/>
        </w:rPr>
      </w:pPr>
      <w:r w:rsidRPr="001F0D89">
        <w:rPr>
          <w:rFonts w:ascii="Verdana" w:hAnsi="Verdana"/>
          <w:sz w:val="20"/>
          <w:szCs w:val="20"/>
        </w:rPr>
        <w:t>“Immigraties vanuit het Brusselse Hoofdstedelijk en he</w:t>
      </w:r>
      <w:r w:rsidR="00C16E51">
        <w:rPr>
          <w:rFonts w:ascii="Verdana" w:hAnsi="Verdana"/>
          <w:sz w:val="20"/>
          <w:szCs w:val="20"/>
        </w:rPr>
        <w:t>t Waals Gewest naar het Vlaams</w:t>
      </w:r>
      <w:r w:rsidRPr="001F0D89">
        <w:rPr>
          <w:rFonts w:ascii="Verdana" w:hAnsi="Verdana"/>
          <w:sz w:val="20"/>
          <w:szCs w:val="20"/>
        </w:rPr>
        <w:t xml:space="preserve"> Gewest (stap 4 in figuur 8) zijn overgenomen uit de gepubliceerde Demografische Vooruitzichten, 2016-2060 van het Federaal Planbureau. Het totale aantal voor het Vlaams Gewest werd eerst opgesplitst in de fractie afkomstig uit het Brussels Hoofdstedelijk Gewest (gemiddeld 7/10) en de fractie afkomstig uit het Waals Gewest (gemiddeld 3/10) – volgens de geobserveerde verdeelsleutel voor de jaren 2011-2015. De bekomen totalen werden vervolgens procentueel herverdeeld over de 308 gemeenten (volgens de gemiddelde verdeling voor de jaren 2012-2016).”</w:t>
      </w:r>
    </w:p>
    <w:sectPr w:rsidR="00617EA1" w:rsidRPr="001F0D89" w:rsidSect="00E20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AD2E" w14:textId="77777777" w:rsidR="00C12E60" w:rsidRDefault="00C12E60" w:rsidP="00F204C1">
      <w:pPr>
        <w:spacing w:after="0" w:line="240" w:lineRule="auto"/>
      </w:pPr>
      <w:r>
        <w:separator/>
      </w:r>
    </w:p>
  </w:endnote>
  <w:endnote w:type="continuationSeparator" w:id="0">
    <w:p w14:paraId="20FFE391" w14:textId="77777777" w:rsidR="00C12E60" w:rsidRDefault="00C12E60" w:rsidP="00F2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58311" w14:textId="77777777" w:rsidR="00C12E60" w:rsidRDefault="00C12E60" w:rsidP="00F204C1">
      <w:pPr>
        <w:spacing w:after="0" w:line="240" w:lineRule="auto"/>
      </w:pPr>
      <w:r>
        <w:separator/>
      </w:r>
    </w:p>
  </w:footnote>
  <w:footnote w:type="continuationSeparator" w:id="0">
    <w:p w14:paraId="457980C8" w14:textId="77777777" w:rsidR="00C12E60" w:rsidRDefault="00C12E60" w:rsidP="00F20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88F"/>
    <w:multiLevelType w:val="hybridMultilevel"/>
    <w:tmpl w:val="B6D23BDE"/>
    <w:lvl w:ilvl="0" w:tplc="FEA4651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FF5F81"/>
    <w:multiLevelType w:val="hybridMultilevel"/>
    <w:tmpl w:val="FBD24C14"/>
    <w:lvl w:ilvl="0" w:tplc="F42CFBA2">
      <w:start w:val="9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192923"/>
    <w:multiLevelType w:val="hybridMultilevel"/>
    <w:tmpl w:val="586A6B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5C91ED8"/>
    <w:multiLevelType w:val="hybridMultilevel"/>
    <w:tmpl w:val="049AD2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565E8A"/>
    <w:multiLevelType w:val="hybridMultilevel"/>
    <w:tmpl w:val="FCB66C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B61B56"/>
    <w:multiLevelType w:val="multilevel"/>
    <w:tmpl w:val="F28A45A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A1"/>
    <w:rsid w:val="000064B0"/>
    <w:rsid w:val="000144B6"/>
    <w:rsid w:val="001407FC"/>
    <w:rsid w:val="001F0D89"/>
    <w:rsid w:val="002707CC"/>
    <w:rsid w:val="004951B1"/>
    <w:rsid w:val="0060336F"/>
    <w:rsid w:val="00617EA1"/>
    <w:rsid w:val="007D5CD0"/>
    <w:rsid w:val="008E1438"/>
    <w:rsid w:val="009A214F"/>
    <w:rsid w:val="00BC3B7E"/>
    <w:rsid w:val="00C12E60"/>
    <w:rsid w:val="00C16E51"/>
    <w:rsid w:val="00C87C05"/>
    <w:rsid w:val="00CF232B"/>
    <w:rsid w:val="00DE73E3"/>
    <w:rsid w:val="00E20218"/>
    <w:rsid w:val="00F058DE"/>
    <w:rsid w:val="00F20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7AFA"/>
  <w15:chartTrackingRefBased/>
  <w15:docId w15:val="{8187D508-5355-45CE-8B1F-488EF16B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autoRedefine/>
    <w:rsid w:val="00CF232B"/>
    <w:pPr>
      <w:shd w:val="clear" w:color="auto" w:fill="FFFFFF" w:themeFill="background1"/>
      <w:tabs>
        <w:tab w:val="left" w:pos="396"/>
      </w:tabs>
      <w:spacing w:after="0" w:line="276" w:lineRule="auto"/>
      <w:ind w:right="-1"/>
      <w:jc w:val="both"/>
    </w:pPr>
    <w:rPr>
      <w:rFonts w:eastAsia="Times New Roman" w:cstheme="minorHAnsi"/>
      <w:b/>
      <w:noProof/>
      <w:lang w:eastAsia="nl-BE"/>
    </w:rPr>
  </w:style>
  <w:style w:type="paragraph" w:styleId="Lijstalinea">
    <w:name w:val="List Paragraph"/>
    <w:basedOn w:val="Standaard"/>
    <w:uiPriority w:val="34"/>
    <w:qFormat/>
    <w:rsid w:val="00617EA1"/>
    <w:pPr>
      <w:spacing w:after="0" w:line="240" w:lineRule="auto"/>
      <w:ind w:left="720"/>
    </w:pPr>
    <w:rPr>
      <w:rFonts w:ascii="Calibri" w:hAnsi="Calibri" w:cs="Calibri"/>
    </w:rPr>
  </w:style>
  <w:style w:type="paragraph" w:styleId="Voetnoottekst">
    <w:name w:val="footnote text"/>
    <w:basedOn w:val="Standaard"/>
    <w:link w:val="VoetnoottekstChar"/>
    <w:autoRedefine/>
    <w:uiPriority w:val="99"/>
    <w:unhideWhenUsed/>
    <w:rsid w:val="00CF232B"/>
    <w:pPr>
      <w:tabs>
        <w:tab w:val="left" w:pos="284"/>
      </w:tabs>
      <w:spacing w:after="0" w:line="240" w:lineRule="auto"/>
      <w:ind w:left="284" w:right="-2" w:hanging="284"/>
      <w:jc w:val="both"/>
    </w:pPr>
    <w:rPr>
      <w:rFonts w:ascii="Lucida Sans" w:eastAsia="Times New Roman" w:hAnsi="Lucida Sans" w:cs="Lucida Sans"/>
      <w:sz w:val="16"/>
      <w:szCs w:val="16"/>
      <w:lang w:eastAsia="nl-BE"/>
    </w:rPr>
  </w:style>
  <w:style w:type="character" w:customStyle="1" w:styleId="VoetnoottekstChar">
    <w:name w:val="Voetnoottekst Char"/>
    <w:basedOn w:val="Standaardalinea-lettertype"/>
    <w:link w:val="Voetnoottekst"/>
    <w:uiPriority w:val="99"/>
    <w:rsid w:val="00CF232B"/>
    <w:rPr>
      <w:rFonts w:ascii="Lucida Sans" w:eastAsia="Times New Roman" w:hAnsi="Lucida Sans" w:cs="Lucida Sans"/>
      <w:sz w:val="16"/>
      <w:szCs w:val="16"/>
      <w:lang w:eastAsia="nl-BE"/>
    </w:rPr>
  </w:style>
  <w:style w:type="character" w:styleId="Hyperlink">
    <w:name w:val="Hyperlink"/>
    <w:basedOn w:val="Standaardalinea-lettertype"/>
    <w:uiPriority w:val="99"/>
    <w:unhideWhenUsed/>
    <w:rsid w:val="00F204C1"/>
    <w:rPr>
      <w:color w:val="3C96BE"/>
      <w:u w:val="single"/>
    </w:rPr>
  </w:style>
  <w:style w:type="character" w:styleId="Voetnootmarkering">
    <w:name w:val="footnote reference"/>
    <w:basedOn w:val="Standaardalinea-lettertype"/>
    <w:uiPriority w:val="99"/>
    <w:semiHidden/>
    <w:unhideWhenUsed/>
    <w:rsid w:val="00F204C1"/>
    <w:rPr>
      <w:vertAlign w:val="superscript"/>
    </w:rPr>
  </w:style>
  <w:style w:type="paragraph" w:customStyle="1" w:styleId="Default">
    <w:name w:val="Default"/>
    <w:rsid w:val="00F204C1"/>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Ballontekst">
    <w:name w:val="Balloon Text"/>
    <w:basedOn w:val="Standaard"/>
    <w:link w:val="BallontekstChar"/>
    <w:uiPriority w:val="99"/>
    <w:semiHidden/>
    <w:unhideWhenUsed/>
    <w:rsid w:val="000144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4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9791">
      <w:bodyDiv w:val="1"/>
      <w:marLeft w:val="0"/>
      <w:marRight w:val="0"/>
      <w:marTop w:val="0"/>
      <w:marBottom w:val="0"/>
      <w:divBdr>
        <w:top w:val="none" w:sz="0" w:space="0" w:color="auto"/>
        <w:left w:val="none" w:sz="0" w:space="0" w:color="auto"/>
        <w:bottom w:val="none" w:sz="0" w:space="0" w:color="auto"/>
        <w:right w:val="none" w:sz="0" w:space="0" w:color="auto"/>
      </w:divBdr>
    </w:div>
    <w:div w:id="738094669">
      <w:bodyDiv w:val="1"/>
      <w:marLeft w:val="0"/>
      <w:marRight w:val="0"/>
      <w:marTop w:val="0"/>
      <w:marBottom w:val="0"/>
      <w:divBdr>
        <w:top w:val="none" w:sz="0" w:space="0" w:color="auto"/>
        <w:left w:val="none" w:sz="0" w:space="0" w:color="auto"/>
        <w:bottom w:val="none" w:sz="0" w:space="0" w:color="auto"/>
        <w:right w:val="none" w:sz="0" w:space="0" w:color="auto"/>
      </w:divBdr>
    </w:div>
    <w:div w:id="1145467988">
      <w:bodyDiv w:val="1"/>
      <w:marLeft w:val="0"/>
      <w:marRight w:val="0"/>
      <w:marTop w:val="0"/>
      <w:marBottom w:val="0"/>
      <w:divBdr>
        <w:top w:val="none" w:sz="0" w:space="0" w:color="auto"/>
        <w:left w:val="none" w:sz="0" w:space="0" w:color="auto"/>
        <w:bottom w:val="none" w:sz="0" w:space="0" w:color="auto"/>
        <w:right w:val="none" w:sz="0" w:space="0" w:color="auto"/>
      </w:divBdr>
    </w:div>
    <w:div w:id="1645626078">
      <w:bodyDiv w:val="1"/>
      <w:marLeft w:val="0"/>
      <w:marRight w:val="0"/>
      <w:marTop w:val="0"/>
      <w:marBottom w:val="0"/>
      <w:divBdr>
        <w:top w:val="none" w:sz="0" w:space="0" w:color="auto"/>
        <w:left w:val="none" w:sz="0" w:space="0" w:color="auto"/>
        <w:bottom w:val="none" w:sz="0" w:space="0" w:color="auto"/>
        <w:right w:val="none" w:sz="0" w:space="0" w:color="auto"/>
      </w:divBdr>
    </w:div>
    <w:div w:id="1714691343">
      <w:bodyDiv w:val="1"/>
      <w:marLeft w:val="0"/>
      <w:marRight w:val="0"/>
      <w:marTop w:val="0"/>
      <w:marBottom w:val="0"/>
      <w:divBdr>
        <w:top w:val="none" w:sz="0" w:space="0" w:color="auto"/>
        <w:left w:val="none" w:sz="0" w:space="0" w:color="auto"/>
        <w:bottom w:val="none" w:sz="0" w:space="0" w:color="auto"/>
        <w:right w:val="none" w:sz="0" w:space="0" w:color="auto"/>
      </w:divBdr>
    </w:div>
    <w:div w:id="17872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istiekvlaanderen.be/vlaamse-gemeentelijke-demografische-vooruitzichten--2018-203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5A11-7711-4AE8-BB69-EEEC24AD6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CDBF0-E732-4D71-90E7-694C5D5BA3B3}">
  <ds:schemaRefs>
    <ds:schemaRef ds:uri="http://schemas.microsoft.com/sharepoint/v3/contenttype/forms"/>
  </ds:schemaRefs>
</ds:datastoreItem>
</file>

<file path=customXml/itemProps3.xml><?xml version="1.0" encoding="utf-8"?>
<ds:datastoreItem xmlns:ds="http://schemas.openxmlformats.org/officeDocument/2006/customXml" ds:itemID="{7A89B4E5-D9AF-43C1-87FA-C77A2077DEB7}"/>
</file>

<file path=customXml/itemProps4.xml><?xml version="1.0" encoding="utf-8"?>
<ds:datastoreItem xmlns:ds="http://schemas.openxmlformats.org/officeDocument/2006/customXml" ds:itemID="{C9D95E8A-C512-4524-8604-55EDB733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Noppe, Jo</dc:creator>
  <cp:keywords/>
  <dc:description/>
  <cp:lastModifiedBy>D'Hanis Denis</cp:lastModifiedBy>
  <cp:revision>2</cp:revision>
  <cp:lastPrinted>2018-04-24T07:05:00Z</cp:lastPrinted>
  <dcterms:created xsi:type="dcterms:W3CDTF">2018-04-24T07:05:00Z</dcterms:created>
  <dcterms:modified xsi:type="dcterms:W3CDTF">2018-04-24T07:05:00Z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